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chapter-2-advanced-topics"/>
    <w:p>
      <w:pPr>
        <w:pStyle w:val="Heading1"/>
      </w:pPr>
      <w:r>
        <w:t xml:space="preserve">1. 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2"/>
      </w:pPr>
      <w:r>
        <w:t xml:space="preserve">1.1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2"/>
      </w:pPr>
      <w:r>
        <w:t xml:space="preserve">1.2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2"/>
      </w:pPr>
      <w:r>
        <w:t xml:space="preserve">1.3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2"/>
      </w:pPr>
      <w:r>
        <w:t xml:space="preserve">1.4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2"/>
      </w:pPr>
      <w:r>
        <w:t xml:space="preserve">References</w:t>
      </w:r>
    </w:p>
    <w:bookmarkStart w:id="26" w:name="refs"/>
    <w:bookmarkEnd w:id="26"/>
    <w:bookmarkEnd w:id="27"/>
    <w:bookmarkEnd w:id="28"/>
    <w:bookmarkStart w:id="29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1994178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1994178114c3a90f9eecf1b261b6b5aa67f26385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2026-04-06 23:35:50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2026-04-06T23:41:02Z</dcterms:created>
  <dcterms:modified xsi:type="dcterms:W3CDTF">2026-04-06T23:41:02Z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