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18.png" ContentType="image/png"/>
  <Override PartName="/word/media/rId122.png" ContentType="image/png"/>
  <Override PartName="/word/media/rId99.svg" ContentType="image/svg+xml"/>
  <Override PartName="/word/media/rId131.png" ContentType="image/png"/>
  <Override PartName="/word/media/rId155.png" ContentType="image/png"/>
  <Override PartName="/word/media/rId167.png" ContentType="image/png"/>
  <Override PartName="/word/media/rId107.png" ContentType="image/png"/>
  <Override PartName="/word/media/rId182.png" ContentType="image/png"/>
  <Override PartName="/word/media/rId148.png" ContentType="image/png"/>
  <Override PartName="/word/media/rId57.png" ContentType="image/png"/>
  <Override PartName="/word/media/rId113.png" ContentType="image/png"/>
  <Override PartName="/word/media/rId173.png" ContentType="image/png"/>
  <Override PartName="/word/media/rId94.png" ContentType="image/png"/>
  <Override PartName="/word/media/rId143.png" ContentType="image/png"/>
  <Override PartName="/word/media/rId160.png" ContentType="image/png"/>
  <Override PartName="/word/media/rId178.png" ContentType="image/png"/>
  <Override PartName="/word/media/rId187.png" ContentType="image/png"/>
  <Override PartName="/word/media/rId29.png" ContentType="image/png"/>
  <Override PartName="/word/media/rId69.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2026-08-08</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89"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50" w:name="modeling-assumptions"/>
    <w:p>
      <w:pPr>
        <w:pStyle w:val="Heading2"/>
      </w:pPr>
      <w:r>
        <w:t xml:space="preserve">4.4 Modeling assumptions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(Constant, homogeneous incidence; no lasting immunity)</w:t>
            </w:r>
          </w:p>
          <w:bookmarkStart w:id="48" w:name="def-modeling-assumptions"/>
          <w:p>
            <w:pPr>
              <w:pStyle w:val="BodyText"/>
            </w:pPr>
            <w:r>
              <w:rPr>
                <w:b/>
                <w:bCs/>
              </w:rPr>
              <w:t xml:space="preserve">Definition 2 (Constant, homogeneous incidence; no lasting immunity)</w:t>
            </w:r>
            <w:r>
              <w:t xml:space="preserve"> </w:t>
            </w:r>
            <w:r>
              <w:t xml:space="preserve">We assume that:</w:t>
            </w:r>
          </w:p>
          <w:p>
            <w:pPr>
              <w:numPr>
                <w:ilvl w:val="0"/>
                <w:numId w:val="1014"/>
              </w:numPr>
            </w:pPr>
            <w:r>
              <w:t xml:space="preserve">the incidence rate is approximately</w:t>
            </w:r>
            <w:r>
              <w:t xml:space="preserve"> </w:t>
            </w:r>
            <w:r>
              <w:rPr>
                <w:b/>
                <w:bCs/>
              </w:rPr>
              <w:t xml:space="preserve">constant over time</w:t>
            </w:r>
            <w:r>
              <w:t xml:space="preserve"> </w:t>
            </w:r>
            <w:r>
              <w:t xml:space="preserve">and</w:t>
            </w:r>
            <w:r>
              <w:t xml:space="preserve"> </w:t>
            </w:r>
            <w:r>
              <w:rPr>
                <w:b/>
                <w:bCs/>
              </w:rPr>
              <w:t xml:space="preserve">across the population</w:t>
            </w:r>
            <w:r>
              <w:t xml:space="preserve"> </w:t>
            </w:r>
            <w:r>
              <w:t xml:space="preserve">(</w:t>
            </w:r>
            <w:r>
              <w:rPr>
                <w:b/>
                <w:bCs/>
              </w:rPr>
              <w:t xml:space="preserve">constant and homogeneous incidence</w:t>
            </w:r>
            <w:r>
              <w:t xml:space="preserve">):</w:t>
            </w:r>
          </w:p>
          <w:p>
            <w:pPr>
              <w:pStyle w:val="BodyText"/>
            </w:pPr>
            <m:oMathPara>
              <m:oMathParaPr>
                <m:jc m:val="center"/>
              </m:oMathParaPr>
              <m:oMath>
                <m:sSub>
                  <m:e>
                    <m:r>
                      <m:t>λ</m:t>
                    </m:r>
                  </m:e>
                  <m:sub>
                    <m:r>
                      <m:t>i</m:t>
                    </m:r>
                    <m:r>
                      <m:rPr>
                        <m:sty m:val="p"/>
                      </m:rPr>
                      <m:t>,</m:t>
                    </m:r>
                    <m:r>
                      <m:t>t</m:t>
                    </m:r>
                  </m:sub>
                </m:sSub>
                <m:r>
                  <m:rPr>
                    <m:sty m:val="p"/>
                  </m:rPr>
                  <m:t>=</m:t>
                </m:r>
                <m:r>
                  <m:t>λ</m:t>
                </m:r>
                <m:r>
                  <m:rPr>
                    <m:sty m:val="p"/>
                  </m:rPr>
                  <m:t>,</m:t>
                </m:r>
                <m:r>
                  <m:t> </m:t>
                </m:r>
                <m:r>
                  <m:rPr>
                    <m:sty m:val="p"/>
                  </m:rPr>
                  <m:t>∀</m:t>
                </m:r>
                <m:r>
                  <m:t>i</m:t>
                </m:r>
                <m:r>
                  <m:rPr>
                    <m:sty m:val="p"/>
                  </m:rPr>
                  <m:t>,</m:t>
                </m:r>
                <m:r>
                  <m:t>t</m:t>
                </m:r>
              </m:oMath>
            </m:oMathPara>
          </w:p>
          <w:p>
            <w:pPr>
              <w:numPr>
                <w:ilvl w:val="0"/>
                <w:numId w:val="1000"/>
              </w:numPr>
            </w:pPr>
            <w:r>
              <w:t xml:space="preserve">(subpopulations can be analyzed separately to make this more</w:t>
            </w:r>
            <w:r>
              <w:t xml:space="preserve"> </w:t>
            </w:r>
            <w:r>
              <w:t xml:space="preserve">plausible); and</w:t>
            </w:r>
          </w:p>
          <w:p>
            <w:pPr>
              <w:numPr>
                <w:ilvl w:val="0"/>
                <w:numId w:val="1014"/>
              </w:numPr>
            </w:pPr>
            <w:r>
              <w:t xml:space="preserve">participants are always at risk of a new infection, regardless of</w:t>
            </w:r>
            <w:r>
              <w:t xml:space="preserve"> </w:t>
            </w:r>
            <w:r>
              <w:t xml:space="preserve">how recently they have been infected (</w:t>
            </w:r>
            <w:r>
              <w:rPr>
                <w:b/>
                <w:bCs/>
              </w:rPr>
              <w:t xml:space="preserve">no lasting immunity</w:t>
            </w:r>
            <w:r>
              <w:t xml:space="preserve">).</w:t>
            </w:r>
          </w:p>
          <w:bookmarkEnd w:id="48"/>
        </w:tc>
      </w:tr>
    </w:tbl>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9">
        <w:r>
          <w:rPr>
            <w:rStyle w:val="Hyperlink"/>
          </w:rPr>
          <w:t xml:space="preserve">on our to-do list</w:t>
        </w:r>
      </w:hyperlink>
      <w:r>
        <w:t xml:space="preserve">).</w:t>
      </w:r>
    </w:p>
    <w:bookmarkEnd w:id="50"/>
    <w:bookmarkStart w:id="52" w:name="time-since-infection-and-incidence"/>
    <w:p>
      <w:pPr>
        <w:pStyle w:val="Heading2"/>
      </w:pPr>
      <w:r>
        <w:t xml:space="preserve">4.5 Time since infection and incidence</w:t>
      </w:r>
    </w:p>
    <w:p>
      <w:pPr>
        <w:pStyle w:val="FirstParagraph"/>
      </w:pPr>
      <w:r>
        <w:t xml:space="preserve">Under those assumptions (Definition</w:t>
      </w:r>
      <w:r>
        <w:t xml:space="preserve"> </w:t>
      </w:r>
      <w:hyperlink w:anchor="def-modeling-assumptions">
        <w:r>
          <w:rPr>
            <w:rStyle w:val="Hyperlink"/>
          </w:rPr>
          <w:t xml:space="preserve">Definition 2</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Proposition (Distribution of time since last infection)</w:t>
            </w:r>
          </w:p>
          <w:bookmarkStart w:id="51" w:name="prp-time-since-infection"/>
          <w:p>
            <w:pPr>
              <w:pStyle w:val="BodyText"/>
            </w:pPr>
            <w:r>
              <w:rPr>
                <w:b/>
                <w:bCs/>
              </w:rPr>
              <w:t xml:space="preserve">Proposition 1 (Distribution of time since last infection)</w:t>
            </w:r>
            <w:r>
              <w:t xml:space="preserve"> </w:t>
            </w:r>
            <w:r>
              <w:t xml:space="preserve">The time since last infection,</w:t>
            </w:r>
            <w:r>
              <w:t xml:space="preserve"> </w:t>
            </w:r>
            <m:oMath>
              <m:r>
                <m:t>T</m:t>
              </m:r>
            </m:oMath>
            <w:r>
              <w:t xml:space="preserve">, has an</w:t>
            </w:r>
            <w:r>
              <w:t xml:space="preserve"> </w:t>
            </w:r>
            <w:r>
              <w:rPr>
                <w:b/>
                <w:bCs/>
              </w:rPr>
              <w:t xml:space="preserve">exponential</w:t>
            </w:r>
            <w:r>
              <w:rPr>
                <w:b/>
                <w:bCs/>
              </w:rPr>
              <w:t xml:space="preserve"> </w:t>
            </w:r>
            <w:r>
              <w:rPr>
                <w:b/>
                <w:bCs/>
              </w:rPr>
              <w:t xml:space="preserve">distribution</w:t>
            </w:r>
            <w:r>
              <w:t xml:space="preserve">, limited by age at observation (</w:t>
            </w:r>
            <m:oMath>
              <m:r>
                <m:t>a</m:t>
              </m:r>
            </m:oMath>
            <w:r>
              <w:t xml:space="preserve">): no one can have</w:t>
            </w:r>
            <w:r>
              <w:t xml:space="preserve"> </w:t>
            </w:r>
            <w:r>
              <w:t xml:space="preserve">been infected before they were born, so the density is supported on</w:t>
            </w:r>
            <w:r>
              <w:t xml:space="preserve"> </w:t>
            </w:r>
            <m:oMath>
              <m:r>
                <m:rPr>
                  <m:sty m:val="p"/>
                </m:rPr>
                <m:t>[</m:t>
              </m:r>
              <m:r>
                <m:t>0</m:t>
              </m:r>
              <m:r>
                <m:rPr>
                  <m:sty m:val="p"/>
                </m:rPr>
                <m:t>,</m:t>
              </m:r>
              <m:r>
                <m:t>a</m:t>
              </m:r>
              <m:r>
                <m:rPr>
                  <m:sty m:val="p"/>
                </m:rPr>
                <m:t>]</m:t>
              </m:r>
            </m:oMath>
            <w:r>
              <w:t xml:space="preserve">, 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 sits on</w:t>
            </w:r>
            <w:r>
              <w:t xml:space="preserve"> </w:t>
            </w:r>
            <w:r>
              <w:t xml:space="preserve">“never infected”</w:t>
            </w:r>
            <w:r>
              <w:t xml:space="preserve">:</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The rate parameter</w:t>
            </w:r>
            <w:r>
              <w:t xml:space="preserve"> </w:t>
            </w:r>
            <m:oMath>
              <m:r>
                <m:t>λ</m:t>
              </m:r>
            </m:oMath>
            <w:r>
              <w:t xml:space="preserve"> </w:t>
            </w:r>
            <w:r>
              <w:t xml:space="preserve">is the incidence rate.</w:t>
            </w:r>
          </w:p>
          <w:bookmarkEnd w:id="51"/>
        </w:tc>
      </w:tr>
    </w:tbl>
    <w:p>
      <w:pPr>
        <w:pStyle w:val="BodyText"/>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2"/>
    <w:bookmarkStart w:id="56" w:name="likelihood-of-latent-infection-times"/>
    <w:p>
      <w:pPr>
        <w:pStyle w:val="Heading2"/>
      </w:pPr>
      <w:r>
        <w:t xml:space="preserve">4.6 Likelihood of latent infection times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(Likelihood and log-likelihood)</w:t>
            </w:r>
          </w:p>
          <w:bookmarkStart w:id="53" w:name="def-likelihood"/>
          <w:p>
            <w:pPr>
              <w:pStyle w:val="BodyText"/>
            </w:pPr>
            <w:r>
              <w:rPr>
                <w:b/>
                <w:bCs/>
              </w:rPr>
              <w:t xml:space="preserve">Definition 3 (Likelihood and log-likelihood)</w:t>
            </w:r>
            <w:r>
              <w:t xml:space="preserve"> </w:t>
            </w:r>
            <w:r>
              <w:t xml:space="preserve">For data and parameter</w:t>
            </w:r>
            <w:r>
              <w:t xml:space="preserve"> </w:t>
            </w:r>
            <m:oMath>
              <m:r>
                <m:t>λ</m:t>
              </m:r>
            </m:oMath>
            <w:r>
              <w:t xml:space="preserve">, the</w:t>
            </w:r>
            <w:r>
              <w:t xml:space="preserve"> </w:t>
            </w:r>
            <w:r>
              <w:rPr>
                <w:b/>
                <w:bCs/>
              </w:rPr>
              <w:t xml:space="preserve">likelihood</w:t>
            </w:r>
            <w:r>
              <w:t xml:space="preserve"> </w:t>
            </w:r>
            <m:oMath>
              <m:r>
                <m:rPr>
                  <m:scr m:val="script"/>
                  <m:sty m:val="p"/>
                </m:rPr>
                <m:t>L</m:t>
              </m:r>
              <m:r>
                <m:rPr>
                  <m:sty m:val="p"/>
                </m:rPr>
                <m:t>(</m:t>
              </m:r>
              <m:r>
                <m:t>λ</m:t>
              </m:r>
              <m:r>
                <m:rPr>
                  <m:sty m:val="p"/>
                </m:rPr>
                <m:t>)</m:t>
              </m:r>
            </m:oMath>
            <w:r>
              <w:t xml:space="preserve"> </w:t>
            </w:r>
            <w:r>
              <w:t xml:space="preserve">is</w:t>
            </w:r>
            <w:r>
              <w:t xml:space="preserve"> </w:t>
            </w:r>
            <w:r>
              <w:t xml:space="preserve">the joint probability (or density) of the data, viewed as a function</w:t>
            </w:r>
            <w:r>
              <w:t xml:space="preserve"> </w:t>
            </w:r>
            <w:r>
              <w:t xml:space="preserve">of the parameter, and the</w:t>
            </w:r>
            <w:r>
              <w:t xml:space="preserve"> </w:t>
            </w:r>
            <w:r>
              <w:rPr>
                <w:b/>
                <w:bCs/>
              </w:rPr>
              <w:t xml:space="preserve">log-likelihood</w:t>
            </w:r>
            <w:r>
              <w:t xml:space="preserve"> </w:t>
            </w:r>
            <w:r>
              <w:t xml:space="preserve">is its natural logarithm:</w:t>
            </w:r>
          </w:p>
          <w:p>
            <w:pPr>
              <w:pStyle w:val="BodyText"/>
            </w:pPr>
            <m:oMathPara>
              <m:oMathParaPr>
                <m:jc m:val="center"/>
              </m:oMathParaPr>
              <m:oMath>
                <m:r>
                  <m:t>ℓ</m:t>
                </m:r>
                <m:r>
                  <m:rPr>
                    <m:sty m:val="p"/>
                  </m:rPr>
                  <m:t>(</m:t>
                </m:r>
                <m:r>
                  <m:t>λ</m:t>
                </m:r>
                <m:r>
                  <m:rPr>
                    <m:sty m:val="p"/>
                  </m:rPr>
                  <m:t>)</m:t>
                </m:r>
                <m:limUpp>
                  <m:e>
                    <m:r>
                      <m:rPr>
                        <m:sty m:val="p"/>
                      </m:rPr>
                      <m:t>=</m:t>
                    </m:r>
                  </m:e>
                  <m:lim>
                    <m:r>
                      <m:rPr>
                        <m:nor/>
                        <m:sty m:val="p"/>
                      </m:rPr>
                      <m:t>def</m:t>
                    </m:r>
                  </m:lim>
                </m:limUpp>
                <m:r>
                  <m:rPr>
                    <m:sty m:val="p"/>
                  </m:rPr>
                  <m:t>log</m:t>
                </m:r>
                <m:r>
                  <m:t>​</m:t>
                </m:r>
                <m:d>
                  <m:dPr>
                    <m:begChr m:val="{"/>
                    <m:sepChr m:val=""/>
                    <m:endChr m:val="}"/>
                    <m:grow/>
                  </m:dPr>
                  <m:e>
                    <m:r>
                      <m:rPr>
                        <m:scr m:val="script"/>
                        <m:sty m:val="p"/>
                      </m:rPr>
                      <m:t>L</m:t>
                    </m:r>
                    <m:r>
                      <m:rPr>
                        <m:sty m:val="p"/>
                      </m:rPr>
                      <m:t>(</m:t>
                    </m:r>
                    <m:r>
                      <m:t>λ</m:t>
                    </m:r>
                    <m:r>
                      <m:rPr>
                        <m:sty m:val="p"/>
                      </m:rPr>
                      <m:t>)</m:t>
                    </m:r>
                  </m:e>
                </m:d>
                <m:r>
                  <m:t>​</m:t>
                </m:r>
              </m:oMath>
            </m:oMathPara>
          </w:p>
          <w:bookmarkEnd w:id="53"/>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(Score function)</w:t>
            </w:r>
          </w:p>
          <w:bookmarkStart w:id="54" w:name="def-score"/>
          <w:p>
            <w:pPr>
              <w:pStyle w:val="BodyText"/>
            </w:pPr>
            <w:r>
              <w:rPr>
                <w:b/>
                <w:bCs/>
              </w:rPr>
              <w:t xml:space="preserve">Definition 4 (Score function)</w:t>
            </w:r>
            <w:r>
              <w:t xml:space="preserve"> </w:t>
            </w:r>
            <w:r>
              <w:t xml:space="preserve">The</w:t>
            </w:r>
            <w:r>
              <w:t xml:space="preserve"> </w:t>
            </w:r>
            <w:r>
              <w:rPr>
                <w:b/>
                <w:bCs/>
              </w:rPr>
              <w:t xml:space="preserve">score function</w:t>
            </w:r>
            <w:r>
              <w:t xml:space="preserve"> </w:t>
            </w:r>
            <w:r>
              <w:t xml:space="preserve">is the gradient of the log-likelihood with</w:t>
            </w:r>
            <w:r>
              <w:t xml:space="preserve"> </w:t>
            </w:r>
            <w:r>
              <w:t xml:space="preserve">respect to the (possibly vector-valued) parameter; for the scalar</w:t>
            </w:r>
            <w:r>
              <w:t xml:space="preserve"> </w:t>
            </w:r>
            <w:r>
              <w:t xml:space="preserve">incidence-rate parameter</w:t>
            </w:r>
            <w:r>
              <w:t xml:space="preserve"> </w:t>
            </w:r>
            <m:oMath>
              <m:r>
                <m:t>λ</m:t>
              </m:r>
            </m:oMath>
            <w:r>
              <w:t xml:space="preserve"> </w:t>
            </w:r>
            <w:r>
              <w:t xml:space="preserve">used throughout this vignette, this</w:t>
            </w:r>
            <w:r>
              <w:t xml:space="preserve"> </w:t>
            </w:r>
            <w:r>
              <w:t xml:space="preserve">is just the ordinary derivative:</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sSup>
                  <m:e>
                    <m:r>
                      <m:t>ℓ</m:t>
                    </m:r>
                  </m:e>
                  <m:sup>
                    <m:r>
                      <m:rPr>
                        <m:sty m:val="p"/>
                      </m:rPr>
                      <m:t>′</m:t>
                    </m:r>
                  </m:sup>
                </m:sSup>
                <m:r>
                  <m:rPr>
                    <m:sty m:val="p"/>
                  </m:rPr>
                  <m:t>(</m:t>
                </m:r>
                <m:r>
                  <m:t>λ</m:t>
                </m:r>
                <m:r>
                  <m:rPr>
                    <m:sty m:val="p"/>
                  </m:rPr>
                  <m:t>)</m:t>
                </m:r>
              </m:oMath>
            </m:oMathPara>
          </w:p>
          <w:p>
            <w:pPr>
              <w:pStyle w:val="FirstParagraph"/>
            </w:pPr>
            <w:r>
              <w:t xml:space="preserve">A maximum likelihood estimate</w:t>
            </w:r>
            <w:r>
              <w:t xml:space="preserve"> </w:t>
            </w:r>
            <m:oMath>
              <m:acc>
                <m:accPr>
                  <m:chr m:val="̂"/>
                </m:accPr>
                <m:e>
                  <m:r>
                    <m:t>λ</m:t>
                  </m:r>
                </m:e>
              </m:acc>
            </m:oMath>
            <w:r>
              <w:t xml:space="preserve"> </w:t>
            </w:r>
            <w:r>
              <w:t xml:space="preserve">satisfies the score</w:t>
            </w:r>
            <w:r>
              <w:t xml:space="preserve"> </w:t>
            </w:r>
            <w:r>
              <w:t xml:space="preserve">equation</w:t>
            </w:r>
            <w:r>
              <w:t xml:space="preserve"> </w:t>
            </w:r>
            <m:oMath>
              <m:sSup>
                <m:e>
                  <m:r>
                    <m:t>ℓ</m:t>
                  </m:r>
                </m:e>
                <m:sup>
                  <m:r>
                    <m:rPr>
                      <m:sty m:val="p"/>
                    </m:rPr>
                    <m:t>′</m:t>
                  </m:r>
                </m:sup>
              </m:sSup>
              <m:r>
                <m:rPr>
                  <m:sty m:val="p"/>
                </m:rPr>
                <m:t>(</m:t>
              </m:r>
              <m:acc>
                <m:accPr>
                  <m:chr m:val="̂"/>
                </m:accPr>
                <m:e>
                  <m:r>
                    <m:t>λ</m:t>
                  </m:r>
                </m:e>
              </m:acc>
              <m:r>
                <m:rPr>
                  <m:sty m:val="p"/>
                </m:rPr>
                <m:t>)</m:t>
              </m:r>
              <m:r>
                <m:rPr>
                  <m:sty m:val="p"/>
                </m:rPr>
                <m:t>=</m:t>
              </m:r>
              <m:r>
                <m:t>0</m:t>
              </m:r>
            </m:oMath>
            <w:r>
              <w:t xml:space="preserve">.</w:t>
            </w:r>
          </w:p>
          <w:bookmarkEnd w:id="54"/>
        </w:tc>
      </w:tr>
    </w:tbl>
    <w:p>
      <w:pPr>
        <w:pStyle w:val="BodyText"/>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Corollary (MLE when infection times are fully observed)</w:t>
            </w:r>
          </w:p>
          <w:bookmarkStart w:id="55" w:name="cor-mle-fully-observed"/>
          <w:p>
            <w:pPr>
              <w:pStyle w:val="BodyText"/>
            </w:pPr>
            <w:r>
              <w:rPr>
                <w:b/>
                <w:bCs/>
              </w:rPr>
              <w:t xml:space="preserve">Corollary 1 (MLE when infection times are fully observed)</w:t>
            </w:r>
            <w:r>
              <w:t xml:space="preserve"> </w:t>
            </w:r>
            <w:r>
              <w:t xml:space="preserve">If the latent infection times</w:t>
            </w:r>
            <w:r>
              <w:t xml:space="preserve"> </w:t>
            </w:r>
            <m:oMath>
              <m:sSub>
                <m:e>
                  <m:r>
                    <m:t>t</m:t>
                  </m:r>
                </m:e>
                <m:sub>
                  <m:r>
                    <m:t>1</m:t>
                  </m:r>
                </m:sub>
              </m:sSub>
              <m:r>
                <m:rPr>
                  <m:sty m:val="p"/>
                </m:rPr>
                <m:t>,</m:t>
              </m:r>
              <m:r>
                <m:rPr>
                  <m:sty m:val="p"/>
                </m:rPr>
                <m:t>…</m:t>
              </m:r>
              <m:r>
                <m:rPr>
                  <m:sty m:val="p"/>
                </m:rPr>
                <m:t>,</m:t>
              </m:r>
              <m:sSub>
                <m:e>
                  <m:r>
                    <m:t>t</m:t>
                  </m:r>
                </m:e>
                <m:sub>
                  <m:r>
                    <m:t>n</m:t>
                  </m:r>
                </m:sub>
              </m:sSub>
            </m:oMath>
            <w:r>
              <w:t xml:space="preserve"> </w:t>
            </w:r>
            <w:r>
              <w:t xml:space="preserve">were fully observed,</w:t>
            </w:r>
            <w:r>
              <w:t xml:space="preserve"> </w:t>
            </w:r>
            <w:r>
              <w:t xml:space="preserve">the maximum likelihood estimate of</w:t>
            </w:r>
            <w:r>
              <w:t xml:space="preserve"> </w:t>
            </w:r>
            <m:oMath>
              <m:r>
                <m:t>λ</m:t>
              </m:r>
            </m:oMath>
            <w:r>
              <w:t xml:space="preserve"> </w:t>
            </w:r>
            <w:r>
              <w:t xml:space="preserve">(Definition</w:t>
            </w:r>
            <w:r>
              <w:t xml:space="preserve"> </w:t>
            </w:r>
            <w:hyperlink w:anchor="def-likelihood">
              <w:r>
                <w:rPr>
                  <w:rStyle w:val="Hyperlink"/>
                </w:rPr>
                <w:t xml:space="preserve">Definition 3</w:t>
              </w:r>
            </w:hyperlink>
            <w:r>
              <w:t xml:space="preserve">, applying the score equation from Definition</w:t>
            </w:r>
            <w:r>
              <w:t xml:space="preserve"> </w:t>
            </w:r>
            <w:hyperlink w:anchor="def-score">
              <w:r>
                <w:rPr>
                  <w:rStyle w:val="Hyperlink"/>
                </w:rPr>
                <w:t xml:space="preserve">Definition 4</w:t>
              </w:r>
            </w:hyperlink>
            <w:r>
              <w:t xml:space="preserve">) would be the reciprocal of their mean:</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bookmarkEnd w:id="55"/>
        </w:tc>
      </w:tr>
    </w:tbl>
    <w:bookmarkEnd w:id="56"/>
    <w:bookmarkStart w:id="61"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60" w:name="fig-ex-lik-curves"/>
          <w:p>
            <w:pPr>
              <w:pStyle w:val="Compact"/>
              <w:jc w:val="center"/>
            </w:pPr>
            <w:r>
              <w:drawing>
                <wp:inline>
                  <wp:extent cx="4620126" cy="3696101"/>
                  <wp:effectExtent b="0" l="0" r="0" t="0"/>
                  <wp:docPr descr="" title="" id="58" name="Picture"/>
                  <a:graphic>
                    <a:graphicData uri="http://schemas.openxmlformats.org/drawingml/2006/picture">
                      <pic:pic>
                        <pic:nvPicPr>
                          <pic:cNvPr descr="methodology_files/figure-docx/fig-ex-lik-curves-1.png" id="59" name="Picture"/>
                          <pic:cNvPicPr>
                            <a:picLocks noChangeArrowheads="1" noChangeAspect="1"/>
                          </pic:cNvPicPr>
                        </pic:nvPicPr>
                        <pic:blipFill>
                          <a:blip r:embed="rId5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60"/>
        </w:tc>
      </w:tr>
    </w:tbl>
    <w:bookmarkEnd w:id="61"/>
    <w:bookmarkStart w:id="65" w:name="standard-errors"/>
    <w:p>
      <w:pPr>
        <w:pStyle w:val="Heading2"/>
      </w:pPr>
      <w:r>
        <w:t xml:space="preserve">4.8 Standard errors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(Hessian)</w:t>
            </w:r>
          </w:p>
          <w:bookmarkStart w:id="62" w:name="def-hessian"/>
          <w:p>
            <w:pPr>
              <w:pStyle w:val="BodyText"/>
            </w:pPr>
            <w:r>
              <w:rPr>
                <w:b/>
                <w:bCs/>
              </w:rPr>
              <w:t xml:space="preserve">Definition 5 (Hessian)</w:t>
            </w:r>
            <w:r>
              <w:t xml:space="preserve"> </w:t>
            </w:r>
            <w:r>
              <w:t xml:space="preserve">The</w:t>
            </w:r>
            <w:r>
              <w:t xml:space="preserve"> </w:t>
            </w:r>
            <w:r>
              <w:rPr>
                <w:b/>
                <w:bCs/>
              </w:rPr>
              <w:t xml:space="preserve">Hessian</w:t>
            </w:r>
            <w:r>
              <w:t xml:space="preserve"> </w:t>
            </w:r>
            <w:r>
              <w:t xml:space="preserve">is the matrix of second partial derivatives of the</w:t>
            </w:r>
            <w:r>
              <w:t xml:space="preserve"> </w:t>
            </w:r>
            <w:r>
              <w:t xml:space="preserve">log-likelihood with respect to the (possibly vector-valued) parameter;</w:t>
            </w:r>
            <w:r>
              <w:t xml:space="preserve"> </w:t>
            </w:r>
            <w:r>
              <w:t xml:space="preserve">for the scalar incidence-rate parameter</w:t>
            </w:r>
            <w:r>
              <w:t xml:space="preserve"> </w:t>
            </w:r>
            <m:oMath>
              <m:r>
                <m:t>λ</m:t>
              </m:r>
            </m:oMath>
            <w:r>
              <w:t xml:space="preserve"> </w:t>
            </w:r>
            <w:r>
              <w:t xml:space="preserve">used throughout this</w:t>
            </w:r>
            <w:r>
              <w:t xml:space="preserve"> </w:t>
            </w:r>
            <w:r>
              <w:t xml:space="preserve">vignette, this reduces to the ordinary second derivative:</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sSup>
                  <m:e>
                    <m:r>
                      <m:t>ℓ</m:t>
                    </m:r>
                  </m:e>
                  <m:sup>
                    <m:r>
                      <m:rPr>
                        <m:sty m:val="p"/>
                      </m:rPr>
                      <m:t>″</m:t>
                    </m:r>
                  </m:sup>
                </m:sSup>
                <m:r>
                  <m:rPr>
                    <m:sty m:val="p"/>
                  </m:rPr>
                  <m:t>(</m:t>
                </m:r>
                <m:r>
                  <m:t>λ</m:t>
                </m:r>
                <m:r>
                  <m:rPr>
                    <m:sty m:val="p"/>
                  </m:rPr>
                  <m:t>)</m:t>
                </m:r>
              </m:oMath>
            </m:oMathPara>
          </w:p>
          <w:bookmarkEnd w:id="62"/>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(Observed information)</w:t>
            </w:r>
          </w:p>
          <w:bookmarkStart w:id="63" w:name="def-observed-information"/>
          <w:p>
            <w:pPr>
              <w:pStyle w:val="BodyText"/>
            </w:pPr>
            <w:r>
              <w:rPr>
                <w:b/>
                <w:bCs/>
              </w:rPr>
              <w:t xml:space="preserve">Definition 6 (Observed information)</w:t>
            </w:r>
            <w:r>
              <w:t xml:space="preserve"> </w:t>
            </w:r>
            <w:r>
              <w:t xml:space="preserve">The</w:t>
            </w:r>
            <w:r>
              <w:t xml:space="preserve"> </w:t>
            </w:r>
            <w:r>
              <w:rPr>
                <w:b/>
                <w:bCs/>
              </w:rPr>
              <w:t xml:space="preserve">observed information</w:t>
            </w:r>
            <w:r>
              <w:t xml:space="preserve"> </w:t>
            </w:r>
            <w:r>
              <w:t xml:space="preserve">is the negative Hessian (Definition</w:t>
            </w:r>
            <w:r>
              <w:t xml:space="preserve"> </w:t>
            </w:r>
            <w:hyperlink w:anchor="def-hessian">
              <w:r>
                <w:rPr>
                  <w:rStyle w:val="Hyperlink"/>
                </w:rPr>
                <w:t xml:space="preserve">Definition 5</w:t>
              </w:r>
            </w:hyperlink>
            <w:r>
              <w:t xml:space="preserve">), evaluated at the maximum likelihood estimate:</w:t>
            </w:r>
          </w:p>
          <w:p>
            <w:pPr>
              <w:pStyle w:val="BodyText"/>
            </w:pPr>
            <m:oMathPara>
              <m:oMathParaPr>
                <m:jc m:val="center"/>
              </m:oMathParaPr>
              <m:oMath>
                <m:r>
                  <m:t>I</m:t>
                </m:r>
                <m:r>
                  <m:rPr>
                    <m:sty m:val="p"/>
                  </m:rPr>
                  <m:t>(</m:t>
                </m:r>
                <m:acc>
                  <m:accPr>
                    <m:chr m:val="̂"/>
                  </m:accPr>
                  <m:e>
                    <m:r>
                      <m:t>λ</m:t>
                    </m:r>
                  </m:e>
                </m:acc>
                <m:r>
                  <m:rPr>
                    <m:sty m:val="p"/>
                  </m:rPr>
                  <m:t>)</m:t>
                </m:r>
                <m:limUpp>
                  <m:e>
                    <m:r>
                      <m:rPr>
                        <m:sty m:val="p"/>
                      </m:rPr>
                      <m:t>=</m:t>
                    </m:r>
                  </m:e>
                  <m:lim>
                    <m:r>
                      <m:rPr>
                        <m:nor/>
                        <m:sty m:val="p"/>
                      </m:rPr>
                      <m:t>def</m:t>
                    </m:r>
                  </m:lim>
                </m:limUpp>
                <m:r>
                  <m:rPr>
                    <m:sty m:val="p"/>
                  </m:rPr>
                  <m:t>−</m:t>
                </m:r>
                <m:sSup>
                  <m:e>
                    <m:r>
                      <m:t>ℓ</m:t>
                    </m:r>
                  </m:e>
                  <m:sup>
                    <m:r>
                      <m:rPr>
                        <m:sty m:val="p"/>
                      </m:rPr>
                      <m:t>″</m:t>
                    </m:r>
                  </m:sup>
                </m:sSup>
                <m:r>
                  <m:rPr>
                    <m:sty m:val="p"/>
                  </m:rPr>
                  <m:t>(</m:t>
                </m:r>
                <m:acc>
                  <m:accPr>
                    <m:chr m:val="̂"/>
                  </m:accPr>
                  <m:e>
                    <m:r>
                      <m:t>λ</m:t>
                    </m:r>
                  </m:e>
                </m:acc>
                <m:r>
                  <m:rPr>
                    <m:sty m:val="p"/>
                  </m:rPr>
                  <m:t>)</m:t>
                </m:r>
              </m:oMath>
            </m:oMathPara>
          </w:p>
          <w:bookmarkEnd w:id="6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Theorem (Asymptotic variance of the MLE)</w:t>
            </w:r>
          </w:p>
          <w:bookmarkStart w:id="64" w:name="thm-mle-asymptotic-variance"/>
          <w:p>
            <w:pPr>
              <w:pStyle w:val="BodyText"/>
            </w:pPr>
            <w:r>
              <w:rPr>
                <w:b/>
                <w:bCs/>
              </w:rPr>
              <w:t xml:space="preserve">Theorem 1 (Asymptotic variance of the MLE)</w:t>
            </w:r>
            <w:r>
              <w:t xml:space="preserve"> </w:t>
            </w:r>
            <w:r>
              <w:t xml:space="preserve">Under standard regularity conditions, the variance of a maximum</w:t>
            </w:r>
            <w:r>
              <w:t xml:space="preserve"> </w:t>
            </w:r>
            <w:r>
              <w:t xml:space="preserve">likelihood estimate is approximately the inverse of the observed</w:t>
            </w:r>
            <w:r>
              <w:t xml:space="preserve"> </w:t>
            </w:r>
            <w:r>
              <w:t xml:space="preserve">information (Definition</w:t>
            </w:r>
            <w:r>
              <w:t xml:space="preserve"> </w:t>
            </w:r>
            <w:hyperlink w:anchor="def-observed-information">
              <w:r>
                <w:rPr>
                  <w:rStyle w:val="Hyperlink"/>
                </w:rPr>
                <w:t xml:space="preserve">Definition 6</w:t>
              </w:r>
            </w:hyperlink>
            <w:r>
              <w:t xml:space="preserve">), and the standard</w:t>
            </w:r>
            <w:r>
              <w:t xml:space="preserve"> </w:t>
            </w:r>
            <w:r>
              <w:t xml:space="preserve">error is the square root of that variance:</w:t>
            </w:r>
          </w:p>
          <w:p>
            <w:pPr>
              <w:pStyle w:val="BodyText"/>
            </w:pPr>
            <m:oMathPara>
              <m:oMathParaPr>
                <m:jc m:val="center"/>
              </m:oMathParaPr>
              <m:oMath>
                <m:r>
                  <m:rPr>
                    <m:sty m:val="p"/>
                  </m:rPr>
                  <m:t/>
                </m:r>
                <m:r>
                  <m:t>​</m:t>
                </m:r>
                <m:d>
                  <m:dPr>
                    <m:begChr m:val="("/>
                    <m:sepChr m:val=""/>
                    <m:endChr m:val=")"/>
                    <m:grow/>
                  </m:dPr>
                  <m:e>
                    <m:acc>
                      <m:accPr>
                        <m:chr m:val="̂"/>
                      </m:accPr>
                      <m:e>
                        <m:r>
                          <m:t>λ</m:t>
                        </m:r>
                      </m:e>
                    </m:acc>
                  </m:e>
                </m:d>
                <m:r>
                  <m:t>​</m:t>
                </m:r>
                <m:r>
                  <m:rPr>
                    <m:sty m:val="p"/>
                  </m:rPr>
                  <m:t>≈</m:t>
                </m:r>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m:oMathPara>
          </w:p>
          <w:p>
            <w:pPr>
              <w:pStyle w:val="FirstParagraph"/>
            </w:pPr>
            <w:r>
              <w:t xml:space="preserve">So 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64"/>
        </w:tc>
      </w:tr>
    </w:tbl>
    <w:bookmarkEnd w:id="65"/>
    <w:bookmarkStart w:id="67" w:name="hessian-for-the-exponential-model"/>
    <w:p>
      <w:pPr>
        <w:pStyle w:val="Heading2"/>
      </w:pPr>
      <w:r>
        <w:t xml:space="preserve">4.9 Hessian for the exponential model</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Example (Latent-time exponential model)</w:t>
            </w:r>
          </w:p>
        </w:tc>
      </w:tr>
      <w:tr>
        <w:trPr>
          <w:cantSplit/>
        </w:trPr>
        <w:tc>
          <w:tcPr>
            <w:tcMar>
              <w:top w:w="108" w:type="dxa"/>
              <w:bottom w:w="108" w:type="dxa"/>
            </w:tcMar>
          </w:tcPr>
          <w:bookmarkStart w:id="66" w:name="exm-hessian-exponential"/>
          <w:p>
            <w:pPr>
              <w:pStyle w:val="BodyText"/>
            </w:pPr>
            <w:r>
              <w:rPr>
                <w:b/>
                <w:bCs/>
              </w:rPr>
              <w:t xml:space="preserve">Example 2 (Latent-time exponential model)</w:t>
            </w:r>
            <w:r>
              <w:t xml:space="preserve"> </w:t>
            </w:r>
            <w:r>
              <w:t xml:space="preserve">For the latent-time exponential model (the fully-observed-</w:t>
            </w:r>
            <m:oMath>
              <m:r>
                <m:t>T</m:t>
              </m:r>
            </m:oMath>
            <w:r>
              <w:t xml:space="preserve"> </w:t>
            </w:r>
            <w:r>
              <w:t xml:space="preserve">case</w:t>
            </w:r>
            <w:r>
              <w:t xml:space="preserve"> </w:t>
            </w:r>
            <w:r>
              <w:t xml:space="preserve">from</w:t>
            </w:r>
            <w:r>
              <w:t xml:space="preserve"> </w:t>
            </w:r>
            <w:r>
              <w:t xml:space="preserve">“Likelihood of latent infection times”</w:t>
            </w:r>
            <w:r>
              <w:t xml:space="preserve">),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(Definition</w:t>
            </w:r>
            <w:r>
              <w:t xml:space="preserve"> </w:t>
            </w:r>
            <w:hyperlink w:anchor="def-score">
              <w:r>
                <w:rPr>
                  <w:rStyle w:val="Hyperlink"/>
                </w:rPr>
                <w:t xml:space="preserve">Definition 4</w:t>
              </w:r>
            </w:hyperlink>
            <w:r>
              <w:t xml:space="preserve">) and the Hessian (Definition</w:t>
            </w:r>
            <w:r>
              <w:t xml:space="preserve"> </w:t>
            </w:r>
            <w:hyperlink w:anchor="def-hessian">
              <w:r>
                <w:rPr>
                  <w:rStyle w:val="Hyperlink"/>
                </w:rPr>
                <w:t xml:space="preserve">Definition 5</w:t>
              </w:r>
            </w:hyperlink>
            <w:r>
              <w:t xml:space="preserve">;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so the observed information (Definition</w:t>
            </w:r>
            <w:r>
              <w:t xml:space="preserve"> </w:t>
            </w:r>
            <w:hyperlink w:anchor="def-observed-information">
              <w:r>
                <w:rPr>
                  <w:rStyle w:val="Hyperlink"/>
                </w:rPr>
                <w:t xml:space="preserve">Definition 6</w:t>
              </w:r>
            </w:hyperlink>
            <w:r>
              <w:t xml:space="preserve">) is</w:t>
            </w:r>
            <w:r>
              <w:t xml:space="preserve"> </w:t>
            </w:r>
            <m:oMath>
              <m: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w:t>
            </w:r>
            <w:r>
              <w:t xml:space="preserve">(Corollary</w:t>
            </w:r>
            <w:r>
              <w:t xml:space="preserve"> </w:t>
            </w:r>
            <w:hyperlink w:anchor="cor-mle-fully-observed">
              <w:r>
                <w:rPr>
                  <w:rStyle w:val="Hyperlink"/>
                </w:rPr>
                <w:t xml:space="preserve">Corollary 1</w:t>
              </w:r>
            </w:hyperlink>
            <w:r>
              <w:t xml:space="preserve">), Theorem</w:t>
            </w:r>
            <w:r>
              <w:t xml:space="preserve"> </w:t>
            </w:r>
            <w:hyperlink w:anchor="thm-mle-asymptotic-variance">
              <w:r>
                <w:rPr>
                  <w:rStyle w:val="Hyperlink"/>
                </w:rPr>
                <w:t xml:space="preserve">Theorem 1</w:t>
              </w:r>
            </w:hyperlink>
            <w:r>
              <w:t xml:space="preserve"> </w:t>
            </w:r>
            <w:r>
              <w:t xml:space="preserve">gives</w:t>
            </w:r>
            <w:r>
              <w:t xml:space="preserve"> </w:t>
            </w:r>
            <w:r>
              <w:t xml:space="preserve">the variance and standard error:</w:t>
            </w:r>
          </w:p>
          <w:p>
            <w:pPr>
              <w:pStyle w:val="BodyText"/>
            </w:pPr>
            <m:oMathPara>
              <m:oMathParaPr>
                <m:jc m:val="center"/>
              </m:oMathParaPr>
              <m:oMath>
                <m:r>
                  <m:rPr>
                    <m:sty m:val="p"/>
                  </m:rPr>
                  <m:t/>
                </m:r>
                <m:r>
                  <m:t>​</m:t>
                </m:r>
                <m:d>
                  <m:dPr>
                    <m:begChr m:val="("/>
                    <m:sepChr m:val=""/>
                    <m:endChr m:val=")"/>
                    <m:grow/>
                  </m:dPr>
                  <m:e>
                    <m:acc>
                      <m:accPr>
                        <m:chr m:val="̂"/>
                      </m:accPr>
                      <m:e>
                        <m:r>
                          <m:t>λ</m:t>
                        </m:r>
                      </m:e>
                    </m:acc>
                  </m:e>
                </m:d>
                <m: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bookmarkEnd w:id="66"/>
          <w:p/>
        </w:tc>
      </w:tr>
    </w:tbl>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Theorem</w:t>
      </w:r>
      <w:r>
        <w:t xml:space="preserve"> </w:t>
      </w:r>
      <w:hyperlink w:anchor="thm-mle-asymptotic-variance">
        <w:r>
          <w:rPr>
            <w:rStyle w:val="Hyperlink"/>
          </w:rPr>
          <w:t xml:space="preserve">Theorem 1</w:t>
        </w:r>
      </w:hyperlink>
      <w:r>
        <w:t xml:space="preserve">.</w:t>
      </w:r>
    </w:p>
    <w:bookmarkEnd w:id="67"/>
    <w:bookmarkStart w:id="68"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68"/>
    <w:bookmarkStart w:id="77"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72" w:name="fig-sim-case-data"/>
          <w:p>
            <w:pPr>
              <w:jc w:val="center"/>
            </w:pPr>
            <w:r>
              <w:drawing>
                <wp:inline>
                  <wp:extent cx="4620126" cy="3696101"/>
                  <wp:effectExtent b="0" l="0" r="0" t="0"/>
                  <wp:docPr descr="" title="" id="70" name="Picture"/>
                  <a:graphic>
                    <a:graphicData uri="http://schemas.openxmlformats.org/drawingml/2006/picture">
                      <pic:pic>
                        <pic:nvPicPr>
                          <pic:cNvPr descr="methodology_files/figure-docx/unnamed-chunk-4-1.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72"/>
        </w:tc>
      </w:tr>
    </w:tbl>
    <w:p/>
    <w:tbl>
      <w:tblPr>
        <w:tblStyle w:val="Table"/>
        <w:tblW w:type="pct" w:w="5000"/>
        <w:tblLayout w:type="fixed"/>
        <w:tblLook w:firstRow="0" w:lastRow="0" w:firstColumn="0" w:lastColumn="0" w:noHBand="0" w:noVBand="0" w:val="0000"/>
      </w:tblPr>
      <w:tblGrid>
        <w:gridCol w:w="7920"/>
      </w:tblGrid>
      <w:tr>
        <w:tc>
          <w:tcPr/>
          <w:bookmarkStart w:id="76" w:name="fig-decay"/>
          <w:p>
            <w:pPr>
              <w:jc w:val="center"/>
            </w:pPr>
            <w:r>
              <w:drawing>
                <wp:inline>
                  <wp:extent cx="4620126" cy="3696101"/>
                  <wp:effectExtent b="0" l="0" r="0" t="0"/>
                  <wp:docPr descr="" title="" id="74" name="Picture"/>
                  <a:graphic>
                    <a:graphicData uri="http://schemas.openxmlformats.org/drawingml/2006/picture">
                      <pic:pic>
                        <pic:nvPicPr>
                          <pic:cNvPr descr="methodology_files/figure-docx/unnamed-chunk-5-1.png" id="75" name="Picture"/>
                          <pic:cNvPicPr>
                            <a:picLocks noChangeArrowheads="1" noChangeAspect="1"/>
                          </pic:cNvPicPr>
                        </pic:nvPicPr>
                        <pic:blipFill>
                          <a:blip r:embed="rId7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76"/>
        </w:tc>
      </w:tr>
    </w:tbl>
    <w:bookmarkEnd w:id="77"/>
    <w:bookmarkStart w:id="7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 Proposition</w:t>
      </w:r>
      <w:r>
        <w:t xml:space="preserve"> </w:t>
      </w:r>
      <w:hyperlink w:anchor="prp-time-since-infection">
        <w:r>
          <w:rPr>
            <w:rStyle w:val="Hyperlink"/>
          </w:rPr>
          <w:t xml:space="preserve">Proposition 1</w:t>
        </w:r>
      </w:hyperlink>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w:t>
      </w:r>
      <w:r>
        <w:t xml:space="preserve"> </w:t>
      </w:r>
      <w:r>
        <w:t xml:space="preserve">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w:t>
      </w:r>
      <w:r>
        <w:t xml:space="preserve"> </w:t>
      </w:r>
      <w:r>
        <w:t xml:space="preserve">discrete atom 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 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 over the continuous part plus the</w:t>
      </w:r>
      <w:r>
        <w:t xml:space="preserve"> </w:t>
      </w:r>
      <w:r>
        <w:t xml:space="preserve">never-infected term: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Proposition (Marginal likelihood of an observation)</w:t>
            </w:r>
          </w:p>
          <w:bookmarkStart w:id="78" w:name="prp-marginal-likelihood"/>
          <w:p>
            <w:pPr>
              <w:pStyle w:val="BodyText"/>
            </w:pPr>
            <w:r>
              <w:rPr>
                <w:b/>
                <w:bCs/>
              </w:rPr>
              <w:t xml:space="preserve">Proposition 2 (Marginal likelihood of an observation)</w:t>
            </w:r>
            <w:r>
              <w:t xml:space="preserve"> </w:t>
            </w:r>
            <w:r>
              <w:t xml:space="preserve">Combining the density of</w:t>
            </w:r>
            <w:r>
              <w:t xml:space="preserve"> </w:t>
            </w:r>
            <m:oMath>
              <m:r>
                <m:t>Y</m:t>
              </m:r>
            </m:oMath>
            <w:r>
              <w:t xml:space="preserve"> </w:t>
            </w:r>
            <w:r>
              <w:t xml:space="preserve">given</w:t>
            </w:r>
            <w:r>
              <w:t xml:space="preserve"> </w:t>
            </w:r>
            <m:oMath>
              <m:r>
                <m:t>T</m:t>
              </m:r>
            </m:oMath>
            <w:r>
              <w:t xml:space="preserve"> </w:t>
            </w:r>
            <w:r>
              <w:t xml:space="preserve">with the mixed distribution of</w:t>
            </w:r>
            <w:r>
              <w:t xml:space="preserve"> </w:t>
            </w:r>
            <m:oMath>
              <m:r>
                <m:t>T</m:t>
              </m:r>
            </m:oMath>
            <w:r>
              <w:t xml:space="preserve"> </w:t>
            </w:r>
            <w:r>
              <w:t xml:space="preserve">(Proposition</w:t>
            </w:r>
            <w:r>
              <w:t xml:space="preserve"> </w:t>
            </w:r>
            <w:hyperlink w:anchor="prp-time-since-infection">
              <w:r>
                <w:rPr>
                  <w:rStyle w:val="Hyperlink"/>
                </w:rPr>
                <w:t xml:space="preserve">Proposition 1</w:t>
              </w:r>
            </w:hyperlink>
            <w:r>
              <w:t xml:space="preserve">), the marginal likelihood</w:t>
            </w:r>
            <w:r>
              <w:t xml:space="preserve"> </w:t>
            </w:r>
            <w:r>
              <w:t xml:space="preserve">of a single participant’s observed antibody level is</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bookmarkEnd w:id="78"/>
        </w:tc>
      </w:tr>
    </w:tbl>
    <w:p>
      <w:pPr>
        <w:pStyle w:val="BodyText"/>
      </w:pPr>
      <w:r>
        <w:t xml:space="preserve">Two pieces here were not yet defined:</w:t>
      </w:r>
    </w:p>
    <w:p>
      <w:pPr>
        <w:pStyle w:val="Compact"/>
        <w:numPr>
          <w:ilvl w:val="0"/>
          <w:numId w:val="1017"/>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 Proposition</w:t>
      </w:r>
      <w:r>
        <w:t xml:space="preserve"> </w:t>
      </w:r>
      <w:hyperlink w:anchor="prp-time-since-infection">
        <w:r>
          <w:rPr>
            <w:rStyle w:val="Hyperlink"/>
          </w:rPr>
          <w:t xml:space="preserve">Proposition 1</w:t>
        </w:r>
      </w:hyperlink>
      <w:r>
        <w:t xml:space="preserve">.</w:t>
      </w:r>
    </w:p>
    <w:p>
      <w:pPr>
        <w:pStyle w:val="Compact"/>
        <w:numPr>
          <w:ilvl w:val="0"/>
          <w:numId w:val="1017"/>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79"/>
    <w:bookmarkStart w:id="81" w:name="the-full-sample-likelihood"/>
    <w:p>
      <w:pPr>
        <w:pStyle w:val="Heading2"/>
      </w:pPr>
      <w:r>
        <w:t xml:space="preserve">4.13 The full-sample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(Product of per-observation likelihoods)</w:t>
            </w:r>
          </w:p>
          <w:bookmarkStart w:id="80" w:name="def-full-sample-likelihood"/>
          <w:p>
            <w:pPr>
              <w:pStyle w:val="BodyText"/>
            </w:pPr>
            <w:r>
              <w:rPr>
                <w:b/>
                <w:bCs/>
              </w:rPr>
              <w:t xml:space="preserve">Definition 7 (Product of per-observation likelihoods)</w:t>
            </w:r>
            <w:r>
              <w:t xml:space="preserve"> </w:t>
            </w:r>
            <w:r>
              <w:t xml:space="preserve">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r>
                <m:rPr>
                  <m:sty m:val="p"/>
                </m:rPr>
                <m:t>)</m:t>
              </m:r>
            </m:oMath>
            <w:r>
              <w:t xml:space="preserve"> </w:t>
            </w:r>
            <w:r>
              <w:t xml:space="preserve">(Definition</w:t>
            </w:r>
            <w:r>
              <w:t xml:space="preserve"> </w:t>
            </w:r>
            <w:hyperlink w:anchor="def-likelihood">
              <w:r>
                <w:rPr>
                  <w:rStyle w:val="Hyperlink"/>
                </w:rPr>
                <w:t xml:space="preserve">Definition 3</w:t>
              </w:r>
            </w:hyperlink>
            <w:r>
              <w:t xml:space="preserve">) is the product of each participant’s</w:t>
            </w:r>
            <w:r>
              <w:t xml:space="preserve"> </w:t>
            </w:r>
            <w:r>
              <w:t xml:space="preserve">marginal likelihood (Proposition</w:t>
            </w:r>
            <w:r>
              <w:t xml:space="preserve"> </w:t>
            </w:r>
            <w:hyperlink w:anchor="prp-marginal-likelihood">
              <w:r>
                <w:rPr>
                  <w:rStyle w:val="Hyperlink"/>
                </w:rPr>
                <w:t xml:space="preserve">Proposition 2</w:t>
              </w:r>
            </w:hyperlink>
            <w:r>
              <w:t xml:space="preserve">):</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bookmarkEnd w:id="80"/>
        </w:tc>
      </w:tr>
    </w:tbl>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81"/>
    <w:bookmarkStart w:id="82"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82"/>
    <w:bookmarkStart w:id="88"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83"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18"/>
        </w:numPr>
      </w:pPr>
      <w:r>
        <w:t xml:space="preserve">Individuals within the same cluster share common exposures or characteristics</w:t>
      </w:r>
    </w:p>
    <w:p>
      <w:pPr>
        <w:pStyle w:val="Compact"/>
        <w:numPr>
          <w:ilvl w:val="0"/>
          <w:numId w:val="1018"/>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18"/>
        </w:numPr>
      </w:pPr>
      <w:r>
        <w:t xml:space="preserve">Confidence intervals will be</w:t>
      </w:r>
      <w:r>
        <w:t xml:space="preserve"> </w:t>
      </w:r>
      <w:r>
        <w:rPr>
          <w:b/>
          <w:bCs/>
        </w:rPr>
        <w:t xml:space="preserve">too narrow</w:t>
      </w:r>
    </w:p>
    <w:p>
      <w:pPr>
        <w:pStyle w:val="Compact"/>
        <w:numPr>
          <w:ilvl w:val="0"/>
          <w:numId w:val="1018"/>
        </w:numPr>
      </w:pPr>
      <w:r>
        <w:t xml:space="preserve">p-values will be</w:t>
      </w:r>
      <w:r>
        <w:t xml:space="preserve"> </w:t>
      </w:r>
      <w:r>
        <w:rPr>
          <w:b/>
          <w:bCs/>
        </w:rPr>
        <w:t xml:space="preserve">too optimistic</w:t>
      </w:r>
    </w:p>
    <w:bookmarkEnd w:id="83"/>
    <w:bookmarkStart w:id="85"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 also known as the Huber-White robust variance estimator</w:t>
      </w:r>
      <w:r>
        <w:t xml:space="preserve"> </w:t>
      </w:r>
      <w:r>
        <w:t xml:space="preserve">(Huber 1967; White 1980)</w:t>
      </w:r>
      <w:r>
        <w:t xml:space="preserve">, generalized to clustered/grouped data by</w:t>
      </w:r>
      <w:r>
        <w:t xml:space="preserve"> </w:t>
      </w:r>
      <w:r>
        <w:t xml:space="preserve">Liang and Zeger (1986)</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(Sandwich variance estimator)</w:t>
            </w:r>
          </w:p>
          <w:bookmarkStart w:id="84" w:name="def-cluster-robust-variance"/>
          <w:p>
            <w:pPr>
              <w:pStyle w:val="BodyText"/>
            </w:pPr>
            <w:r>
              <w:rPr>
                <w:b/>
                <w:bCs/>
              </w:rPr>
              <w:t xml:space="preserve">Definition 8 (Sandwich variance estimator)</w:t>
            </w:r>
            <w:r>
              <w:t xml:space="preserve"> </w:t>
            </w:r>
            <w:r>
              <w:t xml:space="preserve">Let</w:t>
            </w:r>
            <w:r>
              <w:t xml:space="preserve"> </w:t>
            </w:r>
            <m:oMath>
              <m:r>
                <m:t>C</m:t>
              </m:r>
            </m:oMath>
            <w:r>
              <w:t xml:space="preserve"> </w:t>
            </w:r>
            <w:r>
              <w:t xml:space="preserve">be the total number of non-overlapping clusters in the sample,</w:t>
            </w:r>
            <w:r>
              <w:t xml:space="preserve"> </w:t>
            </w:r>
            <w:r>
              <w:t xml:space="preserve">and let</w:t>
            </w:r>
            <w:r>
              <w:t xml:space="preserve"> </w:t>
            </w:r>
            <m:oMath>
              <m:r>
                <m:t>H</m:t>
              </m:r>
            </m:oMath>
            <w:r>
              <w:t xml:space="preserve"> </w:t>
            </w:r>
            <w:r>
              <w:t xml:space="preserve">be the Hessian of the log-likelihood with respect to the</w:t>
            </w:r>
            <w:r>
              <w:t xml:space="preserve"> </w:t>
            </w:r>
            <w:r>
              <w:t xml:space="preserve">parameter estimates (Definition</w:t>
            </w:r>
            <w:r>
              <w:t xml:space="preserve"> </w:t>
            </w:r>
            <w:hyperlink w:anchor="def-hessian">
              <w:r>
                <w:rPr>
                  <w:rStyle w:val="Hyperlink"/>
                </w:rPr>
                <w:t xml:space="preserve">Definition 5</w:t>
              </w:r>
            </w:hyperlink>
            <w:r>
              <w:t xml:space="preserve">), evaluated at the MLE</w:t>
            </w:r>
            <w:r>
              <w:t xml:space="preserve"> </w:t>
            </w:r>
            <m:oMath>
              <m:acc>
                <m:accPr>
                  <m:chr m:val="̂"/>
                </m:accPr>
                <m:e>
                  <m:r>
                    <m:t>λ</m:t>
                  </m:r>
                </m:e>
              </m:acc>
            </m:oMath>
            <w:r>
              <w:t xml:space="preserve">. The</w:t>
            </w:r>
            <w:r>
              <w:t xml:space="preserve"> </w:t>
            </w:r>
            <w:r>
              <w:rPr>
                <w:b/>
                <w:bCs/>
              </w:rPr>
              <w:t xml:space="preserve">cluster-robust variance-covariance matrix</w:t>
            </w:r>
            <w:r>
              <w:t xml:space="preserve"> </w:t>
            </w:r>
            <w:r>
              <w:t xml:space="preserve">for</w:t>
            </w:r>
            <w:r>
              <w:t xml:space="preserve"> </w:t>
            </w:r>
            <w:r>
              <w:t xml:space="preserve">the parameter estimates is</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r>
              <w:t xml:space="preserve"> </w:t>
            </w:r>
            <m:oMath>
              <m:r>
                <m:t>B</m:t>
              </m:r>
            </m:oMath>
            <w:r>
              <w:t xml:space="preserve"> </w:t>
            </w:r>
            <w:r>
              <w:t xml:space="preserve">is the</w:t>
            </w:r>
            <w:r>
              <w:t xml:space="preserve"> </w:t>
            </w:r>
            <w:r>
              <w:t xml:space="preserve">“meat”</w:t>
            </w:r>
            <w:r>
              <w:t xml:space="preserve"> </w:t>
            </w:r>
            <w:r>
              <w:t xml:space="preserve">of the sandwich, calculated from cluster-level</w:t>
            </w:r>
            <w:r>
              <w:t xml:space="preserve"> </w:t>
            </w:r>
            <w:r>
              <w:t xml:space="preserve">score contributions:</w:t>
            </w:r>
          </w:p>
          <w:p>
            <w:pPr>
              <w:pStyle w:val="BodyText"/>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r>
                  <m:rPr>
                    <m:sty m:val="p"/>
                  </m:rPr>
                  <m:t>,</m:t>
                </m:r>
                <m:r>
                  <m:t>  </m:t>
                </m:r>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m:oMathPara>
          </w:p>
          <w:p>
            <w:pPr>
              <w:pStyle w:val="FirstParagraph"/>
            </w:pPr>
            <w:r>
              <w:t xml:space="preserve">and</w:t>
            </w:r>
            <w:r>
              <w:t xml:space="preserve"> </w:t>
            </w:r>
            <m:oMath>
              <m:sSub>
                <m:e>
                  <m:r>
                    <m:t>U</m:t>
                  </m:r>
                </m:e>
                <m:sub>
                  <m:r>
                    <m:t>c</m:t>
                  </m:r>
                </m:sub>
              </m:sSub>
            </m:oMath>
            <w:r>
              <w:t xml:space="preserve"> </w:t>
            </w:r>
            <w:r>
              <w:t xml:space="preserve">sums the score contributions (Definition</w:t>
            </w:r>
            <w:r>
              <w:t xml:space="preserve"> </w:t>
            </w:r>
            <w:hyperlink w:anchor="def-score">
              <w:r>
                <w:rPr>
                  <w:rStyle w:val="Hyperlink"/>
                </w:rPr>
                <w:t xml:space="preserve">Definition 4</w:t>
              </w:r>
            </w:hyperlink>
            <w:r>
              <w:t xml:space="preserve">) of</w:t>
            </w:r>
            <w:r>
              <w:t xml:space="preserve"> </w:t>
            </w:r>
            <w:r>
              <w:t xml:space="preserve">every observation</w:t>
            </w:r>
            <w:r>
              <w:t xml:space="preserve"> </w:t>
            </w:r>
            <m:oMath>
              <m:r>
                <m:t>i</m:t>
              </m:r>
            </m:oMath>
            <w:r>
              <w:t xml:space="preserve"> </w:t>
            </w:r>
            <w:r>
              <w:t xml:space="preserve">in cluster</w:t>
            </w:r>
            <w:r>
              <w:t xml:space="preserve"> </w:t>
            </w:r>
            <m:oMath>
              <m:r>
                <m:t>c</m:t>
              </m:r>
            </m:oMath>
            <w:r>
              <w:t xml:space="preserve"> </w:t>
            </w:r>
            <w:r>
              <w:t xml:space="preserve">(i.e.,</w:t>
            </w:r>
            <w:r>
              <w:t xml:space="preserve"> </w:t>
            </w:r>
            <m:oMath>
              <m:sSub>
                <m:e>
                  <m:r>
                    <m:rPr>
                      <m:sty m:val="p"/>
                    </m:rPr>
                    <m:t>∇</m:t>
                  </m:r>
                </m:e>
                <m:sub>
                  <m:r>
                    <m:t>λ</m:t>
                  </m:r>
                </m:sub>
              </m:sSub>
            </m:oMath>
            <w:r>
              <w:t xml:space="preserve"> </w:t>
            </w:r>
            <w:r>
              <w:t xml:space="preserve">denotes</w:t>
            </w:r>
            <w:r>
              <w:t xml:space="preserve"> </w:t>
            </w:r>
            <w:r>
              <w:t xml:space="preserve">the gradient operator, the vector of partial derivatives with respect</w:t>
            </w:r>
            <w:r>
              <w:t xml:space="preserve"> </w:t>
            </w:r>
            <w:r>
              <w:t xml:space="preserve">to the parameter</w:t>
            </w:r>
            <w:r>
              <w:t xml:space="preserve"> </w:t>
            </w:r>
            <m:oMath>
              <m:r>
                <m:t>λ</m:t>
              </m:r>
            </m:oMath>
            <w:r>
              <w:t xml:space="preserve">).</w:t>
            </w:r>
          </w:p>
          <w:bookmarkEnd w:id="84"/>
        </w:tc>
      </w:tr>
    </w:tbl>
    <w:bookmarkEnd w:id="85"/>
    <w:bookmarkStart w:id="86"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86"/>
    <w:bookmarkStart w:id="87" w:name="effect-on-results"/>
    <w:p>
      <w:pPr>
        <w:pStyle w:val="Heading3"/>
      </w:pPr>
      <w:r>
        <w:t xml:space="preserve">4.15.4 Effect on results</w:t>
      </w:r>
    </w:p>
    <w:p>
      <w:pPr>
        <w:pStyle w:val="Compact"/>
        <w:numPr>
          <w:ilvl w:val="0"/>
          <w:numId w:val="1019"/>
        </w:numPr>
      </w:pPr>
      <w:r>
        <w:rPr>
          <w:b/>
          <w:bCs/>
        </w:rPr>
        <w:t xml:space="preserve">Point estimates</w:t>
      </w:r>
      <w:r>
        <w:t xml:space="preserve"> </w:t>
      </w:r>
      <w:r>
        <w:t xml:space="preserve">(incidence rates) remain unchanged</w:t>
      </w:r>
    </w:p>
    <w:p>
      <w:pPr>
        <w:pStyle w:val="Compact"/>
        <w:numPr>
          <w:ilvl w:val="0"/>
          <w:numId w:val="1019"/>
        </w:numPr>
      </w:pPr>
      <w:r>
        <w:rPr>
          <w:b/>
          <w:bCs/>
        </w:rPr>
        <w:t xml:space="preserve">Standard errors</w:t>
      </w:r>
      <w:r>
        <w:t xml:space="preserve"> </w:t>
      </w:r>
      <w:r>
        <w:t xml:space="preserve">often increase to reflect within-cluster correlation</w:t>
      </w:r>
    </w:p>
    <w:p>
      <w:pPr>
        <w:pStyle w:val="Compact"/>
        <w:numPr>
          <w:ilvl w:val="0"/>
          <w:numId w:val="1019"/>
        </w:numPr>
      </w:pPr>
      <w:r>
        <w:rPr>
          <w:b/>
          <w:bCs/>
        </w:rPr>
        <w:t xml:space="preserve">Confidence intervals</w:t>
      </w:r>
      <w:r>
        <w:t xml:space="preserve"> </w:t>
      </w:r>
      <w:r>
        <w:t xml:space="preserve">appropriately widen to account for reduced effective sample size</w:t>
      </w:r>
    </w:p>
    <w:bookmarkEnd w:id="87"/>
    <w:bookmarkEnd w:id="88"/>
    <w:bookmarkEnd w:id="89"/>
    <w:bookmarkStart w:id="126"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90"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0"/>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0"/>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0"/>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2"/>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2"/>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2"/>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90"/>
    <w:bookmarkStart w:id="91"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91"/>
    <w:bookmarkStart w:id="92"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92"/>
    <w:bookmarkStart w:id="93"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93"/>
    <w:bookmarkStart w:id="102"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24"/>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24"/>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24"/>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97" w:name="fig-response-graph"/>
          <w:p>
            <w:pPr>
              <w:pStyle w:val="Compact"/>
              <w:jc w:val="center"/>
            </w:pPr>
            <w:r>
              <w:drawing>
                <wp:inline>
                  <wp:extent cx="4620126" cy="3696101"/>
                  <wp:effectExtent b="0" l="0" r="0" t="0"/>
                  <wp:docPr descr="" title="" id="95" name="Picture"/>
                  <a:graphic>
                    <a:graphicData uri="http://schemas.openxmlformats.org/drawingml/2006/picture">
                      <pic:pic>
                        <pic:nvPicPr>
                          <pic:cNvPr descr="methodology_files/figure-docx/fig-response-graph-1.png" id="96" name="Picture"/>
                          <pic:cNvPicPr>
                            <a:picLocks noChangeArrowheads="1" noChangeAspect="1"/>
                          </pic:cNvPicPr>
                        </pic:nvPicPr>
                        <pic:blipFill>
                          <a:blip r:embed="rId9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97"/>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98">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100" name="Picture"/>
            <a:graphic>
              <a:graphicData uri="http://schemas.openxmlformats.org/drawingml/2006/picture">
                <pic:pic>
                  <pic:nvPicPr>
                    <pic:cNvPr descr="../man/figures/qr_akm2.svg" id="10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9"/>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102"/>
    <w:bookmarkStart w:id="103"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25"/>
        </w:numPr>
      </w:pPr>
      <m:oMath>
        <m:sSub>
          <m:e>
            <m:r>
              <m:t>y</m:t>
            </m:r>
          </m:e>
          <m:sub>
            <m:r>
              <m:rPr>
                <m:nor/>
                <m:sty m:val="p"/>
              </m:rPr>
              <m:t>obs</m:t>
            </m:r>
          </m:sub>
        </m:sSub>
      </m:oMath>
      <w:r>
        <w:t xml:space="preserve">: measured serum antibody concentration</w:t>
      </w:r>
    </w:p>
    <w:p>
      <w:pPr>
        <w:pStyle w:val="Compact"/>
        <w:numPr>
          <w:ilvl w:val="0"/>
          <w:numId w:val="1025"/>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5"/>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26"/>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2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103"/>
    <w:bookmarkStart w:id="104"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27"/>
        </w:numPr>
      </w:pPr>
      <m:oMath>
        <m:sSub>
          <m:e>
            <m:r>
              <m:t>y</m:t>
            </m:r>
          </m:e>
          <m:sub>
            <m:r>
              <m:rPr>
                <m:nor/>
                <m:sty m:val="p"/>
              </m:rPr>
              <m:t>obs</m:t>
            </m:r>
          </m:sub>
        </m:sSub>
      </m:oMath>
      <w:r>
        <w:t xml:space="preserve">: measured serum antibody concentration</w:t>
      </w:r>
    </w:p>
    <w:p>
      <w:pPr>
        <w:pStyle w:val="Compact"/>
        <w:numPr>
          <w:ilvl w:val="0"/>
          <w:numId w:val="1027"/>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7"/>
        </w:numPr>
      </w:pPr>
      <m:oMath>
        <m:r>
          <m:t>ξ</m:t>
        </m:r>
      </m:oMath>
      <w:r>
        <w:t xml:space="preserve">: relative measurement error</w:t>
      </w:r>
    </w:p>
    <w:p>
      <w:pPr>
        <w:pStyle w:val="Compact"/>
        <w:numPr>
          <w:ilvl w:val="0"/>
          <w:numId w:val="1027"/>
        </w:numPr>
      </w:pPr>
      <m:oMath>
        <m:r>
          <m:t>ε</m:t>
        </m:r>
      </m:oMath>
      <w:r>
        <w:t xml:space="preserve">: bound on the relative error</w:t>
      </w:r>
    </w:p>
    <w:p>
      <w:pPr>
        <w:pStyle w:val="FirstParagraph"/>
      </w:pPr>
      <w:r>
        <w:t xml:space="preserve">Model:</w:t>
      </w:r>
    </w:p>
    <w:p>
      <w:pPr>
        <w:pStyle w:val="Compact"/>
        <w:numPr>
          <w:ilvl w:val="0"/>
          <w:numId w:val="1028"/>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28"/>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104"/>
    <w:bookmarkStart w:id="105"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29"/>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29"/>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29"/>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105"/>
    <w:bookmarkStart w:id="106"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0"/>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0"/>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106"/>
    <w:bookmarkStart w:id="111"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110" w:name="fig-curve-posterior"/>
          <w:p>
            <w:pPr>
              <w:pStyle w:val="Compact"/>
              <w:jc w:val="center"/>
            </w:pPr>
            <w:r>
              <w:drawing>
                <wp:inline>
                  <wp:extent cx="4620126" cy="3696101"/>
                  <wp:effectExtent b="0" l="0" r="0" t="0"/>
                  <wp:docPr descr="" title="" id="108" name="Picture"/>
                  <a:graphic>
                    <a:graphicData uri="http://schemas.openxmlformats.org/drawingml/2006/picture">
                      <pic:pic>
                        <pic:nvPicPr>
                          <pic:cNvPr descr="methodology_files/figure-docx/fig-curve-posterior-1.png" id="109" name="Picture"/>
                          <pic:cNvPicPr>
                            <a:picLocks noChangeArrowheads="1" noChangeAspect="1"/>
                          </pic:cNvPicPr>
                        </pic:nvPicPr>
                        <pic:blipFill>
                          <a:blip r:embed="rId10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110"/>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111"/>
    <w:bookmarkStart w:id="117"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12">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6" w:name="fig-loglik"/>
          <w:p>
            <w:pPr>
              <w:pStyle w:val="Compact"/>
              <w:jc w:val="center"/>
            </w:pPr>
            <w:r>
              <w:drawing>
                <wp:inline>
                  <wp:extent cx="4620126" cy="3696101"/>
                  <wp:effectExtent b="0" l="0" r="0" t="0"/>
                  <wp:docPr descr="" title="" id="114" name="Picture"/>
                  <a:graphic>
                    <a:graphicData uri="http://schemas.openxmlformats.org/drawingml/2006/picture">
                      <pic:pic>
                        <pic:nvPicPr>
                          <pic:cNvPr descr="methodology_files/figure-docx/fig-loglik-1.png" id="115" name="Picture"/>
                          <pic:cNvPicPr>
                            <a:picLocks noChangeArrowheads="1" noChangeAspect="1"/>
                          </pic:cNvPicPr>
                        </pic:nvPicPr>
                        <pic:blipFill>
                          <a:blip r:embed="rId11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16"/>
        </w:tc>
      </w:tr>
    </w:tbl>
    <w:bookmarkEnd w:id="117"/>
    <w:bookmarkStart w:id="121"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19" name="Picture"/>
            <a:graphic>
              <a:graphicData uri="http://schemas.openxmlformats.org/drawingml/2006/picture">
                <pic:pic>
                  <pic:nvPicPr>
                    <pic:cNvPr descr="../man/figures/kinetics-variation-1.png" id="120" name="Picture"/>
                    <pic:cNvPicPr>
                      <a:picLocks noChangeArrowheads="1" noChangeAspect="1"/>
                    </pic:cNvPicPr>
                  </pic:nvPicPr>
                  <pic:blipFill>
                    <a:blip r:embed="rId118"/>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21"/>
    <w:bookmarkStart w:id="125"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23" name="Picture"/>
            <a:graphic>
              <a:graphicData uri="http://schemas.openxmlformats.org/drawingml/2006/picture">
                <pic:pic>
                  <pic:nvPicPr>
                    <pic:cNvPr descr="../man/figures/kinetics-variation-2.png" id="124" name="Picture"/>
                    <pic:cNvPicPr>
                      <a:picLocks noChangeArrowheads="1" noChangeAspect="1"/>
                    </pic:cNvPicPr>
                  </pic:nvPicPr>
                  <pic:blipFill>
                    <a:blip r:embed="rId122"/>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25"/>
    <w:bookmarkEnd w:id="126"/>
    <w:bookmarkStart w:id="138" w:name="estimating-the-curves-with-serodynamics"/>
    <w:p>
      <w:pPr>
        <w:pStyle w:val="Heading1"/>
      </w:pPr>
      <w:r>
        <w:t xml:space="preserve">6. Estimating the curves with</w:t>
      </w:r>
      <w:r>
        <w:t xml:space="preserve"> </w:t>
      </w:r>
      <w:r>
        <w:rPr>
          <w:rStyle w:val="VerbatimChar"/>
        </w:rPr>
        <w:t xml:space="preserve">serodynamics</w:t>
      </w:r>
    </w:p>
    <w:bookmarkStart w:id="127"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1"/>
        </w:numPr>
      </w:pPr>
      <w:r>
        <w:t xml:space="preserve">baseline antibody level (</w:t>
      </w:r>
      <m:oMath>
        <m:sSub>
          <m:e>
            <m:r>
              <m:t>y</m:t>
            </m:r>
          </m:e>
          <m:sub>
            <m:r>
              <m:t>0</m:t>
            </m:r>
          </m:sub>
        </m:sSub>
      </m:oMath>
      <w:r>
        <w:t xml:space="preserve">)</w:t>
      </w:r>
    </w:p>
    <w:p>
      <w:pPr>
        <w:pStyle w:val="Compact"/>
        <w:numPr>
          <w:ilvl w:val="0"/>
          <w:numId w:val="1031"/>
        </w:numPr>
      </w:pPr>
      <w:r>
        <w:t xml:space="preserve">peak concentration (</w:t>
      </w:r>
      <m:oMath>
        <m:sSub>
          <m:e>
            <m:r>
              <m:t>y</m:t>
            </m:r>
          </m:e>
          <m:sub>
            <m:r>
              <m:t>1</m:t>
            </m:r>
          </m:sub>
        </m:sSub>
      </m:oMath>
      <w:r>
        <w:t xml:space="preserve">)</w:t>
      </w:r>
    </w:p>
    <w:p>
      <w:pPr>
        <w:pStyle w:val="Compact"/>
        <w:numPr>
          <w:ilvl w:val="0"/>
          <w:numId w:val="1031"/>
        </w:numPr>
      </w:pPr>
      <w:r>
        <w:t xml:space="preserve">time to peak (</w:t>
      </w:r>
      <m:oMath>
        <m:sSub>
          <m:e>
            <m:r>
              <m:t>t</m:t>
            </m:r>
          </m:e>
          <m:sub>
            <m:r>
              <m:t>1</m:t>
            </m:r>
          </m:sub>
        </m:sSub>
      </m:oMath>
      <w:r>
        <w:t xml:space="preserve">)</w:t>
      </w:r>
    </w:p>
    <w:p>
      <w:pPr>
        <w:pStyle w:val="Compact"/>
        <w:numPr>
          <w:ilvl w:val="0"/>
          <w:numId w:val="1031"/>
        </w:numPr>
      </w:pPr>
      <w:r>
        <w:t xml:space="preserve">decay rate (</w:t>
      </w:r>
      <m:oMath>
        <m:r>
          <m:t>α</m:t>
        </m:r>
      </m:oMath>
      <w:r>
        <w:t xml:space="preserve">)</w:t>
      </w:r>
    </w:p>
    <w:p>
      <w:pPr>
        <w:pStyle w:val="Compact"/>
        <w:numPr>
          <w:ilvl w:val="0"/>
          <w:numId w:val="1031"/>
        </w:numPr>
      </w:pPr>
      <w:r>
        <w:t xml:space="preserve">decay shape (</w:t>
      </w:r>
      <m:oMath>
        <m:r>
          <m:t>r</m:t>
        </m:r>
      </m:oMath>
      <w:r>
        <w:t xml:space="preserve">)</w:t>
      </w:r>
    </w:p>
    <w:bookmarkEnd w:id="127"/>
    <w:bookmarkStart w:id="129"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28">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29"/>
    <w:bookmarkStart w:id="130"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30"/>
    <w:bookmarkStart w:id="134"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32" name="Picture"/>
            <a:graphic>
              <a:graphicData uri="http://schemas.openxmlformats.org/drawingml/2006/picture">
                <pic:pic>
                  <pic:nvPicPr>
                    <pic:cNvPr descr="../man/figures/serodynamics-cached-fit.png" id="133" name="Picture"/>
                    <pic:cNvPicPr>
                      <a:picLocks noChangeArrowheads="1" noChangeAspect="1"/>
                    </pic:cNvPicPr>
                  </pic:nvPicPr>
                  <pic:blipFill>
                    <a:blip r:embed="rId13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34"/>
    <w:bookmarkStart w:id="135" w:name="two-packages-one-pipeline"/>
    <w:p>
      <w:pPr>
        <w:pStyle w:val="Heading2"/>
      </w:pPr>
      <w:r>
        <w:t xml:space="preserve">6.5 Two packages, one pipeline</w:t>
      </w:r>
    </w:p>
    <w:p>
      <w:pPr>
        <w:pStyle w:val="Compact"/>
        <w:numPr>
          <w:ilvl w:val="0"/>
          <w:numId w:val="1032"/>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2"/>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35"/>
    <w:bookmarkStart w:id="136"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33"/>
        </w:numPr>
      </w:pPr>
      <w:r>
        <w:rPr>
          <w:b/>
          <w:bCs/>
        </w:rPr>
        <w:t xml:space="preserve">estimation uncertainty</w:t>
      </w:r>
      <w:r>
        <w:t xml:space="preserve"> </w:t>
      </w:r>
      <w:r>
        <w:t xml:space="preserve">in the kinetics parameters, and</w:t>
      </w:r>
    </w:p>
    <w:p>
      <w:pPr>
        <w:pStyle w:val="Compact"/>
        <w:numPr>
          <w:ilvl w:val="0"/>
          <w:numId w:val="1033"/>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36"/>
    <w:bookmarkStart w:id="137"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34"/>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34"/>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37"/>
    <w:bookmarkEnd w:id="138"/>
    <w:bookmarkStart w:id="159" w:name="using-serocalculator"/>
    <w:p>
      <w:pPr>
        <w:pStyle w:val="Heading1"/>
      </w:pPr>
      <w:r>
        <w:t xml:space="preserve">7. Using</w:t>
      </w:r>
      <w:r>
        <w:t xml:space="preserve"> </w:t>
      </w:r>
      <w:r>
        <w:rPr>
          <w:rStyle w:val="VerbatimChar"/>
        </w:rPr>
        <w:t xml:space="preserve">serocalculator</w:t>
      </w:r>
    </w:p>
    <w:bookmarkStart w:id="140"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39">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40"/>
    <w:bookmarkStart w:id="141"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35"/>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35"/>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35"/>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41"/>
    <w:bookmarkStart w:id="142"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42"/>
    <w:bookmarkStart w:id="147"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46" w:name="fig-sim-distribution"/>
          <w:p>
            <w:pPr>
              <w:pStyle w:val="Compact"/>
              <w:jc w:val="center"/>
            </w:pPr>
            <w:r>
              <w:drawing>
                <wp:inline>
                  <wp:extent cx="4620126" cy="3696101"/>
                  <wp:effectExtent b="0" l="0" r="0" t="0"/>
                  <wp:docPr descr="" title="" id="144" name="Picture"/>
                  <a:graphic>
                    <a:graphicData uri="http://schemas.openxmlformats.org/drawingml/2006/picture">
                      <pic:pic>
                        <pic:nvPicPr>
                          <pic:cNvPr descr="methodology_files/figure-docx/fig-sim-distribution-1.png" id="145" name="Picture"/>
                          <pic:cNvPicPr>
                            <a:picLocks noChangeArrowheads="1" noChangeAspect="1"/>
                          </pic:cNvPicPr>
                        </pic:nvPicPr>
                        <pic:blipFill>
                          <a:blip r:embed="rId14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46"/>
        </w:tc>
      </w:tr>
    </w:tbl>
    <w:bookmarkEnd w:id="147"/>
    <w:bookmarkStart w:id="152"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51" w:name="fig-est-single-loglik"/>
          <w:p>
            <w:pPr>
              <w:pStyle w:val="Compact"/>
              <w:jc w:val="center"/>
            </w:pPr>
            <w:r>
              <w:drawing>
                <wp:inline>
                  <wp:extent cx="4620126" cy="3696101"/>
                  <wp:effectExtent b="0" l="0" r="0" t="0"/>
                  <wp:docPr descr="" title="" id="149" name="Picture"/>
                  <a:graphic>
                    <a:graphicData uri="http://schemas.openxmlformats.org/drawingml/2006/picture">
                      <pic:pic>
                        <pic:nvPicPr>
                          <pic:cNvPr descr="methodology_files/figure-docx/fig-est-single-loglik-1.png" id="150" name="Picture"/>
                          <pic:cNvPicPr>
                            <a:picLocks noChangeArrowheads="1" noChangeAspect="1"/>
                          </pic:cNvPicPr>
                        </pic:nvPicPr>
                        <pic:blipFill>
                          <a:blip r:embed="rId14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51"/>
        </w:tc>
      </w:tr>
    </w:tbl>
    <w:bookmarkEnd w:id="152"/>
    <w:bookmarkStart w:id="153"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53"/>
    <w:bookmarkStart w:id="158" w:name="interactive-shiny-app"/>
    <w:p>
      <w:pPr>
        <w:pStyle w:val="Heading2"/>
      </w:pPr>
      <w:r>
        <w:t xml:space="preserve">7.7 Interactive Shiny app</w:t>
      </w:r>
    </w:p>
    <w:p>
      <w:pPr>
        <w:pStyle w:val="FirstParagraph"/>
      </w:pPr>
      <w:r>
        <w:t xml:space="preserve">A point-and-click interface is available at</w:t>
      </w:r>
      <w:r>
        <w:t xml:space="preserve"> </w:t>
      </w:r>
      <w:hyperlink r:id="rId154">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56" name="Picture"/>
            <a:graphic>
              <a:graphicData uri="http://schemas.openxmlformats.org/drawingml/2006/picture">
                <pic:pic>
                  <pic:nvPicPr>
                    <pic:cNvPr descr="../man/figures/shiny-serocalculator.png" id="157" name="Picture"/>
                    <pic:cNvPicPr>
                      <a:picLocks noChangeArrowheads="1" noChangeAspect="1"/>
                    </pic:cNvPicPr>
                  </pic:nvPicPr>
                  <pic:blipFill>
                    <a:blip r:embed="rId155"/>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58"/>
    <w:bookmarkEnd w:id="159"/>
    <w:bookmarkStart w:id="192" w:name="sec-validation"/>
    <w:p>
      <w:pPr>
        <w:pStyle w:val="Heading1"/>
      </w:pPr>
      <w:r>
        <w:t xml:space="preserve">8. Validation: recovering known incidence rates</w:t>
      </w:r>
    </w:p>
    <w:bookmarkStart w:id="164"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63" w:name="fig-sim-multi-distribution"/>
          <w:p>
            <w:pPr>
              <w:pStyle w:val="Compact"/>
              <w:jc w:val="center"/>
            </w:pPr>
            <w:r>
              <w:drawing>
                <wp:inline>
                  <wp:extent cx="4620126" cy="4620126"/>
                  <wp:effectExtent b="0" l="0" r="0" t="0"/>
                  <wp:docPr descr="" title="" id="161" name="Picture"/>
                  <a:graphic>
                    <a:graphicData uri="http://schemas.openxmlformats.org/drawingml/2006/picture">
                      <pic:pic>
                        <pic:nvPicPr>
                          <pic:cNvPr descr="methodology_files/figure-docx/fig-sim-multi-distribution-1.png" id="162" name="Picture"/>
                          <pic:cNvPicPr>
                            <a:picLocks noChangeArrowheads="1" noChangeAspect="1"/>
                          </pic:cNvPicPr>
                        </pic:nvPicPr>
                        <pic:blipFill>
                          <a:blip r:embed="rId160"/>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63"/>
        </w:tc>
      </w:tr>
    </w:tbl>
    <w:bookmarkEnd w:id="164"/>
    <w:bookmarkStart w:id="166"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65"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65"/>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66"/>
    <w:bookmarkStart w:id="171"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70" w:name="fig-cluster-logliks"/>
          <w:p>
            <w:pPr>
              <w:pStyle w:val="Compact"/>
              <w:jc w:val="center"/>
            </w:pPr>
            <w:r>
              <w:drawing>
                <wp:inline>
                  <wp:extent cx="4620126" cy="6468176"/>
                  <wp:effectExtent b="0" l="0" r="0" t="0"/>
                  <wp:docPr descr="" title="" id="168" name="Picture"/>
                  <a:graphic>
                    <a:graphicData uri="http://schemas.openxmlformats.org/drawingml/2006/picture">
                      <pic:pic>
                        <pic:nvPicPr>
                          <pic:cNvPr descr="methodology_files/figure-docx/fig-cluster-logliks-1.png" id="169" name="Picture"/>
                          <pic:cNvPicPr>
                            <a:picLocks noChangeArrowheads="1" noChangeAspect="1"/>
                          </pic:cNvPicPr>
                        </pic:nvPicPr>
                        <pic:blipFill>
                          <a:blip r:embed="rId167"/>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70"/>
        </w:tc>
      </w:tr>
    </w:tbl>
    <w:bookmarkEnd w:id="171"/>
    <w:bookmarkStart w:id="177"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36"/>
        </w:numPr>
      </w:pPr>
      <w:r>
        <w:t xml:space="preserve">code 3: decrease</w:t>
      </w:r>
      <w:r>
        <w:t xml:space="preserve"> </w:t>
      </w:r>
      <w:r>
        <w:rPr>
          <w:rStyle w:val="VerbatimChar"/>
        </w:rPr>
        <w:t xml:space="preserve">stepmin</w:t>
      </w:r>
    </w:p>
    <w:p>
      <w:pPr>
        <w:pStyle w:val="Compact"/>
        <w:numPr>
          <w:ilvl w:val="0"/>
          <w:numId w:val="1036"/>
        </w:numPr>
      </w:pPr>
      <w:r>
        <w:t xml:space="preserve">code 4: increase</w:t>
      </w:r>
      <w:r>
        <w:t xml:space="preserve"> </w:t>
      </w:r>
      <w:r>
        <w:rPr>
          <w:rStyle w:val="VerbatimChar"/>
        </w:rPr>
        <w:t xml:space="preserve">iterlim</w:t>
      </w:r>
    </w:p>
    <w:p>
      <w:pPr>
        <w:pStyle w:val="Compact"/>
        <w:numPr>
          <w:ilvl w:val="0"/>
          <w:numId w:val="1036"/>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72">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76" w:name="fig-problem-strata"/>
          <w:p>
            <w:pPr>
              <w:pStyle w:val="Compact"/>
              <w:jc w:val="center"/>
            </w:pPr>
            <w:r>
              <w:drawing>
                <wp:inline>
                  <wp:extent cx="4620126" cy="6468176"/>
                  <wp:effectExtent b="0" l="0" r="0" t="0"/>
                  <wp:docPr descr="" title="" id="174" name="Picture"/>
                  <a:graphic>
                    <a:graphicData uri="http://schemas.openxmlformats.org/drawingml/2006/picture">
                      <pic:pic>
                        <pic:nvPicPr>
                          <pic:cNvPr descr="methodology_files/figure-docx/fig-problem-strata-1.png" id="175" name="Picture"/>
                          <pic:cNvPicPr>
                            <a:picLocks noChangeArrowheads="1" noChangeAspect="1"/>
                          </pic:cNvPicPr>
                        </pic:nvPicPr>
                        <pic:blipFill>
                          <a:blip r:embed="rId173"/>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76"/>
        </w:tc>
      </w:tr>
    </w:tbl>
    <w:bookmarkEnd w:id="177"/>
    <w:bookmarkStart w:id="186"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81" w:name="fig-sim-recovery"/>
          <w:p>
            <w:pPr>
              <w:pStyle w:val="Compact"/>
              <w:jc w:val="center"/>
            </w:pPr>
            <w:r>
              <w:drawing>
                <wp:inline>
                  <wp:extent cx="4620126" cy="3696101"/>
                  <wp:effectExtent b="0" l="0" r="0" t="0"/>
                  <wp:docPr descr="" title="" id="179" name="Picture"/>
                  <a:graphic>
                    <a:graphicData uri="http://schemas.openxmlformats.org/drawingml/2006/picture">
                      <pic:pic>
                        <pic:nvPicPr>
                          <pic:cNvPr descr="methodology_files/figure-docx/fig-sim-recovery-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81"/>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85" w:name="fig-empirical-se"/>
          <w:p>
            <w:pPr>
              <w:pStyle w:val="Compact"/>
              <w:jc w:val="center"/>
            </w:pPr>
            <w:r>
              <w:drawing>
                <wp:inline>
                  <wp:extent cx="4620126" cy="3696101"/>
                  <wp:effectExtent b="0" l="0" r="0" t="0"/>
                  <wp:docPr descr="" title="" id="183" name="Picture"/>
                  <a:graphic>
                    <a:graphicData uri="http://schemas.openxmlformats.org/drawingml/2006/picture">
                      <pic:pic>
                        <pic:nvPicPr>
                          <pic:cNvPr descr="methodology_files/figure-docx/fig-empirical-se-1.png" id="184" name="Picture"/>
                          <pic:cNvPicPr>
                            <a:picLocks noChangeArrowheads="1" noChangeAspect="1"/>
                          </pic:cNvPicPr>
                        </pic:nvPicPr>
                        <pic:blipFill>
                          <a:blip r:embed="rId1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85"/>
        </w:tc>
      </w:tr>
    </w:tbl>
    <w:bookmarkEnd w:id="186"/>
    <w:bookmarkStart w:id="191"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90" w:name="fig-sim-recovery-renew"/>
          <w:p>
            <w:pPr>
              <w:pStyle w:val="Compact"/>
              <w:jc w:val="center"/>
            </w:pPr>
            <w:r>
              <w:drawing>
                <wp:inline>
                  <wp:extent cx="4620126" cy="3696101"/>
                  <wp:effectExtent b="0" l="0" r="0" t="0"/>
                  <wp:docPr descr="" title="" id="188" name="Picture"/>
                  <a:graphic>
                    <a:graphicData uri="http://schemas.openxmlformats.org/drawingml/2006/picture">
                      <pic:pic>
                        <pic:nvPicPr>
                          <pic:cNvPr descr="methodology_files/figure-docx/fig-sim-recovery-renew-1.png" id="189" name="Picture"/>
                          <pic:cNvPicPr>
                            <a:picLocks noChangeArrowheads="1" noChangeAspect="1"/>
                          </pic:cNvPicPr>
                        </pic:nvPicPr>
                        <pic:blipFill>
                          <a:blip r:embed="rId18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90"/>
        </w:tc>
      </w:tr>
    </w:tbl>
    <w:bookmarkEnd w:id="191"/>
    <w:bookmarkEnd w:id="192"/>
    <w:bookmarkStart w:id="197" w:name="ongoing-and-future-work"/>
    <w:p>
      <w:pPr>
        <w:pStyle w:val="Heading1"/>
      </w:pPr>
      <w:r>
        <w:t xml:space="preserve">9. Ongoing and future work</w:t>
      </w:r>
    </w:p>
    <w:bookmarkStart w:id="194" w:name="in-progress-work"/>
    <w:p>
      <w:pPr>
        <w:pStyle w:val="Heading2"/>
      </w:pPr>
      <w:r>
        <w:t xml:space="preserve">9.1 In-progress work</w:t>
      </w:r>
    </w:p>
    <w:p>
      <w:pPr>
        <w:numPr>
          <w:ilvl w:val="0"/>
          <w:numId w:val="1037"/>
        </w:numPr>
      </w:pPr>
      <w:r>
        <w:t xml:space="preserve">Extending and improving existing Shiny apps for these methods</w:t>
      </w:r>
      <w:r>
        <w:t xml:space="preserve"> </w:t>
      </w:r>
      <w:r>
        <w:t xml:space="preserve">(e.g., the</w:t>
      </w:r>
      <w:r>
        <w:t xml:space="preserve"> </w:t>
      </w:r>
      <w:hyperlink r:id="rId154">
        <w:r>
          <w:rPr>
            <w:rStyle w:val="Hyperlink"/>
          </w:rPr>
          <w:t xml:space="preserve">serocalculator Shiny app</w:t>
        </w:r>
      </w:hyperlink>
      <w:r>
        <w:t xml:space="preserve">,</w:t>
      </w:r>
      <w:r>
        <w:t xml:space="preserve"> </w:t>
      </w:r>
      <w:hyperlink r:id="rId193">
        <w:r>
          <w:rPr>
            <w:rStyle w:val="Hyperlink"/>
          </w:rPr>
          <w:t xml:space="preserve">source</w:t>
        </w:r>
      </w:hyperlink>
      <w:r>
        <w:t xml:space="preserve">)</w:t>
      </w:r>
    </w:p>
    <w:p>
      <w:pPr>
        <w:numPr>
          <w:ilvl w:val="0"/>
          <w:numId w:val="1037"/>
        </w:numPr>
      </w:pPr>
      <w:r>
        <w:t xml:space="preserve">Multivariate modeling of biomarkers (relaxing conditional independence)</w:t>
      </w:r>
    </w:p>
    <w:p>
      <w:pPr>
        <w:numPr>
          <w:ilvl w:val="0"/>
          <w:numId w:val="1037"/>
        </w:numPr>
      </w:pPr>
      <w:r>
        <w:t xml:space="preserve">A graphical (Shiny) app for</w:t>
      </w:r>
      <w:r>
        <w:t xml:space="preserve"> </w:t>
      </w:r>
      <w:r>
        <w:rPr>
          <w:rStyle w:val="VerbatimChar"/>
        </w:rPr>
        <w:t xml:space="preserve">serodynamics</w:t>
      </w:r>
    </w:p>
    <w:p>
      <w:pPr>
        <w:numPr>
          <w:ilvl w:val="0"/>
          <w:numId w:val="1037"/>
        </w:numPr>
      </w:pPr>
      <w:r>
        <w:t xml:space="preserve">Modeling time-varying incidence rates</w:t>
      </w:r>
    </w:p>
    <w:p>
      <w:pPr>
        <w:numPr>
          <w:ilvl w:val="0"/>
          <w:numId w:val="1037"/>
        </w:numPr>
      </w:pPr>
      <w:r>
        <w:t xml:space="preserve">Accounting for re-exposure</w:t>
      </w:r>
    </w:p>
    <w:p>
      <w:pPr>
        <w:numPr>
          <w:ilvl w:val="0"/>
          <w:numId w:val="1037"/>
        </w:numPr>
      </w:pPr>
      <w:r>
        <w:t xml:space="preserve">Accounting for latent immunocompromised subpopulations</w:t>
      </w:r>
    </w:p>
    <w:p>
      <w:pPr>
        <w:numPr>
          <w:ilvl w:val="0"/>
          <w:numId w:val="1037"/>
        </w:numPr>
      </w:pPr>
      <w:r>
        <w:t xml:space="preserve">Calibrating to population demographics</w:t>
      </w:r>
    </w:p>
    <w:bookmarkEnd w:id="194"/>
    <w:bookmarkStart w:id="196"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95">
        <w:r>
          <w:rPr>
            <w:rStyle w:val="Hyperlink"/>
          </w:rPr>
          <w:t xml:space="preserve">UCD-SERG/shigella#13</w:t>
        </w:r>
      </w:hyperlink>
      <w:r>
        <w:t xml:space="preserve">).</w:t>
      </w:r>
    </w:p>
    <w:bookmarkEnd w:id="196"/>
    <w:bookmarkEnd w:id="197"/>
    <w:bookmarkStart w:id="214" w:name="references"/>
    <w:p>
      <w:pPr>
        <w:pStyle w:val="Heading1"/>
      </w:pPr>
      <w:r>
        <w:t xml:space="preserve">References</w:t>
      </w:r>
    </w:p>
    <w:bookmarkStart w:id="213" w:name="refs"/>
    <w:bookmarkStart w:id="19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98">
        <w:r>
          <w:rPr>
            <w:rStyle w:val="Hyperlink"/>
          </w:rPr>
          <w:t xml:space="preserve">https://doi.org/10.1016/S2666-5247(22)00114-8</w:t>
        </w:r>
      </w:hyperlink>
      <w:r>
        <w:t xml:space="preserve">.</w:t>
      </w:r>
    </w:p>
    <w:bookmarkEnd w:id="199"/>
    <w:bookmarkStart w:id="201"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200">
        <w:r>
          <w:rPr>
            <w:rStyle w:val="Hyperlink"/>
          </w:rPr>
          <w:t xml:space="preserve">https://doi.org/10.1016/j.epidem.2024.100806</w:t>
        </w:r>
      </w:hyperlink>
      <w:r>
        <w:t xml:space="preserve">.</w:t>
      </w:r>
    </w:p>
    <w:bookmarkEnd w:id="201"/>
    <w:bookmarkStart w:id="202" w:name="ref-Huber1967"/>
    <w:p>
      <w:pPr>
        <w:pStyle w:val="Bibliography"/>
      </w:pPr>
      <w:r>
        <w:t xml:space="preserve">Huber, Peter J. 1967.</w:t>
      </w:r>
      <w:r>
        <w:t xml:space="preserve"> </w:t>
      </w:r>
      <w:r>
        <w:t xml:space="preserve">“The Behavior of Maximum Likelihood Estimates Under Nonstandard Conditions.”</w:t>
      </w:r>
      <w:r>
        <w:t xml:space="preserve"> </w:t>
      </w:r>
      <w:r>
        <w:t xml:space="preserve">In</w:t>
      </w:r>
      <w:r>
        <w:t xml:space="preserve"> </w:t>
      </w:r>
      <w:r>
        <w:rPr>
          <w:i/>
          <w:iCs/>
        </w:rPr>
        <w:t xml:space="preserve">Proceedings of the Fifth Berkeley Symposium on Mathematical Statistics and Probability, Volume 1: Statistics</w:t>
      </w:r>
      <w:r>
        <w:t xml:space="preserve">. University of California Press.</w:t>
      </w:r>
    </w:p>
    <w:bookmarkEnd w:id="202"/>
    <w:bookmarkStart w:id="204" w:name="ref-LiangZeger1986"/>
    <w:p>
      <w:pPr>
        <w:pStyle w:val="Bibliography"/>
      </w:pPr>
      <w:r>
        <w:t xml:space="preserve">Liang, Kung-Yee, and Scott L. Zeger. 1986.</w:t>
      </w:r>
      <w:r>
        <w:t xml:space="preserve"> </w:t>
      </w:r>
      <w:r>
        <w:t xml:space="preserve">“Longitudinal Data Analysis Using Generalized Linear Models.”</w:t>
      </w:r>
      <w:r>
        <w:t xml:space="preserve"> </w:t>
      </w:r>
      <w:r>
        <w:rPr>
          <w:i/>
          <w:iCs/>
        </w:rPr>
        <w:t xml:space="preserve">Biometrika</w:t>
      </w:r>
      <w:r>
        <w:t xml:space="preserve"> </w:t>
      </w:r>
      <w:r>
        <w:t xml:space="preserve">73 (1): 13–22.</w:t>
      </w:r>
      <w:r>
        <w:t xml:space="preserve"> </w:t>
      </w:r>
      <w:hyperlink r:id="rId203">
        <w:r>
          <w:rPr>
            <w:rStyle w:val="Hyperlink"/>
          </w:rPr>
          <w:t xml:space="preserve">https://doi.org/10.1093/biomet/73.1.13</w:t>
        </w:r>
      </w:hyperlink>
      <w:r>
        <w:t xml:space="preserve">.</w:t>
      </w:r>
    </w:p>
    <w:bookmarkEnd w:id="204"/>
    <w:bookmarkStart w:id="206"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205">
        <w:r>
          <w:rPr>
            <w:rStyle w:val="Hyperlink"/>
          </w:rPr>
          <w:t xml:space="preserve">https://doi.org/10.1159/000286345</w:t>
        </w:r>
      </w:hyperlink>
      <w:r>
        <w:t xml:space="preserve">.</w:t>
      </w:r>
    </w:p>
    <w:bookmarkEnd w:id="206"/>
    <w:bookmarkStart w:id="208"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207">
        <w:r>
          <w:rPr>
            <w:rStyle w:val="Hyperlink"/>
          </w:rPr>
          <w:t xml:space="preserve">https://doi.org/10.1002/sim.8578</w:t>
        </w:r>
      </w:hyperlink>
      <w:r>
        <w:t xml:space="preserve">.</w:t>
      </w:r>
    </w:p>
    <w:bookmarkEnd w:id="208"/>
    <w:bookmarkStart w:id="210"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209">
        <w:r>
          <w:rPr>
            <w:rStyle w:val="Hyperlink"/>
          </w:rPr>
          <w:t xml:space="preserve">https://doi.org/10.1016/j.epidem.2016.04.001</w:t>
        </w:r>
      </w:hyperlink>
      <w:r>
        <w:t xml:space="preserve">.</w:t>
      </w:r>
    </w:p>
    <w:bookmarkEnd w:id="210"/>
    <w:bookmarkStart w:id="211"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211"/>
    <w:bookmarkStart w:id="212" w:name="ref-White1980"/>
    <w:p>
      <w:pPr>
        <w:pStyle w:val="Bibliography"/>
      </w:pPr>
      <w:r>
        <w:t xml:space="preserve">White, Halbert. 1980.</w:t>
      </w:r>
      <w:r>
        <w:t xml:space="preserve"> </w:t>
      </w:r>
      <w:r>
        <w:t xml:space="preserve">“A Heteroskedasticity-Consistent Covariance Matrix Estimator and a Direct Test for Heteroskedasticity.”</w:t>
      </w:r>
      <w:r>
        <w:t xml:space="preserve"> </w:t>
      </w:r>
      <w:r>
        <w:rPr>
          <w:i/>
          <w:iCs/>
        </w:rPr>
        <w:t xml:space="preserve">Econometrica</w:t>
      </w:r>
      <w:r>
        <w:t xml:space="preserve"> </w:t>
      </w:r>
      <w:r>
        <w:t xml:space="preserve">48 (4): 817–38.</w:t>
      </w:r>
    </w:p>
    <w:bookmarkEnd w:id="212"/>
    <w:bookmarkEnd w:id="213"/>
    <w:bookmarkEnd w:id="2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99" Target="media/rId99.svg" /><Relationship Type="http://schemas.openxmlformats.org/officeDocument/2006/relationships/image" Id="rId131" Target="media/rId131.png" /><Relationship Type="http://schemas.openxmlformats.org/officeDocument/2006/relationships/image" Id="rId155" Target="media/rId155.png" /><Relationship Type="http://schemas.openxmlformats.org/officeDocument/2006/relationships/image" Id="rId167" Target="media/rId167.png" /><Relationship Type="http://schemas.openxmlformats.org/officeDocument/2006/relationships/image" Id="rId107" Target="media/rId107.png" /><Relationship Type="http://schemas.openxmlformats.org/officeDocument/2006/relationships/image" Id="rId182" Target="media/rId182.png" /><Relationship Type="http://schemas.openxmlformats.org/officeDocument/2006/relationships/image" Id="rId148" Target="media/rId148.png" /><Relationship Type="http://schemas.openxmlformats.org/officeDocument/2006/relationships/image" Id="rId57" Target="media/rId57.png" /><Relationship Type="http://schemas.openxmlformats.org/officeDocument/2006/relationships/image" Id="rId113" Target="media/rId113.png" /><Relationship Type="http://schemas.openxmlformats.org/officeDocument/2006/relationships/image" Id="rId173" Target="media/rId173.png" /><Relationship Type="http://schemas.openxmlformats.org/officeDocument/2006/relationships/image" Id="rId94" Target="media/rId94.png" /><Relationship Type="http://schemas.openxmlformats.org/officeDocument/2006/relationships/image" Id="rId143" Target="media/rId143.png" /><Relationship Type="http://schemas.openxmlformats.org/officeDocument/2006/relationships/image" Id="rId160" Target="media/rId160.png" /><Relationship Type="http://schemas.openxmlformats.org/officeDocument/2006/relationships/image" Id="rId178" Target="media/rId178.png" /><Relationship Type="http://schemas.openxmlformats.org/officeDocument/2006/relationships/image" Id="rId187" Target="media/rId187.png" /><Relationship Type="http://schemas.openxmlformats.org/officeDocument/2006/relationships/image" Id="rId29" Target="media/rId29.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207" Target="https://doi.org/10.1002/sim.8578" TargetMode="External" /><Relationship Type="http://schemas.openxmlformats.org/officeDocument/2006/relationships/hyperlink" Id="rId198" Target="https://doi.org/10.1016/S2666-5247(22)00114-8" TargetMode="External" /><Relationship Type="http://schemas.openxmlformats.org/officeDocument/2006/relationships/hyperlink" Id="rId209" Target="https://doi.org/10.1016/j.epidem.2016.04.001" TargetMode="External" /><Relationship Type="http://schemas.openxmlformats.org/officeDocument/2006/relationships/hyperlink" Id="rId200" Target="https://doi.org/10.1016/j.epidem.2024.100806" TargetMode="External" /><Relationship Type="http://schemas.openxmlformats.org/officeDocument/2006/relationships/hyperlink" Id="rId203" Target="https://doi.org/10.1093/biomet/73.1.13" TargetMode="External" /><Relationship Type="http://schemas.openxmlformats.org/officeDocument/2006/relationships/hyperlink" Id="rId205" Target="https://doi.org/10.1159/000286345" TargetMode="External" /><Relationship Type="http://schemas.openxmlformats.org/officeDocument/2006/relationships/hyperlink" Id="rId139" Target="https://github.com/UCD-SERG/serocalculator" TargetMode="External" /><Relationship Type="http://schemas.openxmlformats.org/officeDocument/2006/relationships/hyperlink" Id="rId172" Target="https://github.com/UCD-SERG/serocalculator/issues/629" TargetMode="External" /><Relationship Type="http://schemas.openxmlformats.org/officeDocument/2006/relationships/hyperlink" Id="rId112" Target="https://github.com/UCD-SERG/serocalculator/issues/637" TargetMode="External" /><Relationship Type="http://schemas.openxmlformats.org/officeDocument/2006/relationships/hyperlink" Id="rId128"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95" Target="https://github.com/UCD-SERG/shigella/pull/13" TargetMode="External" /><Relationship Type="http://schemas.openxmlformats.org/officeDocument/2006/relationships/hyperlink" Id="rId193" Target="https://github.com/UCD-SERG/shiny_serocalculator" TargetMode="External" /><Relationship Type="http://schemas.openxmlformats.org/officeDocument/2006/relationships/hyperlink" Id="rId98" Target="https://ucdserg.shinyapps.io/antibody-kinetics-model-2/" TargetMode="External" /><Relationship Type="http://schemas.openxmlformats.org/officeDocument/2006/relationships/hyperlink" Id="rId154"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207" Target="https://doi.org/10.1002/sim.8578" TargetMode="External" /><Relationship Type="http://schemas.openxmlformats.org/officeDocument/2006/relationships/hyperlink" Id="rId198" Target="https://doi.org/10.1016/S2666-5247(22)00114-8" TargetMode="External" /><Relationship Type="http://schemas.openxmlformats.org/officeDocument/2006/relationships/hyperlink" Id="rId209" Target="https://doi.org/10.1016/j.epidem.2016.04.001" TargetMode="External" /><Relationship Type="http://schemas.openxmlformats.org/officeDocument/2006/relationships/hyperlink" Id="rId200" Target="https://doi.org/10.1016/j.epidem.2024.100806" TargetMode="External" /><Relationship Type="http://schemas.openxmlformats.org/officeDocument/2006/relationships/hyperlink" Id="rId203" Target="https://doi.org/10.1093/biomet/73.1.13" TargetMode="External" /><Relationship Type="http://schemas.openxmlformats.org/officeDocument/2006/relationships/hyperlink" Id="rId205" Target="https://doi.org/10.1159/000286345" TargetMode="External" /><Relationship Type="http://schemas.openxmlformats.org/officeDocument/2006/relationships/hyperlink" Id="rId139" Target="https://github.com/UCD-SERG/serocalculator" TargetMode="External" /><Relationship Type="http://schemas.openxmlformats.org/officeDocument/2006/relationships/hyperlink" Id="rId172" Target="https://github.com/UCD-SERG/serocalculator/issues/629" TargetMode="External" /><Relationship Type="http://schemas.openxmlformats.org/officeDocument/2006/relationships/hyperlink" Id="rId112" Target="https://github.com/UCD-SERG/serocalculator/issues/637" TargetMode="External" /><Relationship Type="http://schemas.openxmlformats.org/officeDocument/2006/relationships/hyperlink" Id="rId128"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95" Target="https://github.com/UCD-SERG/shigella/pull/13" TargetMode="External" /><Relationship Type="http://schemas.openxmlformats.org/officeDocument/2006/relationships/hyperlink" Id="rId193" Target="https://github.com/UCD-SERG/shiny_serocalculator" TargetMode="External" /><Relationship Type="http://schemas.openxmlformats.org/officeDocument/2006/relationships/hyperlink" Id="rId98" Target="https://ucdserg.shinyapps.io/antibody-kinetics-model-2/" TargetMode="External" /><Relationship Type="http://schemas.openxmlformats.org/officeDocument/2006/relationships/hyperlink" Id="rId154"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2026-08-08T23:21:14Z</dcterms:created>
  <dcterms:modified xsi:type="dcterms:W3CDTF">2026-08-08T23:21:14Z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