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8.png" ContentType="image/png"/>
  <Override PartName="/word/media/rId122.png" ContentType="image/png"/>
  <Override PartName="/word/media/rId99.svg" ContentType="image/svg+xml"/>
  <Override PartName="/word/media/rId131.png" ContentType="image/png"/>
  <Override PartName="/word/media/rId155.png" ContentType="image/png"/>
  <Override PartName="/word/media/rId167.png" ContentType="image/png"/>
  <Override PartName="/word/media/rId107.png" ContentType="image/png"/>
  <Override PartName="/word/media/rId182.png" ContentType="image/png"/>
  <Override PartName="/word/media/rId148.png" ContentType="image/png"/>
  <Override PartName="/word/media/rId57.png" ContentType="image/png"/>
  <Override PartName="/word/media/rId113.png" ContentType="image/png"/>
  <Override PartName="/word/media/rId173.png" ContentType="image/png"/>
  <Override PartName="/word/media/rId94.png" ContentType="image/png"/>
  <Override PartName="/word/media/rId143.png" ContentType="image/png"/>
  <Override PartName="/word/media/rId160.png" ContentType="image/png"/>
  <Override PartName="/word/media/rId178.png" ContentType="image/png"/>
  <Override PartName="/word/media/rId187.png" ContentType="image/png"/>
  <Override PartName="/word/media/rId29.png" ContentType="image/png"/>
  <Override PartName="/word/media/rId6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 homogeneous incidence; no lasting immunity)</w:t>
            </w:r>
          </w:p>
          <w:bookmarkStart w:id="48" w:name="def-modeling-assumptions"/>
          <w:p>
            <w:pPr>
              <w:pStyle w:val="BodyText"/>
            </w:pPr>
            <w:r>
              <w:rPr>
                <w:b/>
                <w:bCs/>
              </w:rPr>
              <w:t xml:space="preserve">Definition 2 (Constant, homogeneous incidence; no lasting immunity)</w:t>
            </w:r>
            <w:r>
              <w:t xml:space="preserve"> </w:t>
            </w:r>
            <w:r>
              <w:t xml:space="preserve">We assume that:</w:t>
            </w:r>
          </w:p>
          <w:p>
            <w:pPr>
              <w:numPr>
                <w:ilvl w:val="0"/>
                <w:numId w:val="1014"/>
              </w:numPr>
            </w:pPr>
            <w:r>
              <w:t xml:space="preserve">the incidence rate is approximately</w:t>
            </w:r>
            <w:r>
              <w:t xml:space="preserve"> </w:t>
            </w:r>
            <w:r>
              <w:rPr>
                <w:b/>
                <w:bCs/>
              </w:rPr>
              <w:t xml:space="preserve">constant over time</w:t>
            </w:r>
            <w:r>
              <w:t xml:space="preserve"> </w:t>
            </w:r>
            <w:r>
              <w:t xml:space="preserve">and</w:t>
            </w:r>
            <w:r>
              <w:t xml:space="preserve"> </w:t>
            </w:r>
            <w:r>
              <w:rPr>
                <w:b/>
                <w:bCs/>
              </w:rPr>
              <w:t xml:space="preserve">across the population</w:t>
            </w:r>
            <w:r>
              <w:t xml:space="preserve"> </w:t>
            </w:r>
            <w:r>
              <w:t xml:space="preserve">(</w:t>
            </w:r>
            <w:r>
              <w:rPr>
                <w:b/>
                <w:bCs/>
              </w:rPr>
              <w:t xml:space="preserve">constant and homogeneous incidence</w:t>
            </w:r>
            <w:r>
              <w:t xml:space="preserv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participants are always at risk of a new infection, regardless of</w:t>
            </w:r>
            <w:r>
              <w:t xml:space="preserve"> </w:t>
            </w:r>
            <w:r>
              <w:t xml:space="preserve">how recently they have been infected (</w:t>
            </w:r>
            <w:r>
              <w:rPr>
                <w:b/>
                <w:bCs/>
              </w:rPr>
              <w:t xml:space="preserve">no lasting immunity</w:t>
            </w:r>
            <w:r>
              <w:t xml:space="preserve">).</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p>
      <w:pPr>
        <w:pStyle w:val="FirstParagraph"/>
      </w:pPr>
      <w:r>
        <w:t xml:space="preserve">Under those assumptions (Definition</w:t>
      </w:r>
      <w:r>
        <w:t xml:space="preserve"> </w:t>
      </w:r>
      <w:hyperlink w:anchor="def-modeling-assumptions">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The time since last infection,</w:t>
            </w:r>
            <w:r>
              <w:t xml:space="preserve"> </w:t>
            </w:r>
            <m:oMath>
              <m:r>
                <m:t>T</m:t>
              </m:r>
            </m:oMath>
            <w:r>
              <w:t xml:space="preserve">, has an</w:t>
            </w:r>
            <w:r>
              <w:t xml:space="preserve"> </w:t>
            </w:r>
            <w:r>
              <w:rPr>
                <w:b/>
                <w:bCs/>
              </w:rPr>
              <w:t xml:space="preserve">exponential</w:t>
            </w:r>
            <w:r>
              <w:rPr>
                <w:b/>
                <w:bCs/>
              </w:rPr>
              <w:t xml:space="preserve"> </w:t>
            </w:r>
            <w:r>
              <w:rPr>
                <w:b/>
                <w:bCs/>
              </w:rPr>
              <w:t xml:space="preserve">distribution</w:t>
            </w:r>
            <w:r>
              <w:t xml:space="preserve">, limited by age at observation (</w:t>
            </w:r>
            <m:oMath>
              <m:r>
                <m:t>a</m:t>
              </m:r>
            </m:oMath>
            <w:r>
              <w:t xml:space="preserve">): no one can have</w:t>
            </w:r>
            <w:r>
              <w:t xml:space="preserve"> </w:t>
            </w:r>
            <w:r>
              <w:t xml:space="preserve">been infected before they were born, so the density is supported on</w:t>
            </w:r>
            <w:r>
              <w:t xml:space="preserve"> </w:t>
            </w:r>
            <m:oMath>
              <m:r>
                <m:rPr>
                  <m:sty m:val="p"/>
                </m:rPr>
                <m:t>[</m:t>
              </m:r>
              <m:r>
                <m:t>0</m:t>
              </m:r>
              <m:r>
                <m:rPr>
                  <m:sty m:val="p"/>
                </m:rPr>
                <m:t>,</m:t>
              </m:r>
              <m:r>
                <m:t>a</m:t>
              </m:r>
              <m:r>
                <m:rPr>
                  <m:sty m:val="p"/>
                </m:rPr>
                <m:t>]</m:t>
              </m:r>
            </m:oMath>
            <w:r>
              <w:t xml:space="preserve">, 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 sits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The rate parameter</w:t>
            </w:r>
            <w:r>
              <w:t xml:space="preserve"> </w:t>
            </w:r>
            <m:oMath>
              <m:r>
                <m:t>λ</m:t>
              </m:r>
            </m:oMath>
            <w:r>
              <w:t xml:space="preserve"> </w:t>
            </w:r>
            <w:r>
              <w:t xml:space="preserve">is the incidence rate.</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likelihood-of-latent-infection-times"/>
    <w:p>
      <w:pPr>
        <w:pStyle w:val="Heading2"/>
      </w:pPr>
      <w:r>
        <w:t xml:space="preserve">4.6 Likelihood of latent infection times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For data and parameter</w:t>
            </w:r>
            <w:r>
              <w:t xml:space="preserve"> </w:t>
            </w:r>
            <m:oMath>
              <m:r>
                <m:t>λ</m:t>
              </m:r>
            </m:oMath>
            <w:r>
              <w:t xml:space="preserve">, the</w:t>
            </w:r>
            <w:r>
              <w:t xml:space="preserve"> </w:t>
            </w:r>
            <w:r>
              <w:rPr>
                <w:b/>
                <w:bCs/>
              </w:rPr>
              <w:t xml:space="preserve">likelihood</w:t>
            </w:r>
            <w:r>
              <w:t xml:space="preserve"> </w:t>
            </w:r>
            <m:oMath>
              <m:r>
                <m:rPr>
                  <m:scr m:val="script"/>
                  <m:sty m:val="p"/>
                </m:rPr>
                <m:t>L</m:t>
              </m:r>
              <m:r>
                <m:rPr>
                  <m:sty m:val="p"/>
                </m:rPr>
                <m:t>(</m:t>
              </m:r>
              <m:r>
                <m:t>λ</m:t>
              </m:r>
              <m:r>
                <m:rPr>
                  <m:sty m:val="p"/>
                </m:rPr>
                <m:t>)</m:t>
              </m:r>
            </m:oMath>
            <w:r>
              <w:t xml:space="preserve"> </w:t>
            </w:r>
            <w:r>
              <w:t xml:space="preserve">is</w:t>
            </w:r>
            <w:r>
              <w:t xml:space="preserve"> </w:t>
            </w:r>
            <w:r>
              <w:t xml:space="preserve">the joint probability (or density) of the data, viewed as a function</w:t>
            </w:r>
            <w:r>
              <w:t xml:space="preserve"> </w:t>
            </w:r>
            <w:r>
              <w:t xml:space="preserve">of the parameter, and the</w:t>
            </w:r>
            <w:r>
              <w:t xml:space="preserve"> </w:t>
            </w:r>
            <w:r>
              <w:rPr>
                <w:b/>
                <w:bCs/>
              </w:rPr>
              <w:t xml:space="preserve">log-likelihood</w:t>
            </w:r>
            <w:r>
              <w:t xml:space="preserve"> </w:t>
            </w:r>
            <w:r>
              <w:t xml:space="preserve">is its natural logarithm:</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gradient of the log-likelihood with</w:t>
            </w:r>
            <w:r>
              <w:t xml:space="preserve"> </w:t>
            </w:r>
            <w:r>
              <w:t xml:space="preserve">respect to the (possibly vector-valued) parameter; for the scalar</w:t>
            </w:r>
            <w:r>
              <w:t xml:space="preserve"> </w:t>
            </w:r>
            <w:r>
              <w:t xml:space="preserve">incidence-rate parameter</w:t>
            </w:r>
            <w:r>
              <w:t xml:space="preserve"> </w:t>
            </w:r>
            <m:oMath>
              <m:r>
                <m:t>λ</m:t>
              </m:r>
            </m:oMath>
            <w:r>
              <w:t xml:space="preserve"> </w:t>
            </w:r>
            <w:r>
              <w:t xml:space="preserve">used throughout this vignette, this</w:t>
            </w:r>
            <w:r>
              <w:t xml:space="preserve"> </w:t>
            </w:r>
            <w:r>
              <w:t xml:space="preserve">is just the ordinary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satisfies the score</w:t>
            </w:r>
            <w:r>
              <w:t xml:space="preserve"> </w:t>
            </w:r>
            <w: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Corollary (MLE when infection times are fully observed)</w:t>
            </w:r>
          </w:p>
          <w:bookmarkStart w:id="55" w:name="cor-mle-fully-observed"/>
          <w:p>
            <w:pPr>
              <w:pStyle w:val="BodyText"/>
            </w:pPr>
            <w:r>
              <w:rPr>
                <w:b/>
                <w:bCs/>
              </w:rPr>
              <w:t xml:space="preserve">Corollary 1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the maximum likelihood estimate of</w:t>
            </w:r>
            <w:r>
              <w:t xml:space="preserve"> </w:t>
            </w:r>
            <m:oMath>
              <m:r>
                <m:t>λ</m:t>
              </m:r>
            </m:oMath>
            <w:r>
              <w:t xml:space="preserve"> </w:t>
            </w:r>
            <w:r>
              <w:t xml:space="preserve">(Definition</w:t>
            </w:r>
            <w:r>
              <w:t xml:space="preserve"> </w:t>
            </w:r>
            <w:hyperlink w:anchor="def-likelihood">
              <w:r>
                <w:rPr>
                  <w:rStyle w:val="Hyperlink"/>
                </w:rPr>
                <w:t xml:space="preserve">Definition 3</w:t>
              </w:r>
            </w:hyperlink>
            <w:r>
              <w:t xml:space="preserve">, applying the score equation from Definition</w:t>
            </w:r>
            <w:r>
              <w:t xml:space="preserve"> </w:t>
            </w:r>
            <w:hyperlink w:anchor="def-score">
              <w:r>
                <w:rPr>
                  <w:rStyle w:val="Hyperlink"/>
                </w:rPr>
                <w:t xml:space="preserve">Definition 4</w:t>
              </w:r>
            </w:hyperlink>
            <w:r>
              <w:t xml:space="preserve">) would be the reciprocal of their mean:</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bookmarkEnd w:id="55"/>
        </w:tc>
      </w:tr>
    </w:tbl>
    <w:bookmarkEnd w:id="56"/>
    <w:bookmarkStart w:id="61"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0" w:name="fig-ex-lik-curves"/>
          <w:p>
            <w:pPr>
              <w:pStyle w:val="Compact"/>
              <w:jc w:val="center"/>
            </w:pPr>
            <w:r>
              <w:drawing>
                <wp:inline>
                  <wp:extent cx="4620126" cy="3696101"/>
                  <wp:effectExtent b="0" l="0" r="0" t="0"/>
                  <wp:docPr descr="" title="" id="58" name="Picture"/>
                  <a:graphic>
                    <a:graphicData uri="http://schemas.openxmlformats.org/drawingml/2006/picture">
                      <pic:pic>
                        <pic:nvPicPr>
                          <pic:cNvPr descr="methodology_files/figure-docx/fig-ex-lik-curves-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0"/>
        </w:tc>
      </w:tr>
    </w:tbl>
    <w:bookmarkEnd w:id="61"/>
    <w:bookmarkStart w:id="65" w:name="standard-errors"/>
    <w:p>
      <w:pPr>
        <w:pStyle w:val="Heading2"/>
      </w:pPr>
      <w:r>
        <w:t xml:space="preserve">4.8 Standard errors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(Hessian)</w:t>
            </w:r>
          </w:p>
          <w:bookmarkStart w:id="62"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matrix of second partial derivatives of the</w:t>
            </w:r>
            <w:r>
              <w:t xml:space="preserve"> </w:t>
            </w:r>
            <w:r>
              <w:t xml:space="preserve">log-likelihood with respect to the (possibly vector-valued) parameter;</w:t>
            </w:r>
            <w:r>
              <w:t xml:space="preserve"> </w:t>
            </w:r>
            <w:r>
              <w:t xml:space="preserve">for the scalar incidence-rate parameter</w:t>
            </w:r>
            <w:r>
              <w:t xml:space="preserve"> </w:t>
            </w:r>
            <m:oMath>
              <m:r>
                <m:t>λ</m:t>
              </m:r>
            </m:oMath>
            <w:r>
              <w:t xml:space="preserve"> </w:t>
            </w:r>
            <w:r>
              <w:t xml:space="preserve">used throughout this</w:t>
            </w:r>
            <w:r>
              <w:t xml:space="preserve"> </w:t>
            </w:r>
            <w:r>
              <w:t xml:space="preserve">vignette, this reduces to the ordinary second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bookmarkEnd w:id="62"/>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3"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(Definition</w:t>
            </w:r>
            <w:r>
              <w:t xml:space="preserve"> </w:t>
            </w:r>
            <w:hyperlink w:anchor="def-hessian">
              <w:r>
                <w:rPr>
                  <w:rStyle w:val="Hyperlink"/>
                </w:rPr>
                <w:t xml:space="preserve">Definition 5</w:t>
              </w:r>
            </w:hyperlink>
            <w:r>
              <w:t xml:space="preserve">), evaluated at the maximum likelihood estimate:</w:t>
            </w:r>
          </w:p>
          <w:p>
            <w:pPr>
              <w:pStyle w:val="BodyText"/>
            </w:pPr>
            <m:oMathPara>
              <m:oMathParaPr>
                <m:jc m:val="center"/>
              </m:oMathParaPr>
              <m:oMath>
                <m:r>
                  <m:t>I</m:t>
                </m:r>
                <m:r>
                  <m:rPr>
                    <m:sty m:val="p"/>
                  </m:rPr>
                  <m:t>(</m:t>
                </m:r>
                <m:acc>
                  <m:accPr>
                    <m:chr m:val="̂"/>
                  </m:accPr>
                  <m:e>
                    <m:r>
                      <m:t>λ</m:t>
                    </m:r>
                  </m:e>
                </m:acc>
                <m:r>
                  <m:rPr>
                    <m:sty m:val="p"/>
                  </m:rPr>
                  <m:t>)</m:t>
                </m:r>
                <m:limUpp>
                  <m:e>
                    <m:r>
                      <m:rPr>
                        <m:sty m:val="p"/>
                      </m:rPr>
                      <m:t>=</m:t>
                    </m:r>
                  </m:e>
                  <m:lim>
                    <m:r>
                      <m:rPr>
                        <m:nor/>
                        <m:sty m:val="p"/>
                      </m:rPr>
                      <m:t>def</m:t>
                    </m:r>
                  </m:lim>
                </m:limUpp>
                <m:r>
                  <m:rPr>
                    <m:sty m:val="p"/>
                  </m:rPr>
                  <m:t>−</m:t>
                </m:r>
                <m:sSup>
                  <m:e>
                    <m:r>
                      <m:t>ℓ</m:t>
                    </m:r>
                  </m:e>
                  <m:sup>
                    <m:r>
                      <m:rPr>
                        <m:sty m:val="p"/>
                      </m:rPr>
                      <m:t>″</m:t>
                    </m:r>
                  </m:sup>
                </m:sSup>
                <m:r>
                  <m:rPr>
                    <m:sty m:val="p"/>
                  </m:rPr>
                  <m:t>(</m:t>
                </m:r>
                <m:acc>
                  <m:accPr>
                    <m:chr m:val="̂"/>
                  </m:accPr>
                  <m:e>
                    <m:r>
                      <m:t>λ</m:t>
                    </m:r>
                  </m:e>
                </m:acc>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Theorem (Asymptotic variance of the MLE)</w:t>
            </w:r>
          </w:p>
          <w:bookmarkStart w:id="64"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(Definition</w:t>
            </w:r>
            <w:r>
              <w:t xml:space="preserve"> </w:t>
            </w:r>
            <w:hyperlink w:anchor="def-observed-information">
              <w:r>
                <w:rPr>
                  <w:rStyle w:val="Hyperlink"/>
                </w:rPr>
                <w:t xml:space="preserve">Definition 6</w:t>
              </w:r>
            </w:hyperlink>
            <w:r>
              <w:t xml:space="preserve">), and the standard</w:t>
            </w:r>
            <w:r>
              <w:t xml:space="preserve"> </w:t>
            </w:r>
            <w:r>
              <w:t xml:space="preserve">error is the square root of that variance: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p>
            <w:pPr>
              <w:pStyle w:val="FirstParagraph"/>
            </w:pPr>
            <w:r>
              <w:t xml:space="preserve">So 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64"/>
        </w:tc>
      </w:tr>
    </w:tbl>
    <w:bookmarkEnd w:id="65"/>
    <w:bookmarkStart w:id="67" w:name="hessian-for-the-exponential-model"/>
    <w:p>
      <w:pPr>
        <w:pStyle w:val="Heading2"/>
      </w:pPr>
      <w:r>
        <w:t xml:space="preserve">4.9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6" w:name="exm-hessian-exponential"/>
          <w:p>
            <w:pPr>
              <w:pStyle w:val="BodyText"/>
            </w:pPr>
            <w:r>
              <w:rPr>
                <w:b/>
                <w:bCs/>
              </w:rPr>
              <w:t xml:space="preserve">Example 2 (Latent-time exponential model)</w:t>
            </w:r>
            <w:r>
              <w:t xml:space="preserve"> </w:t>
            </w:r>
            <w:r>
              <w:t xml:space="preserve">For the latent-time exponential model (the fully-observed-</w:t>
            </w:r>
            <m:oMath>
              <m:r>
                <m:t>T</m:t>
              </m:r>
            </m:oMath>
            <w:r>
              <w:t xml:space="preserve"> </w:t>
            </w:r>
            <w:r>
              <w:t xml:space="preserve">case</w:t>
            </w:r>
            <w:r>
              <w:t xml:space="preserve"> </w:t>
            </w:r>
            <w:r>
              <w:t xml:space="preserve">from</w:t>
            </w:r>
            <w:r>
              <w:t xml:space="preserve"> </w:t>
            </w:r>
            <w:r>
              <w:t xml:space="preserve">“Likelihood of latent infection times”</w:t>
            </w:r>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(Definition</w:t>
            </w:r>
            <w:r>
              <w:t xml:space="preserve"> </w:t>
            </w:r>
            <w:hyperlink w:anchor="def-score">
              <w:r>
                <w:rPr>
                  <w:rStyle w:val="Hyperlink"/>
                </w:rPr>
                <w:t xml:space="preserve">Definition 4</w:t>
              </w:r>
            </w:hyperlink>
            <w:r>
              <w:t xml:space="preserve">) and the Hessian (Definition</w:t>
            </w:r>
            <w:r>
              <w:t xml:space="preserve"> </w:t>
            </w:r>
            <w:hyperlink w:anchor="def-hessian">
              <w:r>
                <w:rPr>
                  <w:rStyle w:val="Hyperlink"/>
                </w:rPr>
                <w:t xml:space="preserve">Definition 5</w:t>
              </w:r>
            </w:hyperlink>
            <w:r>
              <w:t xml:space="preserve">;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so the observed information (Definition</w:t>
            </w:r>
            <w:r>
              <w:t xml:space="preserve"> </w:t>
            </w:r>
            <w:hyperlink w:anchor="def-observed-information">
              <w:r>
                <w:rPr>
                  <w:rStyle w:val="Hyperlink"/>
                </w:rPr>
                <w:t xml:space="preserve">Definition 6</w:t>
              </w:r>
            </w:hyperlink>
            <w:r>
              <w:t xml:space="preserve">) is</w:t>
            </w:r>
            <w:r>
              <w:t xml:space="preserve"> </w:t>
            </w:r>
            <m:oMath>
              <m: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w:t>
            </w:r>
            <w:r>
              <w:t xml:space="preserve">(Corollary</w:t>
            </w:r>
            <w:r>
              <w:t xml:space="preserve"> </w:t>
            </w:r>
            <w:hyperlink w:anchor="cor-mle-fully-observed">
              <w:r>
                <w:rPr>
                  <w:rStyle w:val="Hyperlink"/>
                </w:rPr>
                <w:t xml:space="preserve">Corollary 1</w:t>
              </w:r>
            </w:hyperlink>
            <w:r>
              <w:t xml:space="preserve">), Theorem</w:t>
            </w:r>
            <w:r>
              <w:t xml:space="preserve"> </w:t>
            </w:r>
            <w:hyperlink w:anchor="thm-mle-asymptotic-variance">
              <w:r>
                <w:rPr>
                  <w:rStyle w:val="Hyperlink"/>
                </w:rPr>
                <w:t xml:space="preserve">Theorem 1</w:t>
              </w:r>
            </w:hyperlink>
            <w:r>
              <w:t xml:space="preserve"> </w:t>
            </w:r>
            <w:r>
              <w:t xml:space="preserve">gives</w:t>
            </w:r>
            <w:r>
              <w:t xml:space="preserve"> </w:t>
            </w:r>
            <w:r>
              <w:t xml:space="preserve">the variance and standard error:</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bookmarkEnd w:id="66"/>
          <w:p/>
        </w:tc>
      </w:tr>
    </w:tbl>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Theorem</w:t>
      </w:r>
      <w:r>
        <w:t xml:space="preserve"> </w:t>
      </w:r>
      <w:hyperlink w:anchor="thm-mle-asymptotic-variance">
        <w:r>
          <w:rPr>
            <w:rStyle w:val="Hyperlink"/>
          </w:rPr>
          <w:t xml:space="preserve">Theorem 1</w:t>
        </w:r>
      </w:hyperlink>
      <w:r>
        <w:t xml:space="preserve">.</w:t>
      </w:r>
    </w:p>
    <w:bookmarkEnd w:id="67"/>
    <w:bookmarkStart w:id="6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8"/>
    <w:bookmarkStart w:id="7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72" w:name="fig-sim-case-data"/>
          <w:p>
            <w:pPr>
              <w:jc w:val="center"/>
            </w:pPr>
            <w:r>
              <w:drawing>
                <wp:inline>
                  <wp:extent cx="4620126" cy="3696101"/>
                  <wp:effectExtent b="0" l="0" r="0" t="0"/>
                  <wp:docPr descr="" title="" id="70" name="Picture"/>
                  <a:graphic>
                    <a:graphicData uri="http://schemas.openxmlformats.org/drawingml/2006/picture">
                      <pic:pic>
                        <pic:nvPicPr>
                          <pic:cNvPr descr="methodology_files/figure-docx/unnamed-chunk-4-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2"/>
        </w:tc>
      </w:tr>
    </w:tbl>
    <w:p/>
    <w:tbl>
      <w:tblPr>
        <w:tblStyle w:val="Table"/>
        <w:tblW w:type="pct" w:w="5000"/>
        <w:tblLayout w:type="fixed"/>
        <w:tblLook w:firstRow="0" w:lastRow="0" w:firstColumn="0" w:lastColumn="0" w:noHBand="0" w:noVBand="0" w:val="0000"/>
      </w:tblPr>
      <w:tblGrid>
        <w:gridCol w:w="7920"/>
      </w:tblGrid>
      <w:tr>
        <w:tc>
          <w:tcPr/>
          <w:bookmarkStart w:id="76" w:name="fig-decay"/>
          <w:p>
            <w:pPr>
              <w:jc w:val="center"/>
            </w:pPr>
            <w:r>
              <w:drawing>
                <wp:inline>
                  <wp:extent cx="4620126" cy="3696101"/>
                  <wp:effectExtent b="0" l="0" r="0" t="0"/>
                  <wp:docPr descr="" title="" id="74" name="Picture"/>
                  <a:graphic>
                    <a:graphicData uri="http://schemas.openxmlformats.org/drawingml/2006/picture">
                      <pic:pic>
                        <pic:nvPicPr>
                          <pic:cNvPr descr="methodology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6"/>
        </w:tc>
      </w:tr>
    </w:tbl>
    <w:bookmarkEnd w:id="77"/>
    <w:bookmarkStart w:id="7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 Proposition</w:t>
      </w:r>
      <w:r>
        <w:t xml:space="preserve"> </w:t>
      </w:r>
      <w:hyperlink w:anchor="prp-time-since-infection">
        <w:r>
          <w:rPr>
            <w:rStyle w:val="Hyperlink"/>
          </w:rPr>
          <w:t xml:space="preserve">Proposition 1</w:t>
        </w:r>
      </w:hyperlink>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w:t>
      </w:r>
      <w:r>
        <w:t xml:space="preserve"> </w:t>
      </w:r>
      <w:r>
        <w:t xml:space="preserve">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w:t>
      </w:r>
      <w:r>
        <w:t xml:space="preserve"> </w:t>
      </w:r>
      <w:r>
        <w:t xml:space="preserve">discrete atom 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 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 over the continuous part plus the</w:t>
      </w:r>
      <w:r>
        <w:t xml:space="preserve"> </w:t>
      </w:r>
      <w:r>
        <w:t xml:space="preserve">never-infected term: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(Marginal likelihood of an observation)</w:t>
            </w:r>
          </w:p>
          <w:bookmarkStart w:id="78" w:name="prp-marginal-likelihood"/>
          <w:p>
            <w:pPr>
              <w:pStyle w:val="BodyText"/>
            </w:pPr>
            <w:r>
              <w:rPr>
                <w:b/>
                <w:bCs/>
              </w:rPr>
              <w:t xml:space="preserve">Proposition 2 (Marginal likelihood of an observation)</w:t>
            </w:r>
            <w:r>
              <w:t xml:space="preserve"> </w:t>
            </w:r>
            <w:r>
              <w:t xml:space="preserve">Combining the density of</w:t>
            </w:r>
            <w:r>
              <w:t xml:space="preserve"> </w:t>
            </w:r>
            <m:oMath>
              <m:r>
                <m:t>Y</m:t>
              </m:r>
            </m:oMath>
            <w:r>
              <w:t xml:space="preserve"> </w:t>
            </w:r>
            <w:r>
              <w:t xml:space="preserve">given</w:t>
            </w:r>
            <w:r>
              <w:t xml:space="preserve"> </w:t>
            </w:r>
            <m:oMath>
              <m:r>
                <m:t>T</m:t>
              </m:r>
            </m:oMath>
            <w:r>
              <w:t xml:space="preserve"> </w:t>
            </w:r>
            <w:r>
              <w:t xml:space="preserve">with the mixed distribution of</w:t>
            </w:r>
            <w:r>
              <w:t xml:space="preserve"> </w:t>
            </w:r>
            <m:oMath>
              <m:r>
                <m:t>T</m:t>
              </m:r>
            </m:oMath>
            <w:r>
              <w:t xml:space="preserve"> </w:t>
            </w:r>
            <w:r>
              <w:t xml:space="preserve">(Proposition</w:t>
            </w:r>
            <w:r>
              <w:t xml:space="preserve"> </w:t>
            </w:r>
            <w:hyperlink w:anchor="prp-time-since-infection">
              <w:r>
                <w:rPr>
                  <w:rStyle w:val="Hyperlink"/>
                </w:rPr>
                <w:t xml:space="preserve">Proposition 1</w:t>
              </w:r>
            </w:hyperlink>
            <w:r>
              <w:t xml:space="preserve">), the marginal likelihood</w:t>
            </w:r>
            <w:r>
              <w:t xml:space="preserve"> </w:t>
            </w:r>
            <w:r>
              <w:t xml:space="preserve">of a single participant’s observed antibody level is</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8"/>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 Proposition</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9"/>
    <w:bookmarkStart w:id="81" w:name="the-full-sample-likelihood"/>
    <w:p>
      <w:pPr>
        <w:pStyle w:val="Heading2"/>
      </w:pPr>
      <w:r>
        <w:t xml:space="preserve">4.13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(Product of per-observation likelihoods)</w:t>
            </w:r>
          </w:p>
          <w:bookmarkStart w:id="80" w:name="def-full-sample-likelihood"/>
          <w:p>
            <w:pPr>
              <w:pStyle w:val="BodyText"/>
            </w:pPr>
            <w:r>
              <w:rPr>
                <w:b/>
                <w:bCs/>
              </w:rPr>
              <w:t xml:space="preserve">Definition 7 (Product of per-observation likelihoods)</w:t>
            </w:r>
            <w:r>
              <w:t xml:space="preserve"> </w:t>
            </w:r>
            <w:r>
              <w:t xml:space="preserve">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(Definition</w:t>
            </w:r>
            <w:r>
              <w:t xml:space="preserve"> </w:t>
            </w:r>
            <w:hyperlink w:anchor="def-likelihood">
              <w:r>
                <w:rPr>
                  <w:rStyle w:val="Hyperlink"/>
                </w:rPr>
                <w:t xml:space="preserve">Definition 3</w:t>
              </w:r>
            </w:hyperlink>
            <w:r>
              <w:t xml:space="preserve">) is the product of each participant’s</w:t>
            </w:r>
            <w:r>
              <w:t xml:space="preserve"> </w:t>
            </w:r>
            <w:r>
              <w:t xml:space="preserve">marginal likelihood (Proposition</w:t>
            </w:r>
            <w:r>
              <w:t xml:space="preserve"> </w:t>
            </w:r>
            <w:hyperlink w:anchor="prp-marginal-likelihood">
              <w:r>
                <w:rPr>
                  <w:rStyle w:val="Hyperlink"/>
                </w:rPr>
                <w:t xml:space="preserve">Proposition 2</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bookmarkEnd w:id="80"/>
        </w:tc>
      </w:tr>
    </w:tbl>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81"/>
    <w:bookmarkStart w:id="8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82"/>
    <w:bookmarkStart w:id="8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8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will be</w:t>
      </w:r>
      <w:r>
        <w:t xml:space="preserve"> </w:t>
      </w:r>
      <w:r>
        <w:rPr>
          <w:b/>
          <w:bCs/>
        </w:rPr>
        <w:t xml:space="preserve">too narrow</w:t>
      </w:r>
    </w:p>
    <w:p>
      <w:pPr>
        <w:pStyle w:val="Compact"/>
        <w:numPr>
          <w:ilvl w:val="0"/>
          <w:numId w:val="1018"/>
        </w:numPr>
      </w:pPr>
      <w:r>
        <w:t xml:space="preserve">p-values will be</w:t>
      </w:r>
      <w:r>
        <w:t xml:space="preserve"> </w:t>
      </w:r>
      <w:r>
        <w:rPr>
          <w:b/>
          <w:bCs/>
        </w:rPr>
        <w:t xml:space="preserve">too optimistic</w:t>
      </w:r>
    </w:p>
    <w:bookmarkEnd w:id="83"/>
    <w:bookmarkStart w:id="85"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4"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oMath>
            <w:r>
              <w:t xml:space="preserve"> </w:t>
            </w:r>
            <w:r>
              <w:t xml:space="preserve">be the Hessian of the log-likelihood with respect to the</w:t>
            </w:r>
            <w:r>
              <w:t xml:space="preserve"> </w:t>
            </w:r>
            <w:r>
              <w:t xml:space="preserve">parameter estimates (Definition</w:t>
            </w:r>
            <w:r>
              <w:t xml:space="preserve"> </w:t>
            </w:r>
            <w:hyperlink w:anchor="def-hessian">
              <w:r>
                <w:rPr>
                  <w:rStyle w:val="Hyperlink"/>
                </w:rPr>
                <w:t xml:space="preserve">Definition 5</w:t>
              </w:r>
            </w:hyperlink>
            <w:r>
              <w:t xml:space="preserve">), evaluated at the MLE</w:t>
            </w:r>
            <w:r>
              <w:t xml:space="preserve"> </w:t>
            </w:r>
            <m:oMath>
              <m:acc>
                <m:accPr>
                  <m:chr m:val="̂"/>
                </m:accPr>
                <m:e>
                  <m:r>
                    <m:t>λ</m:t>
                  </m:r>
                </m:e>
              </m:acc>
            </m:oMath>
            <w:r>
              <w:t xml:space="preserve">. The</w:t>
            </w:r>
            <w:r>
              <w:t xml:space="preserve"> </w:t>
            </w:r>
            <w:r>
              <w:rPr>
                <w:b/>
                <w:bCs/>
              </w:rPr>
              <w:t xml:space="preserve">cluster-robust variance-covariance matrix</w:t>
            </w:r>
            <w:r>
              <w:t xml:space="preserve"> </w:t>
            </w:r>
            <w:r>
              <w:t xml:space="preserve">for</w:t>
            </w:r>
            <w:r>
              <w:t xml:space="preserve"> </w:t>
            </w:r>
            <w:r>
              <w:t xml:space="preserve">the parameter estimates is</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r>
              <w:t xml:space="preserve"> </w:t>
            </w:r>
            <m:oMath>
              <m:r>
                <m:t>B</m:t>
              </m:r>
            </m:oMath>
            <w:r>
              <w:t xml:space="preserve"> </w:t>
            </w:r>
            <w:r>
              <w:t xml:space="preserve">is the</w:t>
            </w:r>
            <w:r>
              <w:t xml:space="preserve"> </w:t>
            </w:r>
            <w:r>
              <w:t xml:space="preserve">“meat”</w:t>
            </w:r>
            <w:r>
              <w:t xml:space="preserve"> </w:t>
            </w:r>
            <w:r>
              <w:t xml:space="preserve">of the sandwich, calculated from cluster-level</w:t>
            </w:r>
            <w:r>
              <w:t xml:space="preserve"> </w:t>
            </w:r>
            <w:r>
              <w:t xml:space="preserve">score contributions:</w:t>
            </w:r>
          </w:p>
          <w:p>
            <w:pPr>
              <w:pStyle w:val="BodyText"/>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r>
                  <m:rPr>
                    <m:sty m:val="p"/>
                  </m:rPr>
                  <m:t>,</m:t>
                </m:r>
                <m:r>
                  <m:t>  </m:t>
                </m:r>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m:oMathPara>
          </w:p>
          <w:p>
            <w:pPr>
              <w:pStyle w:val="FirstParagraph"/>
            </w:pPr>
            <w:r>
              <w:t xml:space="preserve">and</w:t>
            </w:r>
            <w:r>
              <w:t xml:space="preserve"> </w:t>
            </w:r>
            <m:oMath>
              <m:sSub>
                <m:e>
                  <m:r>
                    <m:t>U</m:t>
                  </m:r>
                </m:e>
                <m:sub>
                  <m:r>
                    <m:t>c</m:t>
                  </m:r>
                </m:sub>
              </m:sSub>
            </m:oMath>
            <w:r>
              <w:t xml:space="preserve"> </w:t>
            </w:r>
            <w:r>
              <w:t xml:space="preserve">sums the score contributions (Definition</w:t>
            </w:r>
            <w:r>
              <w:t xml:space="preserve"> </w:t>
            </w:r>
            <w:hyperlink w:anchor="def-score">
              <w:r>
                <w:rPr>
                  <w:rStyle w:val="Hyperlink"/>
                </w:rPr>
                <w:t xml:space="preserve">Definition 4</w:t>
              </w:r>
            </w:hyperlink>
            <w:r>
              <w:t xml:space="preserve">) of</w:t>
            </w:r>
            <w:r>
              <w:t xml:space="preserve"> </w:t>
            </w:r>
            <w:r>
              <w:t xml:space="preserve">every observation</w:t>
            </w:r>
            <w:r>
              <w:t xml:space="preserve"> </w:t>
            </w:r>
            <m:oMath>
              <m:r>
                <m:t>i</m:t>
              </m:r>
            </m:oMath>
            <w:r>
              <w:t xml:space="preserve"> </w:t>
            </w:r>
            <w:r>
              <w:t xml:space="preserve">in cluster</w:t>
            </w:r>
            <w:r>
              <w:t xml:space="preserve"> </w:t>
            </w:r>
            <m:oMath>
              <m:r>
                <m:t>c</m:t>
              </m:r>
            </m:oMath>
            <w:r>
              <w:t xml:space="preserve"> </w:t>
            </w:r>
            <w:r>
              <w:t xml:space="preserve">(i.e.,</w:t>
            </w:r>
            <w:r>
              <w:t xml:space="preserve"> </w:t>
            </w:r>
            <m:oMath>
              <m:sSub>
                <m:e>
                  <m:r>
                    <m:rPr>
                      <m:sty m:val="p"/>
                    </m:rPr>
                    <m:t>∇</m:t>
                  </m:r>
                </m:e>
                <m:sub>
                  <m:r>
                    <m:t>λ</m:t>
                  </m:r>
                </m:sub>
              </m:sSub>
            </m:oMath>
            <w:r>
              <w:t xml:space="preserve"> </w:t>
            </w:r>
            <w:r>
              <w:t xml:space="preserve">denotes</w:t>
            </w:r>
            <w:r>
              <w:t xml:space="preserve"> </w:t>
            </w:r>
            <w:r>
              <w:t xml:space="preserve">the gradient operator, the vector of partial derivatives with respect</w:t>
            </w:r>
            <w:r>
              <w:t xml:space="preserve"> </w:t>
            </w:r>
            <w:r>
              <w:t xml:space="preserve">to the parameter</w:t>
            </w:r>
            <w:r>
              <w:t xml:space="preserve"> </w:t>
            </w:r>
            <m:oMath>
              <m:r>
                <m:t>λ</m:t>
              </m:r>
            </m:oMath>
            <w:r>
              <w:t xml:space="preserve">).</w:t>
            </w:r>
          </w:p>
          <w:bookmarkEnd w:id="84"/>
        </w:tc>
      </w:tr>
    </w:tbl>
    <w:bookmarkEnd w:id="85"/>
    <w:bookmarkStart w:id="86"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86"/>
    <w:bookmarkStart w:id="87" w:name="effect-on-results"/>
    <w:p>
      <w:pPr>
        <w:pStyle w:val="Heading3"/>
      </w:pPr>
      <w:r>
        <w:t xml:space="preserve">4.15.4 Effect on results</w:t>
      </w:r>
    </w:p>
    <w:p>
      <w:pPr>
        <w:pStyle w:val="Compact"/>
        <w:numPr>
          <w:ilvl w:val="0"/>
          <w:numId w:val="1019"/>
        </w:numPr>
      </w:pPr>
      <w:r>
        <w:rPr>
          <w:b/>
          <w:bCs/>
        </w:rPr>
        <w:t xml:space="preserve">Point estimates</w:t>
      </w:r>
      <w:r>
        <w:t xml:space="preserve"> </w:t>
      </w:r>
      <w:r>
        <w:t xml:space="preserve">(incidence rates) remain unchanged</w:t>
      </w:r>
    </w:p>
    <w:p>
      <w:pPr>
        <w:pStyle w:val="Compact"/>
        <w:numPr>
          <w:ilvl w:val="0"/>
          <w:numId w:val="1019"/>
        </w:numPr>
      </w:pPr>
      <w:r>
        <w:rPr>
          <w:b/>
          <w:bCs/>
        </w:rPr>
        <w:t xml:space="preserve">Standard errors</w:t>
      </w:r>
      <w:r>
        <w:t xml:space="preserve"> </w:t>
      </w:r>
      <w:r>
        <w:t xml:space="preserve">often increase to reflect within-cluster correlation</w:t>
      </w:r>
    </w:p>
    <w:p>
      <w:pPr>
        <w:pStyle w:val="Compact"/>
        <w:numPr>
          <w:ilvl w:val="0"/>
          <w:numId w:val="1019"/>
        </w:numPr>
      </w:pPr>
      <w:r>
        <w:rPr>
          <w:b/>
          <w:bCs/>
        </w:rPr>
        <w:t xml:space="preserve">Confidence intervals</w:t>
      </w:r>
      <w:r>
        <w:t xml:space="preserve"> </w:t>
      </w:r>
      <w:r>
        <w:t xml:space="preserve">appropriately widen to account for reduced effective sample size</w:t>
      </w:r>
    </w:p>
    <w:bookmarkEnd w:id="87"/>
    <w:bookmarkEnd w:id="88"/>
    <w:bookmarkEnd w:id="89"/>
    <w:bookmarkStart w:id="12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0"/>
    <w:bookmarkStart w:id="9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1"/>
    <w:bookmarkStart w:id="9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2"/>
    <w:bookmarkStart w:id="9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3"/>
    <w:bookmarkStart w:id="10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7" w:name="fig-response-graph"/>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response-graph-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0" name="Picture"/>
            <a:graphic>
              <a:graphicData uri="http://schemas.openxmlformats.org/drawingml/2006/picture">
                <pic:pic>
                  <pic:nvPicPr>
                    <pic:cNvPr descr="../man/figures/qr_akm2.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2"/>
    <w:bookmarkStart w:id="10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3"/>
    <w:bookmarkStart w:id="10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4"/>
    <w:bookmarkStart w:id="10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5"/>
    <w:bookmarkStart w:id="10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6"/>
    <w:bookmarkStart w:id="11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0" w:name="fig-curve-posterior"/>
          <w:p>
            <w:pPr>
              <w:pStyle w:val="Compact"/>
              <w:jc w:val="center"/>
            </w:pPr>
            <w:r>
              <w:drawing>
                <wp:inline>
                  <wp:extent cx="4620126" cy="3696101"/>
                  <wp:effectExtent b="0" l="0" r="0" t="0"/>
                  <wp:docPr descr="" title="" id="108" name="Picture"/>
                  <a:graphic>
                    <a:graphicData uri="http://schemas.openxmlformats.org/drawingml/2006/picture">
                      <pic:pic>
                        <pic:nvPicPr>
                          <pic:cNvPr descr="methodology_files/figure-docx/fig-curve-posterior-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1"/>
    <w:bookmarkStart w:id="11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fig-loglik"/>
          <w:p>
            <w:pPr>
              <w:pStyle w:val="Compact"/>
              <w:jc w:val="center"/>
            </w:pPr>
            <w:r>
              <w:drawing>
                <wp:inline>
                  <wp:extent cx="4620126" cy="3696101"/>
                  <wp:effectExtent b="0" l="0" r="0" t="0"/>
                  <wp:docPr descr="" title="" id="114" name="Picture"/>
                  <a:graphic>
                    <a:graphicData uri="http://schemas.openxmlformats.org/drawingml/2006/picture">
                      <pic:pic>
                        <pic:nvPicPr>
                          <pic:cNvPr descr="methodology_files/figure-docx/fig-loglik-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6"/>
        </w:tc>
      </w:tr>
    </w:tbl>
    <w:bookmarkEnd w:id="117"/>
    <w:bookmarkStart w:id="12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9" name="Picture"/>
            <a:graphic>
              <a:graphicData uri="http://schemas.openxmlformats.org/drawingml/2006/picture">
                <pic:pic>
                  <pic:nvPicPr>
                    <pic:cNvPr descr="../man/figures/kinetics-variation-1.png" id="120" name="Picture"/>
                    <pic:cNvPicPr>
                      <a:picLocks noChangeArrowheads="1" noChangeAspect="1"/>
                    </pic:cNvPicPr>
                  </pic:nvPicPr>
                  <pic:blipFill>
                    <a:blip r:embed="rId11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1"/>
    <w:bookmarkStart w:id="12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3" name="Picture"/>
            <a:graphic>
              <a:graphicData uri="http://schemas.openxmlformats.org/drawingml/2006/picture">
                <pic:pic>
                  <pic:nvPicPr>
                    <pic:cNvPr descr="../man/figures/kinetics-variation-2.png" id="124" name="Picture"/>
                    <pic:cNvPicPr>
                      <a:picLocks noChangeArrowheads="1" noChangeAspect="1"/>
                    </pic:cNvPicPr>
                  </pic:nvPicPr>
                  <pic:blipFill>
                    <a:blip r:embed="rId12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5"/>
    <w:bookmarkEnd w:id="126"/>
    <w:bookmarkStart w:id="138" w:name="estimating-the-curves-with-serodynamics"/>
    <w:p>
      <w:pPr>
        <w:pStyle w:val="Heading1"/>
      </w:pPr>
      <w:r>
        <w:t xml:space="preserve">6. Estimating the curves with</w:t>
      </w:r>
      <w:r>
        <w:t xml:space="preserve"> </w:t>
      </w:r>
      <w:r>
        <w:rPr>
          <w:rStyle w:val="VerbatimChar"/>
        </w:rPr>
        <w:t xml:space="preserve">serodynamics</w:t>
      </w:r>
    </w:p>
    <w:bookmarkStart w:id="12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7"/>
    <w:bookmarkStart w:id="12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9"/>
    <w:bookmarkStart w:id="13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0"/>
    <w:bookmarkStart w:id="13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2" name="Picture"/>
            <a:graphic>
              <a:graphicData uri="http://schemas.openxmlformats.org/drawingml/2006/picture">
                <pic:pic>
                  <pic:nvPicPr>
                    <pic:cNvPr descr="../man/figures/serodynamics-cached-fit.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4"/>
    <w:bookmarkStart w:id="135"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5"/>
    <w:bookmarkStart w:id="13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6"/>
    <w:bookmarkStart w:id="13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7"/>
    <w:bookmarkEnd w:id="138"/>
    <w:bookmarkStart w:id="159" w:name="using-serocalculator"/>
    <w:p>
      <w:pPr>
        <w:pStyle w:val="Heading1"/>
      </w:pPr>
      <w:r>
        <w:t xml:space="preserve">7. Using</w:t>
      </w:r>
      <w:r>
        <w:t xml:space="preserve"> </w:t>
      </w:r>
      <w:r>
        <w:rPr>
          <w:rStyle w:val="VerbatimChar"/>
        </w:rPr>
        <w:t xml:space="preserve">serocalculator</w:t>
      </w:r>
    </w:p>
    <w:bookmarkStart w:id="14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0"/>
    <w:bookmarkStart w:id="14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1"/>
    <w:bookmarkStart w:id="14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2"/>
    <w:bookmarkStart w:id="14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6" w:name="fig-sim-distribution"/>
          <w:p>
            <w:pPr>
              <w:pStyle w:val="Compact"/>
              <w:jc w:val="center"/>
            </w:pPr>
            <w:r>
              <w:drawing>
                <wp:inline>
                  <wp:extent cx="4620126" cy="3696101"/>
                  <wp:effectExtent b="0" l="0" r="0" t="0"/>
                  <wp:docPr descr="" title="" id="144" name="Picture"/>
                  <a:graphic>
                    <a:graphicData uri="http://schemas.openxmlformats.org/drawingml/2006/picture">
                      <pic:pic>
                        <pic:nvPicPr>
                          <pic:cNvPr descr="methodology_files/figure-docx/fig-sim-distribution-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6"/>
        </w:tc>
      </w:tr>
    </w:tbl>
    <w:bookmarkEnd w:id="147"/>
    <w:bookmarkStart w:id="15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1" w:name="fig-est-single-loglik"/>
          <w:p>
            <w:pPr>
              <w:pStyle w:val="Compact"/>
              <w:jc w:val="center"/>
            </w:pPr>
            <w:r>
              <w:drawing>
                <wp:inline>
                  <wp:extent cx="4620126" cy="3696101"/>
                  <wp:effectExtent b="0" l="0" r="0" t="0"/>
                  <wp:docPr descr="" title="" id="149" name="Picture"/>
                  <a:graphic>
                    <a:graphicData uri="http://schemas.openxmlformats.org/drawingml/2006/picture">
                      <pic:pic>
                        <pic:nvPicPr>
                          <pic:cNvPr descr="methodology_files/figure-docx/fig-est-single-loglik-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1"/>
        </w:tc>
      </w:tr>
    </w:tbl>
    <w:bookmarkEnd w:id="152"/>
    <w:bookmarkStart w:id="15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3"/>
    <w:bookmarkStart w:id="158" w:name="interactive-shiny-app"/>
    <w:p>
      <w:pPr>
        <w:pStyle w:val="Heading2"/>
      </w:pPr>
      <w:r>
        <w:t xml:space="preserve">7.7 Interactive Shiny app</w:t>
      </w:r>
    </w:p>
    <w:p>
      <w:pPr>
        <w:pStyle w:val="FirstParagraph"/>
      </w:pPr>
      <w:r>
        <w:t xml:space="preserve">A point-and-click interface is available at</w:t>
      </w:r>
      <w:r>
        <w:t xml:space="preserve"> </w:t>
      </w:r>
      <w:hyperlink r:id="rId15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6" name="Picture"/>
            <a:graphic>
              <a:graphicData uri="http://schemas.openxmlformats.org/drawingml/2006/picture">
                <pic:pic>
                  <pic:nvPicPr>
                    <pic:cNvPr descr="../man/figures/shiny-serocalculator.png" id="157" name="Picture"/>
                    <pic:cNvPicPr>
                      <a:picLocks noChangeArrowheads="1" noChangeAspect="1"/>
                    </pic:cNvPicPr>
                  </pic:nvPicPr>
                  <pic:blipFill>
                    <a:blip r:embed="rId15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8"/>
    <w:bookmarkEnd w:id="159"/>
    <w:bookmarkStart w:id="192" w:name="sec-validation"/>
    <w:p>
      <w:pPr>
        <w:pStyle w:val="Heading1"/>
      </w:pPr>
      <w:r>
        <w:t xml:space="preserve">8. Validation: recovering known incidence rates</w:t>
      </w:r>
    </w:p>
    <w:bookmarkStart w:id="16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3" w:name="fig-sim-multi-distribution"/>
          <w:p>
            <w:pPr>
              <w:pStyle w:val="Compact"/>
              <w:jc w:val="center"/>
            </w:pPr>
            <w:r>
              <w:drawing>
                <wp:inline>
                  <wp:extent cx="4620126" cy="4620126"/>
                  <wp:effectExtent b="0" l="0" r="0" t="0"/>
                  <wp:docPr descr="" title="" id="161" name="Picture"/>
                  <a:graphic>
                    <a:graphicData uri="http://schemas.openxmlformats.org/drawingml/2006/picture">
                      <pic:pic>
                        <pic:nvPicPr>
                          <pic:cNvPr descr="methodology_files/figure-docx/fig-sim-multi-distribution-1.png" id="162" name="Picture"/>
                          <pic:cNvPicPr>
                            <a:picLocks noChangeArrowheads="1" noChangeAspect="1"/>
                          </pic:cNvPicPr>
                        </pic:nvPicPr>
                        <pic:blipFill>
                          <a:blip r:embed="rId16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3"/>
        </w:tc>
      </w:tr>
    </w:tbl>
    <w:bookmarkEnd w:id="164"/>
    <w:bookmarkStart w:id="16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6"/>
    <w:bookmarkStart w:id="17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0" w:name="fig-cluster-logliks"/>
          <w:p>
            <w:pPr>
              <w:pStyle w:val="Compact"/>
              <w:jc w:val="center"/>
            </w:pPr>
            <w:r>
              <w:drawing>
                <wp:inline>
                  <wp:extent cx="4620126" cy="6468176"/>
                  <wp:effectExtent b="0" l="0" r="0" t="0"/>
                  <wp:docPr descr="" title="" id="168" name="Picture"/>
                  <a:graphic>
                    <a:graphicData uri="http://schemas.openxmlformats.org/drawingml/2006/picture">
                      <pic:pic>
                        <pic:nvPicPr>
                          <pic:cNvPr descr="methodology_files/figure-docx/fig-cluster-logliks-1.png" id="169" name="Picture"/>
                          <pic:cNvPicPr>
                            <a:picLocks noChangeArrowheads="1" noChangeAspect="1"/>
                          </pic:cNvPicPr>
                        </pic:nvPicPr>
                        <pic:blipFill>
                          <a:blip r:embed="rId16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0"/>
        </w:tc>
      </w:tr>
    </w:tbl>
    <w:bookmarkEnd w:id="171"/>
    <w:bookmarkStart w:id="17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6" w:name="fig-problem-strata"/>
          <w:p>
            <w:pPr>
              <w:pStyle w:val="Compact"/>
              <w:jc w:val="center"/>
            </w:pPr>
            <w:r>
              <w:drawing>
                <wp:inline>
                  <wp:extent cx="4620126" cy="6468176"/>
                  <wp:effectExtent b="0" l="0" r="0" t="0"/>
                  <wp:docPr descr="" title="" id="174" name="Picture"/>
                  <a:graphic>
                    <a:graphicData uri="http://schemas.openxmlformats.org/drawingml/2006/picture">
                      <pic:pic>
                        <pic:nvPicPr>
                          <pic:cNvPr descr="methodology_files/figure-docx/fig-problem-strata-1.png" id="175" name="Picture"/>
                          <pic:cNvPicPr>
                            <a:picLocks noChangeArrowheads="1" noChangeAspect="1"/>
                          </pic:cNvPicPr>
                        </pic:nvPicPr>
                        <pic:blipFill>
                          <a:blip r:embed="rId17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6"/>
        </w:tc>
      </w:tr>
    </w:tbl>
    <w:bookmarkEnd w:id="177"/>
    <w:bookmarkStart w:id="18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1" w:name="fig-sim-recovery"/>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5" w:name="fig-empirical-se"/>
          <w:p>
            <w:pPr>
              <w:pStyle w:val="Compact"/>
              <w:jc w:val="center"/>
            </w:pPr>
            <w:r>
              <w:drawing>
                <wp:inline>
                  <wp:extent cx="4620126" cy="3696101"/>
                  <wp:effectExtent b="0" l="0" r="0" t="0"/>
                  <wp:docPr descr="" title="" id="183" name="Picture"/>
                  <a:graphic>
                    <a:graphicData uri="http://schemas.openxmlformats.org/drawingml/2006/picture">
                      <pic:pic>
                        <pic:nvPicPr>
                          <pic:cNvPr descr="methodology_files/figure-docx/fig-empirical-se-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5"/>
        </w:tc>
      </w:tr>
    </w:tbl>
    <w:bookmarkEnd w:id="186"/>
    <w:bookmarkStart w:id="19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0" w:name="fig-sim-recovery-renew"/>
          <w:p>
            <w:pPr>
              <w:pStyle w:val="Compact"/>
              <w:jc w:val="center"/>
            </w:pPr>
            <w:r>
              <w:drawing>
                <wp:inline>
                  <wp:extent cx="4620126" cy="3696101"/>
                  <wp:effectExtent b="0" l="0" r="0" t="0"/>
                  <wp:docPr descr="" title="" id="188" name="Picture"/>
                  <a:graphic>
                    <a:graphicData uri="http://schemas.openxmlformats.org/drawingml/2006/picture">
                      <pic:pic>
                        <pic:nvPicPr>
                          <pic:cNvPr descr="methodology_files/figure-docx/fig-sim-recovery-renew-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0"/>
        </w:tc>
      </w:tr>
    </w:tbl>
    <w:bookmarkEnd w:id="191"/>
    <w:bookmarkEnd w:id="192"/>
    <w:bookmarkStart w:id="197" w:name="ongoing-and-future-work"/>
    <w:p>
      <w:pPr>
        <w:pStyle w:val="Heading1"/>
      </w:pPr>
      <w:r>
        <w:t xml:space="preserve">9. Ongoing and future work</w:t>
      </w:r>
    </w:p>
    <w:bookmarkStart w:id="194"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4">
        <w:r>
          <w:rPr>
            <w:rStyle w:val="Hyperlink"/>
          </w:rPr>
          <w:t xml:space="preserve">serocalculator Shiny app</w:t>
        </w:r>
      </w:hyperlink>
      <w:r>
        <w:t xml:space="preserve">,</w:t>
      </w:r>
      <w:r>
        <w:t xml:space="preserve"> </w:t>
      </w:r>
      <w:hyperlink r:id="rId193">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4"/>
    <w:bookmarkStart w:id="19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5">
        <w:r>
          <w:rPr>
            <w:rStyle w:val="Hyperlink"/>
          </w:rPr>
          <w:t xml:space="preserve">UCD-SERG/shigella#13</w:t>
        </w:r>
      </w:hyperlink>
      <w:r>
        <w:t xml:space="preserve">).</w:t>
      </w:r>
    </w:p>
    <w:bookmarkEnd w:id="196"/>
    <w:bookmarkEnd w:id="197"/>
    <w:bookmarkStart w:id="214" w:name="references"/>
    <w:p>
      <w:pPr>
        <w:pStyle w:val="Heading1"/>
      </w:pPr>
      <w:r>
        <w:t xml:space="preserve">References</w:t>
      </w:r>
    </w:p>
    <w:bookmarkStart w:id="213" w:name="refs"/>
    <w:bookmarkStart w:id="19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8">
        <w:r>
          <w:rPr>
            <w:rStyle w:val="Hyperlink"/>
          </w:rPr>
          <w:t xml:space="preserve">https://doi.org/10.1016/S2666-5247(22)00114-8</w:t>
        </w:r>
      </w:hyperlink>
      <w:r>
        <w:t xml:space="preserve">.</w:t>
      </w:r>
    </w:p>
    <w:bookmarkEnd w:id="199"/>
    <w:bookmarkStart w:id="20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0">
        <w:r>
          <w:rPr>
            <w:rStyle w:val="Hyperlink"/>
          </w:rPr>
          <w:t xml:space="preserve">https://doi.org/10.1016/j.epidem.2024.100806</w:t>
        </w:r>
      </w:hyperlink>
      <w:r>
        <w:t xml:space="preserve">.</w:t>
      </w:r>
    </w:p>
    <w:bookmarkEnd w:id="201"/>
    <w:bookmarkStart w:id="202"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2"/>
    <w:bookmarkStart w:id="204"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3">
        <w:r>
          <w:rPr>
            <w:rStyle w:val="Hyperlink"/>
          </w:rPr>
          <w:t xml:space="preserve">https://doi.org/10.1093/biomet/73.1.13</w:t>
        </w:r>
      </w:hyperlink>
      <w:r>
        <w:t xml:space="preserve">.</w:t>
      </w:r>
    </w:p>
    <w:bookmarkEnd w:id="204"/>
    <w:bookmarkStart w:id="20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5">
        <w:r>
          <w:rPr>
            <w:rStyle w:val="Hyperlink"/>
          </w:rPr>
          <w:t xml:space="preserve">https://doi.org/10.1159/000286345</w:t>
        </w:r>
      </w:hyperlink>
      <w:r>
        <w:t xml:space="preserve">.</w:t>
      </w:r>
    </w:p>
    <w:bookmarkEnd w:id="206"/>
    <w:bookmarkStart w:id="20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7">
        <w:r>
          <w:rPr>
            <w:rStyle w:val="Hyperlink"/>
          </w:rPr>
          <w:t xml:space="preserve">https://doi.org/10.1002/sim.8578</w:t>
        </w:r>
      </w:hyperlink>
      <w:r>
        <w:t xml:space="preserve">.</w:t>
      </w:r>
    </w:p>
    <w:bookmarkEnd w:id="208"/>
    <w:bookmarkStart w:id="21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09">
        <w:r>
          <w:rPr>
            <w:rStyle w:val="Hyperlink"/>
          </w:rPr>
          <w:t xml:space="preserve">https://doi.org/10.1016/j.epidem.2016.04.001</w:t>
        </w:r>
      </w:hyperlink>
      <w:r>
        <w:t xml:space="preserve">.</w:t>
      </w:r>
    </w:p>
    <w:bookmarkEnd w:id="210"/>
    <w:bookmarkStart w:id="21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1"/>
    <w:bookmarkStart w:id="21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2"/>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99" Target="media/rId99.sv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image" Id="rId167" Target="media/rId167.png" /><Relationship Type="http://schemas.openxmlformats.org/officeDocument/2006/relationships/image" Id="rId107" Target="media/rId107.png" /><Relationship Type="http://schemas.openxmlformats.org/officeDocument/2006/relationships/image" Id="rId182" Target="media/rId182.png" /><Relationship Type="http://schemas.openxmlformats.org/officeDocument/2006/relationships/image" Id="rId148" Target="media/rId148.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73" Target="media/rId173.png" /><Relationship Type="http://schemas.openxmlformats.org/officeDocument/2006/relationships/image" Id="rId94" Target="media/rId94.png" /><Relationship Type="http://schemas.openxmlformats.org/officeDocument/2006/relationships/image" Id="rId143" Target="media/rId143.png" /><Relationship Type="http://schemas.openxmlformats.org/officeDocument/2006/relationships/image" Id="rId160" Target="media/rId160.png" /><Relationship Type="http://schemas.openxmlformats.org/officeDocument/2006/relationships/image" Id="rId178" Target="media/rId178.png" /><Relationship Type="http://schemas.openxmlformats.org/officeDocument/2006/relationships/image" Id="rId187" Target="media/rId187.png" /><Relationship Type="http://schemas.openxmlformats.org/officeDocument/2006/relationships/image" Id="rId29" Target="media/rId29.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2026-08-08T23:17:37Z</dcterms:created>
  <dcterms:modified xsi:type="dcterms:W3CDTF">2026-08-08T23:17:37Z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