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91.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6.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2026-09-09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ec-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sec-cluster-robust"/>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sec-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model treats biomarkers as</w:t>
      </w:r>
      <w:r>
        <w:t xml:space="preserve"> </w:t>
      </w:r>
      <w:r>
        <w:rPr>
          <w:b/>
          <w:bCs/>
        </w:rPr>
        <w:t xml:space="preserve">conditionally independent given the time since infection</w:t>
      </w:r>
      <w:r>
        <w:t xml:space="preserve">, so their response densities multiply</w:t>
      </w:r>
      <w:r>
        <w:t xml:space="preserve"> </w:t>
      </w:r>
      <w:r>
        <w:rPr>
          <w:i/>
          <w:iCs/>
        </w:rPr>
        <w:t xml:space="preserve">inside</w:t>
      </w:r>
      <w:r>
        <w:t xml:space="preserve"> </w:t>
      </w:r>
      <w:r>
        <w:t xml:space="preserve">each 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 likelihoods: the shared latent infection time</w:t>
      </w:r>
      <w:r>
        <w:t xml:space="preserve"> </w:t>
      </w:r>
      <m:oMath>
        <m:r>
          <m:t>t</m:t>
        </m:r>
      </m:oMath>
      <w:r>
        <w:t xml:space="preserve"> </w:t>
      </w:r>
      <w:r>
        <w:t xml:space="preserve">couples them.</w:t>
      </w:r>
    </w:p>
    <w:p>
      <w:pPr>
        <w:pStyle w:val="BodyText"/>
      </w:pPr>
      <w:r>
        <w:rPr>
          <w:rStyle w:val="VerbatimChar"/>
        </w:rPr>
        <w:t xml:space="preserve">serocalculator</w:t>
      </w:r>
      <w:r>
        <w:t xml:space="preserve"> </w:t>
      </w:r>
      <w:r>
        <w:t xml:space="preserve">offers two ways of combining biomarkers, selected by the</w:t>
      </w:r>
      <w:r>
        <w:t xml:space="preserve"> </w:t>
      </w:r>
      <w:r>
        <w:rPr>
          <w:rStyle w:val="VerbatimChar"/>
        </w:rPr>
        <w:t xml:space="preserve">method</w:t>
      </w:r>
      <w:r>
        <w:t xml:space="preserve"> </w:t>
      </w:r>
      <w:r>
        <w:t xml:space="preserve">argument of</w:t>
      </w:r>
      <w:r>
        <w:t xml:space="preserve"> </w:t>
      </w:r>
      <w:r>
        <w:rPr>
          <w:rStyle w:val="VerbatimChar"/>
        </w:rPr>
        <w:t xml:space="preserve">log_likelihood()</w:t>
      </w:r>
      <w:r>
        <w:t xml:space="preserve">,</w:t>
      </w:r>
      <w:r>
        <w:t xml:space="preserve"> </w:t>
      </w:r>
      <w:r>
        <w:rPr>
          <w:rStyle w:val="VerbatimChar"/>
        </w:rPr>
        <w:t xml:space="preserve">est_seroincidence()</w:t>
      </w:r>
      <w:r>
        <w:t xml:space="preserve"> </w:t>
      </w:r>
      <w:r>
        <w:t xml:space="preserve">and</w:t>
      </w:r>
      <w:r>
        <w:t xml:space="preserve"> </w:t>
      </w:r>
      <w:r>
        <w:rPr>
          <w:rStyle w:val="VerbatimChar"/>
        </w:rPr>
        <w:t xml:space="preserve">est_seroincidence_by()</w:t>
      </w:r>
      <w:r>
        <w:t xml:space="preserve">:</w:t>
      </w:r>
    </w:p>
    <w:p>
      <w:pPr>
        <w:pStyle w:val="Compact"/>
        <w:numPr>
          <w:ilvl w:val="0"/>
          <w:numId w:val="1031"/>
        </w:numPr>
      </w:pPr>
      <w:r>
        <w:rPr>
          <w:rStyle w:val="VerbatimChar"/>
        </w:rPr>
        <w:t xml:space="preserve">method = "composite"</w:t>
      </w:r>
      <w:r>
        <w:t xml:space="preserve"> </w:t>
      </w:r>
      <w:r>
        <w:t xml:space="preserve">(the default) evaluates the likelihood of each biomarker separately and</w:t>
      </w:r>
      <w:r>
        <w:t xml:space="preserve"> </w:t>
      </w:r>
      <w:r>
        <w:rPr>
          <w:b/>
          <w:bCs/>
        </w:rPr>
        <w:t xml:space="preserve">sums the log-likelihoods</w:t>
      </w:r>
      <w:r>
        <w:t xml:space="preserve">.</w:t>
      </w:r>
      <w:r>
        <w:t xml:space="preserve"> </w:t>
      </w:r>
      <w:r>
        <w:t xml:space="preserve">That is the product of the marginals, which treats the biomarkers as independent</w:t>
      </w:r>
      <w:r>
        <w:t xml:space="preserve"> </w:t>
      </w:r>
      <w:r>
        <w:rPr>
          <w:i/>
          <w:iCs/>
        </w:rPr>
        <w:t xml:space="preserve">unconditionally</w:t>
      </w:r>
      <w:r>
        <w:t xml:space="preserve">, each with its own latent infection time.</w:t>
      </w:r>
      <w:r>
        <w:t xml:space="preserve"> </w:t>
      </w:r>
      <w:r>
        <w:t xml:space="preserve">In the composite-likelihood literature this is an</w:t>
      </w:r>
      <w:r>
        <w:t xml:space="preserve"> </w:t>
      </w:r>
      <w:r>
        <w:rPr>
          <w:i/>
          <w:iCs/>
        </w:rPr>
        <w:t xml:space="preserve">independence likelihood</w:t>
      </w:r>
      <w:r>
        <w:t xml:space="preserve"> </w:t>
      </w:r>
      <w:r>
        <w:t xml:space="preserve">(Varin et al. 2011)</w:t>
      </w:r>
      <w:r>
        <w:t xml:space="preserve">: its point estimate is consistent, but its naive standard error assumes the biomarker readings are independent.</w:t>
      </w:r>
    </w:p>
    <w:p>
      <w:pPr>
        <w:pStyle w:val="Compact"/>
        <w:numPr>
          <w:ilvl w:val="0"/>
          <w:numId w:val="1031"/>
        </w:numPr>
      </w:pPr>
      <w:r>
        <w:rPr>
          <w:rStyle w:val="VerbatimChar"/>
        </w:rPr>
        <w:t xml:space="preserve">method = "joint"</w:t>
      </w:r>
      <w:r>
        <w:t xml:space="preserve"> </w:t>
      </w:r>
      <w:r>
        <w:t xml:space="preserve">evaluates the formula above: one integral per person over a</w:t>
      </w:r>
      <w:r>
        <w:t xml:space="preserve"> </w:t>
      </w:r>
      <w:r>
        <w:rPr>
          <w:b/>
          <w:bCs/>
        </w:rPr>
        <w:t xml:space="preserve">shared</w:t>
      </w:r>
      <w:r>
        <w:t xml:space="preserve"> </w:t>
      </w:r>
      <m:oMath>
        <m:r>
          <m:t>t</m:t>
        </m:r>
      </m:oMath>
      <w:r>
        <w:t xml:space="preserve">, with the per-biomarker densities multiplied inside it.</w:t>
      </w:r>
      <w:r>
        <w:t xml:space="preserve"> </w:t>
      </w:r>
      <w:r>
        <w:t xml:space="preserve">This needs the data to identify people (</w:t>
      </w:r>
      <w:r>
        <w:rPr>
          <w:rStyle w:val="VerbatimChar"/>
        </w:rPr>
        <w:t xml:space="preserve">ids_varname()</w:t>
      </w:r>
      <w:r>
        <w:t xml:space="preserve">), so that each person’s readings can be paired, and it pairs the posterior draws of the curve parameters across biomarkers too, so that a person’s biomarkers are evaluated under one coherent draw.</w:t>
      </w:r>
    </w:p>
    <w:p>
      <w:pPr>
        <w:pStyle w:val="FirstParagraph"/>
      </w:pPr>
      <w:r>
        <w:rPr>
          <w:rStyle w:val="VerbatimChar"/>
        </w:rPr>
        <w:t xml:space="preserve">log_likelihood()</w:t>
      </w:r>
      <w:r>
        <w:t xml:space="preserve"> </w:t>
      </w:r>
      <w:r>
        <w:t xml:space="preserve">evaluates the log-likelihood at a given</w:t>
      </w:r>
      <w:r>
        <w:t xml:space="preserve"> </w:t>
      </w:r>
      <m:oMath>
        <m:r>
          <m:t>λ</m:t>
        </m:r>
      </m:oMath>
      <w:r>
        <w:t xml:space="preserve">, which lets us see the difference numerically.</w:t>
      </w:r>
      <w:r>
        <w:t xml:space="preserve"> </w:t>
      </w:r>
      <w:r>
        <w:t xml:space="preserve">First, the default:</w:t>
      </w:r>
    </w:p>
    <w:p>
      <w:pPr>
        <w:pStyle w:val="SourceCode"/>
      </w:pPr>
      <w:r>
        <w:rPr>
          <w:rStyle w:val="VerbatimChar"/>
        </w:rPr>
        <w:t xml:space="preserve">      IgA       IgG       sum composite </w:t>
      </w:r>
      <w:r>
        <w:br/>
      </w:r>
      <w:r>
        <w:rPr>
          <w:rStyle w:val="VerbatimChar"/>
        </w:rPr>
        <w:t xml:space="preserve">-1186.318 -1201.146 -2387.464 -2387.464 </w:t>
      </w:r>
    </w:p>
    <w:p>
      <w:pPr>
        <w:pStyle w:val="FirstParagraph"/>
      </w:pPr>
      <w:r>
        <w:t xml:space="preserve">The two-biomarker value is</w:t>
      </w:r>
      <w:r>
        <w:t xml:space="preserve"> </w:t>
      </w:r>
      <w:r>
        <w:rPr>
          <w:b/>
          <w:bCs/>
        </w:rPr>
        <w:t xml:space="preserve">exactly</w:t>
      </w:r>
      <w:r>
        <w:t xml:space="preserve"> </w:t>
      </w:r>
      <w:r>
        <w:t xml:space="preserve">the sum of the separate ones, as summing log-likelihoods must give.</w:t>
      </w:r>
      <w:r>
        <w:t xml:space="preserve"> </w:t>
      </w:r>
      <w:r>
        <w:t xml:space="preserve">Under the shared-latent-time model it is not:</w:t>
      </w:r>
    </w:p>
    <w:p>
      <w:pPr>
        <w:pStyle w:val="SourceCode"/>
      </w:pPr>
      <w:r>
        <w:rPr>
          <w:rStyle w:val="VerbatimChar"/>
        </w:rPr>
        <w:t xml:space="preserve">      sum     joint </w:t>
      </w:r>
      <w:r>
        <w:br/>
      </w:r>
      <w:r>
        <w:rPr>
          <w:rStyle w:val="VerbatimChar"/>
        </w:rPr>
        <w:t xml:space="preserve">-2387.464 -2249.881 </w:t>
      </w:r>
    </w:p>
    <w:p>
      <w:pPr>
        <w:pStyle w:val="FirstParagraph"/>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 biomarker, and adds the results;</w:t>
      </w:r>
      <w:r>
        <w:t xml:space="preserve"> </w:t>
      </w:r>
      <w:r>
        <w:rPr>
          <w:rStyle w:val="VerbatimChar"/>
        </w:rPr>
        <w:t xml:space="preserve">method = "joint"</w:t>
      </w:r>
      <w:r>
        <w:t xml:space="preserve"> </w:t>
      </w:r>
      <w:r>
        <w:t xml:space="preserve">instead hands all of a person’s readings to</w:t>
      </w:r>
      <w:r>
        <w:t xml:space="preserve"> </w:t>
      </w:r>
      <w:r>
        <w:rPr>
          <w:rStyle w:val="VerbatimChar"/>
        </w:rPr>
        <w:t xml:space="preserve">f_dev_joint()</w:t>
      </w:r>
      <w:r>
        <w:t xml:space="preserve">, which integrates once over</w:t>
      </w:r>
      <w:r>
        <w:t xml:space="preserve"> </w:t>
      </w:r>
      <m:oMath>
        <m:r>
          <m:t>t</m:t>
        </m:r>
      </m:oMath>
      <w:r>
        <w:t xml:space="preserve"> </w:t>
      </w:r>
      <w:r>
        <w:t xml:space="preserve">in C (</w:t>
      </w:r>
      <w:r>
        <w:rPr>
          <w:rStyle w:val="VerbatimChar"/>
        </w:rPr>
        <w:t xml:space="preserve">src/serocalc_joint.c</w:t>
      </w:r>
      <w:r>
        <w:t xml:space="preserve">).</w:t>
      </w:r>
      <w:r>
        <w:t xml:space="preserve"> </w:t>
      </w:r>
      <w:r>
        <w:t xml:space="preserve">With a single biomarker the two agree, up to numerical integration.</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 independence</w:t>
      </w:r>
      <w:r>
        <w:t xml:space="preserve"> </w:t>
      </w:r>
      <w:r>
        <w:rPr>
          <w:i/>
          <w:iCs/>
        </w:rPr>
        <w:t xml:space="preserve">given</w:t>
      </w:r>
      <w:r>
        <w:t xml:space="preserve"> </w:t>
      </w:r>
      <m:oMath>
        <m:r>
          <m:t>t</m:t>
        </m:r>
      </m:oMath>
      <w:r>
        <w:t xml:space="preserve">;</w:t>
      </w:r>
      <w:r>
        <w:t xml:space="preserve"> </w:t>
      </w:r>
      <w:r>
        <w:rPr>
          <w:rStyle w:val="VerbatimChar"/>
        </w:rPr>
        <w:t xml:space="preserve">method = "joint"</w:t>
      </w:r>
      <w:r>
        <w:t xml:space="preserve"> </w:t>
      </w:r>
      <w:r>
        <w:t xml:space="preserve">is the model that work generalizes, and</w:t>
      </w:r>
      <w:r>
        <w:t xml:space="preserve"> </w:t>
      </w:r>
      <w:r>
        <w:rPr>
          <w:rStyle w:val="VerbatimChar"/>
        </w:rPr>
        <w:t xml:space="preserve">method = "composite"</w:t>
      </w:r>
      <w:r>
        <w:t xml:space="preserve"> </w:t>
      </w:r>
      <w:r>
        <w:t xml:space="preserve">is a different, stronger, independence assumption.)</w:t>
      </w:r>
    </w:p>
    <w:p>
      <w:pPr>
        <w:pStyle w:val="BodyText"/>
      </w:pPr>
      <w:r>
        <w:t xml:space="preserve">The two likelihoods call for different standard errors.</w:t>
      </w:r>
      <w:r>
        <w:t xml:space="preserve"> </w:t>
      </w:r>
      <w:r>
        <w:t xml:space="preserve">The joint likelihood is a genuine likelihood, so the Hessian-based standard error of</w:t>
      </w:r>
      <w:r>
        <w:t xml:space="preserve"> </w:t>
      </w:r>
      <w:hyperlink w:anchor="sec-standard-errors">
        <w:r>
          <w:rPr>
            <w:rStyle w:val="Hyperlink"/>
          </w:rPr>
          <w:t xml:space="preserve">Section 4.9</w:t>
        </w:r>
      </w:hyperlink>
      <w:r>
        <w:t xml:space="preserve"> </w:t>
      </w:r>
      <w:r>
        <w:t xml:space="preserve">applies to it directly.</w:t>
      </w:r>
      <w:r>
        <w:t xml:space="preserve"> </w:t>
      </w:r>
      <w:r>
        <w:t xml:space="preserve">The composite likelihood’s Hessian understates the variance whenever one person’s biomarker readings are correlated (they respond to the same infection), and the fix is the cluster-robust estimator of</w:t>
      </w:r>
      <w:r>
        <w:t xml:space="preserve"> </w:t>
      </w:r>
      <w:hyperlink w:anchor="sec-cluster-robust">
        <w:r>
          <w:rPr>
            <w:rStyle w:val="Hyperlink"/>
          </w:rPr>
          <w:t xml:space="preserve">Section 4.16</w:t>
        </w:r>
      </w:hyperlink>
      <w:r>
        <w:t xml:space="preserve"> </w:t>
      </w:r>
      <w:r>
        <w:t xml:space="preserve">with the</w:t>
      </w:r>
      <w:r>
        <w:t xml:space="preserve"> </w:t>
      </w:r>
      <w:r>
        <w:rPr>
          <w:i/>
          <w:iCs/>
        </w:rPr>
        <w:t xml:space="preserve">person</w:t>
      </w:r>
      <w:r>
        <w:t xml:space="preserve"> </w:t>
      </w:r>
      <w:r>
        <w:t xml:space="preserve">as the cluster,</w:t>
      </w:r>
      <w:r>
        <w:t xml:space="preserve"> </w:t>
      </w:r>
      <w:r>
        <w:rPr>
          <w:rStyle w:val="VerbatimChar"/>
        </w:rPr>
        <w:t xml:space="preserve">cluster_var = ids_varname(pop_data)</w:t>
      </w:r>
      <w:r>
        <w:t xml:space="preserve">.</w:t>
      </w:r>
      <w:r>
        <w:t xml:space="preserve"> </w:t>
      </w:r>
      <w:r>
        <w:t xml:space="preserve">On the Pakistan data, the two agree closely once the composite standard error is corrected:</w:t>
      </w:r>
    </w:p>
    <w:tbl>
      <w:tblPr>
        <w:tblStyle w:val="Table"/>
        <w:tblW w:type="pct" w:w="5000"/>
        <w:tblLayout w:type="fixed"/>
        <w:tblLook w:firstRow="0" w:lastRow="0" w:firstColumn="0" w:lastColumn="0" w:noHBand="0" w:noVBand="0" w:val="0000"/>
      </w:tblPr>
      <w:tblGrid>
        <w:gridCol w:w="7920"/>
      </w:tblGrid>
      <w:tr>
        <w:tc>
          <w:tcPr/>
          <w:bookmarkStart w:id="115" w:name="tbl-joint-vs-composite-sees"/>
          <w:p>
            <w:pPr>
              <w:jc w:val="center"/>
            </w:pPr>
            <w:pPr>
              <w:jc w:val="left"/>
              <w:spacing w:before="200"/>
              <w:pStyle w:val="ImageCaption"/>
            </w:pPr>
            <w:r>
              <w:t xml:space="preserve">Table 1: Incidence estimates for the Pakistan SEES data, combining HlyE IgA and IgG under the composite likelihood (with the naive and the person-clustered standard error) and under the joint likelihood.</w:t>
            </w:r>
          </w:p>
          <w:p>
            <w:pPr>
              <w:pStyle w:val="SourceCode"/>
              <w:jc w:val="center"/>
            </w:pPr>
            <w:r>
              <w:rPr>
                <w:rStyle w:val="VerbatimChar"/>
              </w:rPr>
              <w:t xml:space="preserve">Warning: 2 of 494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SourceCode"/>
              <w:jc w:val="center"/>
            </w:pPr>
            <w:r>
              <w:rPr>
                <w:rStyle w:val="VerbatimChar"/>
              </w:rPr>
              <w:t xml:space="preserve"># A tibble: 3 × 6</w:t>
            </w:r>
            <w:r>
              <w:br/>
            </w:r>
            <w:r>
              <w:rPr>
                <w:rStyle w:val="VerbatimChar"/>
              </w:rPr>
              <w:t xml:space="preserve">  estimator                      incidence.rate      SE CI.lwr CI.upr log.lik</w:t>
            </w:r>
            <w:r>
              <w:br/>
            </w:r>
            <w:r>
              <w:rPr>
                <w:rStyle w:val="VerbatimChar"/>
              </w:rPr>
              <w:t xml:space="preserve">  &lt;chr&gt;                                   &lt;dbl&gt;   &lt;dbl&gt;  &lt;dbl&gt;  &lt;dbl&gt;   &lt;dbl&gt;</w:t>
            </w:r>
            <w:r>
              <w:br/>
            </w:r>
            <w:r>
              <w:rPr>
                <w:rStyle w:val="VerbatimChar"/>
              </w:rPr>
              <w:t xml:space="preserve">1 composite, naive SE                     0.136 0.00695  0.123  0.150  -2371.</w:t>
            </w:r>
            <w:r>
              <w:br/>
            </w:r>
            <w:r>
              <w:rPr>
                <w:rStyle w:val="VerbatimChar"/>
              </w:rPr>
              <w:t xml:space="preserve">2 composite, person-clustered SE          0.136 0.00804  0.121  0.152  -2371.</w:t>
            </w:r>
            <w:r>
              <w:br/>
            </w:r>
            <w:r>
              <w:rPr>
                <w:rStyle w:val="VerbatimChar"/>
              </w:rPr>
              <w:t xml:space="preserve">3 joint                                   0.140 0.00857  0.125  0.158  -2236.</w:t>
            </w:r>
          </w:p>
          <w:bookmarkEnd w:id="115"/>
        </w:tc>
      </w:tr>
    </w:tbl>
    <w:p>
      <w:pPr>
        <w:pStyle w:val="FirstParagraph"/>
      </w:pPr>
      <w:r>
        <w:t xml:space="preserve">The joint estimate is a little higher and its log-likelihood is much higher, but the latter is not a like-for-like comparison: the two methods evaluate different functions of the data.</w:t>
      </w:r>
      <w:r>
        <w:t xml:space="preserve"> </w:t>
      </w:r>
      <w:r>
        <w:t xml:space="preserve">Which one is</w:t>
      </w:r>
      <w:r>
        <w:t xml:space="preserve"> </w:t>
      </w:r>
      <w:r>
        <w:rPr>
          <w:i/>
          <w:iCs/>
        </w:rPr>
        <w:t xml:space="preserve">better</w:t>
      </w:r>
      <w:r>
        <w:t xml:space="preserve"> </w:t>
      </w:r>
      <w:r>
        <w:t xml:space="preserve">has to be settled on data where the truth is known;</w:t>
      </w:r>
      <w:r>
        <w:t xml:space="preserve"> </w:t>
      </w:r>
      <w:hyperlink w:anchor="sec-joint-vs-composite-sim">
        <w:r>
          <w:rPr>
            <w:rStyle w:val="Hyperlink"/>
          </w:rPr>
          <w:t xml:space="preserve">Section 8.6</w:t>
        </w:r>
      </w:hyperlink>
      <w:r>
        <w:t xml:space="preserve"> </w:t>
      </w:r>
      <w:r>
        <w:t xml:space="preserve">does that on the simulated clusters, and the answer is not simply</w:t>
      </w:r>
      <w:r>
        <w:t xml:space="preserve"> </w:t>
      </w:r>
      <w:r>
        <w:t xml:space="preserve">“the joint one”</w:t>
      </w:r>
      <w:r>
        <w:t xml:space="preserve">.</w:t>
      </w:r>
    </w:p>
    <w:p>
      <w:pPr>
        <w:pStyle w:val="BodyText"/>
      </w:pPr>
      <w:r>
        <w:t xml:space="preserve">Using both biomarkers concentrates the log-likelihood around its maximum, and so shrinks the standard error, relative to either biomarker alone (</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 (composite likelihood).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2"/>
        </w:numPr>
      </w:pPr>
      <w:r>
        <w:t xml:space="preserve">baseline antibody level (</w:t>
      </w:r>
      <m:oMath>
        <m:sSub>
          <m:e>
            <m:r>
              <m:t>y</m:t>
            </m:r>
          </m:e>
          <m:sub>
            <m:r>
              <m:t>0</m:t>
            </m:r>
          </m:sub>
        </m:sSub>
      </m:oMath>
      <w:r>
        <w:t xml:space="preserve">)</w:t>
      </w:r>
    </w:p>
    <w:p>
      <w:pPr>
        <w:pStyle w:val="Compact"/>
        <w:numPr>
          <w:ilvl w:val="0"/>
          <w:numId w:val="1032"/>
        </w:numPr>
      </w:pPr>
      <w:r>
        <w:t xml:space="preserve">peak concentration (</w:t>
      </w:r>
      <m:oMath>
        <m:sSub>
          <m:e>
            <m:r>
              <m:t>y</m:t>
            </m:r>
          </m:e>
          <m:sub>
            <m:r>
              <m:t>1</m:t>
            </m:r>
          </m:sub>
        </m:sSub>
      </m:oMath>
      <w:r>
        <w:t xml:space="preserve">)</w:t>
      </w:r>
    </w:p>
    <w:p>
      <w:pPr>
        <w:pStyle w:val="Compact"/>
        <w:numPr>
          <w:ilvl w:val="0"/>
          <w:numId w:val="1032"/>
        </w:numPr>
      </w:pPr>
      <w:r>
        <w:t xml:space="preserve">time to peak (</w:t>
      </w:r>
      <m:oMath>
        <m:sSub>
          <m:e>
            <m:r>
              <m:t>t</m:t>
            </m:r>
          </m:e>
          <m:sub>
            <m:r>
              <m:t>1</m:t>
            </m:r>
          </m:sub>
        </m:sSub>
      </m:oMath>
      <w:r>
        <w:t xml:space="preserve">)</w:t>
      </w:r>
    </w:p>
    <w:p>
      <w:pPr>
        <w:pStyle w:val="Compact"/>
        <w:numPr>
          <w:ilvl w:val="0"/>
          <w:numId w:val="1032"/>
        </w:numPr>
      </w:pPr>
      <w:r>
        <w:t xml:space="preserve">decay rate (</w:t>
      </w:r>
      <m:oMath>
        <m:r>
          <m:t>α</m:t>
        </m:r>
      </m:oMath>
      <w:r>
        <w:t xml:space="preserve">)</w:t>
      </w:r>
    </w:p>
    <w:p>
      <w:pPr>
        <w:pStyle w:val="Compact"/>
        <w:numPr>
          <w:ilvl w:val="0"/>
          <w:numId w:val="1032"/>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3"/>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3"/>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4"/>
        </w:numPr>
      </w:pPr>
      <w:r>
        <w:rPr>
          <w:b/>
          <w:bCs/>
        </w:rPr>
        <w:t xml:space="preserve">estimation uncertainty</w:t>
      </w:r>
      <w:r>
        <w:t xml:space="preserve"> </w:t>
      </w:r>
      <w:r>
        <w:t xml:space="preserve">in the kinetics parameters, and</w:t>
      </w:r>
    </w:p>
    <w:p>
      <w:pPr>
        <w:pStyle w:val="Compact"/>
        <w:numPr>
          <w:ilvl w:val="0"/>
          <w:numId w:val="1034"/>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5"/>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5"/>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6"/>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6"/>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6"/>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201"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2</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Stratum…         100       0.05       1   100       0.1         0.0538 0.0136</w:t>
            </w:r>
            <w:r>
              <w:br/>
            </w:r>
            <w:r>
              <w:rPr>
                <w:rStyle w:val="VerbatimChar"/>
              </w:rPr>
              <w:t xml:space="preserve"> 2 Stratum…         100       0.05       2   100       0.1         0.0462 0.0113</w:t>
            </w:r>
            <w:r>
              <w:br/>
            </w:r>
            <w:r>
              <w:rPr>
                <w:rStyle w:val="VerbatimChar"/>
              </w:rPr>
              <w:t xml:space="preserve"> 3 Stratum…         100       0.05       3   100       0.1         0.0446 0.0109</w:t>
            </w:r>
            <w:r>
              <w:br/>
            </w:r>
            <w:r>
              <w:rPr>
                <w:rStyle w:val="VerbatimChar"/>
              </w:rPr>
              <w:t xml:space="preserve"> 4 Stratum…         100       0.05       4   100       0.1         0.0475 0.0109</w:t>
            </w:r>
            <w:r>
              <w:br/>
            </w:r>
            <w:r>
              <w:rPr>
                <w:rStyle w:val="VerbatimChar"/>
              </w:rPr>
              <w:t xml:space="preserve"> 5 Stratum…         100       0.05       5   100       0.1         0.0560 0.0131</w:t>
            </w:r>
            <w:r>
              <w:br/>
            </w:r>
            <w:r>
              <w:rPr>
                <w:rStyle w:val="VerbatimChar"/>
              </w:rPr>
              <w:t xml:space="preserve"> 6 Stratum…         100       0.05       6   100       0.1         0.0569 0.0126</w:t>
            </w:r>
            <w:r>
              <w:br/>
            </w:r>
            <w:r>
              <w:rPr>
                <w:rStyle w:val="VerbatimChar"/>
              </w:rPr>
              <w:t xml:space="preserve"> 7 Stratum…         100       0.05       7   100       0.1         0.0392 0.0100</w:t>
            </w:r>
            <w:r>
              <w:br/>
            </w:r>
            <w:r>
              <w:rPr>
                <w:rStyle w:val="VerbatimChar"/>
              </w:rPr>
              <w:t xml:space="preserve"> 8 Stratum…         100       0.05       8   100       0.1         0.0698 0.0147</w:t>
            </w:r>
            <w:r>
              <w:br/>
            </w:r>
            <w:r>
              <w:rPr>
                <w:rStyle w:val="VerbatimChar"/>
              </w:rPr>
              <w:t xml:space="preserve"> 9 Stratum…         100       0.05       9   100       0.1         0.0557 0.0129</w:t>
            </w:r>
            <w:r>
              <w:br/>
            </w:r>
            <w:r>
              <w:rPr>
                <w:rStyle w:val="VerbatimChar"/>
              </w:rPr>
              <w:t xml:space="preserve">10 Stratum…         100       0.05      10   100       0.1         0.0416 0.0104</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10</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7"/>
        </w:numPr>
      </w:pPr>
      <w:r>
        <w:t xml:space="preserve">code 3: decrease</w:t>
      </w:r>
      <w:r>
        <w:t xml:space="preserve"> </w:t>
      </w:r>
      <w:r>
        <w:rPr>
          <w:rStyle w:val="VerbatimChar"/>
        </w:rPr>
        <w:t xml:space="preserve">stepmin</w:t>
      </w:r>
    </w:p>
    <w:p>
      <w:pPr>
        <w:pStyle w:val="Compact"/>
        <w:numPr>
          <w:ilvl w:val="0"/>
          <w:numId w:val="1037"/>
        </w:numPr>
      </w:pPr>
      <w:r>
        <w:t xml:space="preserve">code 4: increase</w:t>
      </w:r>
      <w:r>
        <w:t xml:space="preserve"> </w:t>
      </w:r>
      <w:r>
        <w:rPr>
          <w:rStyle w:val="VerbatimChar"/>
        </w:rPr>
        <w:t xml:space="preserve">iterlim</w:t>
      </w:r>
    </w:p>
    <w:p>
      <w:pPr>
        <w:pStyle w:val="Compact"/>
        <w:numPr>
          <w:ilvl w:val="0"/>
          <w:numId w:val="1037"/>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sec-recover"/>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1       0.05         100 0.00292      0.0122       0.0102 0.0103        0.0493</w:t>
      </w:r>
      <w:r>
        <w:br/>
      </w:r>
      <w:r>
        <w:rPr>
          <w:rStyle w:val="VerbatimChar"/>
        </w:rPr>
        <w:t xml:space="preserve">2       0.1          100 0.00894      0.0197       0.0204 0.0218        0.0787</w:t>
      </w:r>
      <w:r>
        <w:br/>
      </w:r>
      <w:r>
        <w:rPr>
          <w:rStyle w:val="VerbatimChar"/>
        </w:rPr>
        <w:t xml:space="preserve">3       0.15         100 0.0222       0.0276       0.0183 0.0285        0.110 </w:t>
      </w:r>
      <w:r>
        <w:br/>
      </w:r>
      <w:r>
        <w:rPr>
          <w:rStyle w:val="VerbatimChar"/>
        </w:rPr>
        <w:t xml:space="preserve">4       0.2          100 0.0269       0.0332       0.0319 0.0411        0.132 </w:t>
      </w:r>
      <w:r>
        <w:br/>
      </w:r>
      <w:r>
        <w:rPr>
          <w:rStyle w:val="VerbatimChar"/>
        </w:rPr>
        <w:t xml:space="preserve">5       0.5          100 0.0857       0.0786       0.0758 0.113         0.312 </w:t>
      </w:r>
      <w:r>
        <w:br/>
      </w:r>
      <w:r>
        <w:rPr>
          <w:rStyle w:val="VerbatimChar"/>
        </w:rPr>
        <w:t xml:space="preserve">6       0.8          100 0.172        0.143        0.115  0.205         0.568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5" w:name="sec-joint-vs-composite-sim"/>
    <w:p>
      <w:pPr>
        <w:pStyle w:val="Heading2"/>
      </w:pPr>
      <w:r>
        <w:t xml:space="preserve">8.6 Joint vs composite likelihood on the simulated clusters</w:t>
      </w:r>
    </w:p>
    <w:p>
      <w:pPr>
        <w:pStyle w:val="FirstParagraph"/>
      </w:pPr>
      <w:r>
        <w:t xml:space="preserve">The estimates above combine HlyE IgA and IgG with the default</w:t>
      </w:r>
      <w:r>
        <w:t xml:space="preserve"> </w:t>
      </w:r>
      <w:r>
        <w:rPr>
          <w:rStyle w:val="VerbatimChar"/>
        </w:rPr>
        <w:t xml:space="preserve">method = "composite"</w:t>
      </w:r>
      <w:r>
        <w:t xml:space="preserve">.</w:t>
      </w:r>
      <w:r>
        <w:t xml:space="preserve"> </w:t>
      </w:r>
      <w:hyperlink w:anchor="sec-multiple-biomarkers">
        <w:r>
          <w:rPr>
            <w:rStyle w:val="Hyperlink"/>
          </w:rPr>
          <w:t xml:space="preserve">Section 5.11</w:t>
        </w:r>
      </w:hyperlink>
      <w:r>
        <w:t xml:space="preserve"> </w:t>
      </w:r>
      <w:r>
        <w:t xml:space="preserve">introduced the alternative,</w:t>
      </w:r>
      <w:r>
        <w:t xml:space="preserve"> </w:t>
      </w:r>
      <w:r>
        <w:rPr>
          <w:rStyle w:val="VerbatimChar"/>
        </w:rPr>
        <w:t xml:space="preserve">method = "joint"</w:t>
      </w:r>
      <w:r>
        <w:t xml:space="preserve">, which integrates over a shared latent infection time per person.</w:t>
      </w:r>
      <w:r>
        <w:t xml:space="preserve"> </w:t>
      </w:r>
      <w:r>
        <w:t xml:space="preserve">The simulated clusters are the place to compare them, because</w:t>
      </w:r>
      <w:r>
        <w:t xml:space="preserve"> </w:t>
      </w:r>
      <w:r>
        <w:rPr>
          <w:rStyle w:val="VerbatimChar"/>
        </w:rPr>
        <w:t xml:space="preserve">sim_pop_data()</w:t>
      </w:r>
      <w:r>
        <w:t xml:space="preserve"> </w:t>
      </w:r>
      <w:r>
        <w:t xml:space="preserve">draws</w:t>
      </w:r>
      <w:r>
        <w:t xml:space="preserve"> </w:t>
      </w:r>
      <w:r>
        <w:rPr>
          <w:b/>
          <w:bCs/>
        </w:rPr>
        <w:t xml:space="preserve">one</w:t>
      </w:r>
      <w:r>
        <w:t xml:space="preserve"> </w:t>
      </w:r>
      <w:r>
        <w:t xml:space="preserve">infection history per person and reads every biomarker off it: the shared-latent-time structure that the joint likelihood assumes is exactly how these data were made.</w:t>
      </w:r>
    </w:p>
    <w:tbl>
      <w:tblPr>
        <w:tblStyle w:val="Table"/>
        <w:tblW w:type="pct" w:w="5000"/>
        <w:tblLayout w:type="fixed"/>
        <w:tblLook w:firstRow="0" w:lastRow="0" w:firstColumn="0" w:lastColumn="0" w:noHBand="0" w:noVBand="0" w:val="0000"/>
      </w:tblPr>
      <w:tblGrid>
        <w:gridCol w:w="7920"/>
      </w:tblGrid>
      <w:tr>
        <w:tc>
          <w:tcPr/>
          <w:bookmarkStart w:id="190" w:name="tbl-joint-vs-composite-sim"/>
          <w:p>
            <w:pPr>
              <w:jc w:val="center"/>
            </w:pPr>
            <w:pPr>
              <w:jc w:val="left"/>
              <w:spacing w:before="200"/>
              <w:pStyle w:val="ImageCaption"/>
            </w:pPr>
            <w:r>
              <w:t xml:space="preserve">Table 3: Bias, empirical standard error, mean estimated standard error and 95% confidence-interval coverage of the composite and joint estimators, by true incidence rate, across the simulated clusters.</w:t>
            </w:r>
          </w:p>
          <w:p>
            <w:pPr>
              <w:pStyle w:val="SourceCode"/>
              <w:jc w:val="center"/>
            </w:pPr>
            <w:r>
              <w:rPr>
                <w:rStyle w:val="VerbatimChar"/>
              </w:rPr>
              <w:t xml:space="preserve"># A tibble: 12 × 6</w:t>
            </w:r>
            <w:r>
              <w:br/>
            </w:r>
            <w:r>
              <w:rPr>
                <w:rStyle w:val="VerbatimChar"/>
              </w:rPr>
              <w:t xml:space="preserve">   lambda.sim method        Bias Empirical_SE Mean_Est_SE CI_Coverage</w:t>
            </w:r>
            <w:r>
              <w:br/>
            </w:r>
            <w:r>
              <w:rPr>
                <w:rStyle w:val="VerbatimChar"/>
              </w:rPr>
              <w:t xml:space="preserve">        &lt;dbl&gt; &lt;chr&gt;        &lt;dbl&gt;        &lt;dbl&gt;       &lt;dbl&gt;       &lt;dbl&gt;</w:t>
            </w:r>
            <w:r>
              <w:br/>
            </w:r>
            <w:r>
              <w:rPr>
                <w:rStyle w:val="VerbatimChar"/>
              </w:rPr>
              <w:t xml:space="preserve"> 1       0.05 composite  0.00292      0.0102      0.0122         1   </w:t>
            </w:r>
            <w:r>
              <w:br/>
            </w:r>
            <w:r>
              <w:rPr>
                <w:rStyle w:val="VerbatimChar"/>
              </w:rPr>
              <w:t xml:space="preserve"> 2       0.05 joint     -0.0126       0.00876     0.00976        0.9 </w:t>
            </w:r>
            <w:r>
              <w:br/>
            </w:r>
            <w:r>
              <w:rPr>
                <w:rStyle w:val="VerbatimChar"/>
              </w:rPr>
              <w:t xml:space="preserve"> 3       0.1  composite  0.00894      0.0204      0.0197         0.85</w:t>
            </w:r>
            <w:r>
              <w:br/>
            </w:r>
            <w:r>
              <w:rPr>
                <w:rStyle w:val="VerbatimChar"/>
              </w:rPr>
              <w:t xml:space="preserve"> 4       0.1  joint     -0.0290       0.0136      0.0149         0.75</w:t>
            </w:r>
            <w:r>
              <w:br/>
            </w:r>
            <w:r>
              <w:rPr>
                <w:rStyle w:val="VerbatimChar"/>
              </w:rPr>
              <w:t xml:space="preserve"> 5       0.15 composite  0.0222       0.0183      0.0276         0.9 </w:t>
            </w:r>
            <w:r>
              <w:br/>
            </w:r>
            <w:r>
              <w:rPr>
                <w:rStyle w:val="VerbatimChar"/>
              </w:rPr>
              <w:t xml:space="preserve"> 6       0.15 joint     -0.0387       0.0188      0.0207         0.65</w:t>
            </w:r>
            <w:r>
              <w:br/>
            </w:r>
            <w:r>
              <w:rPr>
                <w:rStyle w:val="VerbatimChar"/>
              </w:rPr>
              <w:t xml:space="preserve"> 7       0.2  composite  0.0269       0.0319      0.0332         0.8 </w:t>
            </w:r>
            <w:r>
              <w:br/>
            </w:r>
            <w:r>
              <w:rPr>
                <w:rStyle w:val="VerbatimChar"/>
              </w:rPr>
              <w:t xml:space="preserve"> 8       0.2  joint     -0.0473       0.0260      0.0262         0.7 </w:t>
            </w:r>
            <w:r>
              <w:br/>
            </w:r>
            <w:r>
              <w:rPr>
                <w:rStyle w:val="VerbatimChar"/>
              </w:rPr>
              <w:t xml:space="preserve"> 9       0.5  composite  0.0857       0.0758      0.0786         0.75</w:t>
            </w:r>
            <w:r>
              <w:br/>
            </w:r>
            <w:r>
              <w:rPr>
                <w:rStyle w:val="VerbatimChar"/>
              </w:rPr>
              <w:t xml:space="preserve">10       0.5  joint     -0.142        0.0476      0.0560         0.35</w:t>
            </w:r>
            <w:r>
              <w:br/>
            </w:r>
            <w:r>
              <w:rPr>
                <w:rStyle w:val="VerbatimChar"/>
              </w:rPr>
              <w:t xml:space="preserve">11       0.8  composite  0.172        0.115       0.143          0.75</w:t>
            </w:r>
            <w:r>
              <w:br/>
            </w:r>
            <w:r>
              <w:rPr>
                <w:rStyle w:val="VerbatimChar"/>
              </w:rPr>
              <w:t xml:space="preserve">12       0.8  joint     -0.302        0.0579      0.0846         0.1 </w:t>
            </w:r>
          </w:p>
          <w:bookmarkEnd w:id="190"/>
        </w:tc>
      </w:tr>
    </w:tbl>
    <w:tbl>
      <w:tblPr>
        <w:tblStyle w:val="Table"/>
        <w:tblW w:type="pct" w:w="5000"/>
        <w:tblLayout w:type="fixed"/>
        <w:tblLook w:firstRow="0" w:lastRow="0" w:firstColumn="0" w:lastColumn="0" w:noHBand="0" w:noVBand="0" w:val="0000"/>
      </w:tblPr>
      <w:tblGrid>
        <w:gridCol w:w="7920"/>
      </w:tblGrid>
      <w:tr>
        <w:tc>
          <w:tcPr/>
          <w:bookmarkStart w:id="194" w:name="fig-joint-vs-composite-sim"/>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joint-vs-composite-sim-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incidence rates (points, with 95% confidence intervals) for each simulated cluster, against the true rate, under the composite and the joint likelihood. The red line is the identity.</w:t>
            </w:r>
          </w:p>
          <w:bookmarkEnd w:id="194"/>
        </w:tc>
      </w:tr>
    </w:tbl>
    <w:p>
      <w:pPr>
        <w:pStyle w:val="BodyText"/>
      </w:pPr>
      <w:r>
        <w:t xml:space="preserve">The composite estimator over-estimates, increasingly so at higher incidence (as</w:t>
      </w:r>
      <w:r>
        <w:t xml:space="preserve"> </w:t>
      </w:r>
      <w:hyperlink w:anchor="sec-recover">
        <w:r>
          <w:rPr>
            <w:rStyle w:val="Hyperlink"/>
          </w:rPr>
          <w:t xml:space="preserve">Section 8.5</w:t>
        </w:r>
      </w:hyperlink>
      <w:r>
        <w:t xml:space="preserve"> </w:t>
      </w:r>
      <w:r>
        <w:t xml:space="preserve">already showed).</w:t>
      </w:r>
      <w:r>
        <w:t xml:space="preserve"> </w:t>
      </w:r>
      <w:r>
        <w:t xml:space="preserve">The joint estimator</w:t>
      </w:r>
      <w:r>
        <w:t xml:space="preserve"> </w:t>
      </w:r>
      <w:r>
        <w:rPr>
          <w:b/>
          <w:bCs/>
        </w:rPr>
        <w:t xml:space="preserve">under</w:t>
      </w:r>
      <w:r>
        <w:t xml:space="preserve">-estimates, by more, and its confidence intervals cover the truth far less often.</w:t>
      </w:r>
      <w:r>
        <w:t xml:space="preserve"> </w:t>
      </w:r>
      <w:r>
        <w:t xml:space="preserve">Both arms use the standard error their own likelihood calls for: the composite one is clustered by person, and the joint one comes from the Hessian, which is valid for a genuine likelihood (</w:t>
      </w:r>
      <w:hyperlink w:anchor="sec-multiple-biomarkers">
        <w:r>
          <w:rPr>
            <w:rStyle w:val="Hyperlink"/>
          </w:rPr>
          <w:t xml:space="preserve">Section 5.11</w:t>
        </w:r>
      </w:hyperlink>
      <w:r>
        <w:t xml:space="preserve">).</w:t>
      </w:r>
      <w:r>
        <w:t xml:space="preserve"> </w:t>
      </w:r>
      <w:r>
        <w:t xml:space="preserve">Its empirical standard error is the smaller of the two, which is the efficiency gain the shared latent time was expected to bring, but here that gain is swamped by bias.</w:t>
      </w:r>
    </w:p>
    <w:p>
      <w:pPr>
        <w:pStyle w:val="BodyText"/>
      </w:pPr>
      <w:r>
        <w:t xml:space="preserve">The reason is visible in a single high-incidence cluster:</w:t>
      </w:r>
    </w:p>
    <w:p>
      <w:pPr>
        <w:pStyle w:val="SourceCode"/>
      </w:pPr>
      <w:r>
        <w:rPr>
          <w:rStyle w:val="VerbatimChar"/>
        </w:rPr>
        <w:t xml:space="preserve">Warning: 48 of 100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FirstParagraph"/>
      </w:pPr>
      <w:r>
        <w:t xml:space="preserve">A person contributes nothing to the joint likelihood when</w:t>
      </w:r>
      <w:r>
        <w:t xml:space="preserve"> </w:t>
      </w:r>
      <w:r>
        <w:rPr>
          <w:b/>
          <w:bCs/>
        </w:rPr>
        <w:t xml:space="preserve">no</w:t>
      </w:r>
      <w:r>
        <w:t xml:space="preserve"> </w:t>
      </w:r>
      <w:r>
        <w:t xml:space="preserve">shared infection time is compatible with all of their readings under any posterior draw, and this cluster has many such people.</w:t>
      </w:r>
      <w:r>
        <w:t xml:space="preserve"> </w:t>
      </w:r>
      <w:r>
        <w:t xml:space="preserve">Shortly after infection, antibody levels are in the hundreds or thousands, while the simulated biological noise is additive on a scale of 0.5.</w:t>
      </w:r>
      <w:r>
        <w:t xml:space="preserve"> </w:t>
      </w:r>
      <w:r>
        <w:t xml:space="preserve">The simulator’s response curve also differs slightly from the likelihood’s — it has a rise phase, and a baseline carried over from earlier infections — so one person’s IgA and IgG readings each point to a slightly different time since infection.</w:t>
      </w:r>
      <w:r>
        <w:t xml:space="preserve"> </w:t>
      </w:r>
      <w:r>
        <w:t xml:space="preserve">Each biomarker on its own is still explained well (the composite method drops nobody), but no single</w:t>
      </w:r>
      <w:r>
        <w:t xml:space="preserve"> </w:t>
      </w:r>
      <m:oMath>
        <m:r>
          <m:t>t</m:t>
        </m:r>
      </m:oMath>
      <w:r>
        <w:t xml:space="preserve"> </w:t>
      </w:r>
      <w:r>
        <w:t xml:space="preserve">reproduces both to within half a unit, so the joint likelihood discards exactly the people with the most recent infections, and the estimate falls.</w:t>
      </w:r>
      <w:r>
        <w:t xml:space="preserve"> </w:t>
      </w:r>
      <w:r>
        <w:t xml:space="preserve">The higher the incidence, the more such people there are.</w:t>
      </w:r>
    </w:p>
    <w:p>
      <w:pPr>
        <w:pStyle w:val="BodyText"/>
      </w:pPr>
      <w:r>
        <w:t xml:space="preserve">That mechanism is not specific to this simulator.</w:t>
      </w:r>
      <w:r>
        <w:t xml:space="preserve"> </w:t>
      </w:r>
      <w:r>
        <w:t xml:space="preserve">Any mismatch between the assumed response curve and the real one plays the same role, and so does a noise model that is narrower than the real disagreement between a person’s biomarkers.</w:t>
      </w:r>
      <w:r>
        <w:t xml:space="preserve"> </w:t>
      </w:r>
      <w:r>
        <w:rPr>
          <w:rStyle w:val="VerbatimChar"/>
        </w:rPr>
        <w:t xml:space="preserve">est_seroincidence()</w:t>
      </w:r>
      <w:r>
        <w:t xml:space="preserve"> </w:t>
      </w:r>
      <w:r>
        <w:t xml:space="preserve">warns whenever a joint fit drops anyone, and reports how many.</w:t>
      </w:r>
      <w:r>
        <w:t xml:space="preserve"> </w:t>
      </w:r>
      <w:r>
        <w:t xml:space="preserve">The real SEES data, whose noise model includes a multiplicative (measurement) component, drop very few (</w:t>
      </w:r>
      <w:hyperlink w:anchor="tbl-joint-vs-composite-sees">
        <w:r>
          <w:rPr>
            <w:rStyle w:val="Hyperlink"/>
          </w:rPr>
          <w:t xml:space="preserve">Table 1</w:t>
        </w:r>
      </w:hyperlink>
      <w:r>
        <w:t xml:space="preserve">).</w:t>
      </w:r>
    </w:p>
    <w:p>
      <w:pPr>
        <w:pStyle w:val="BodyText"/>
      </w:pPr>
      <w:r>
        <w:t xml:space="preserve">The joint estimator uses the fact that a person has one infection history, which is more information — but it also relies on that fact being reflected in the data</w:t>
      </w:r>
      <w:r>
        <w:t xml:space="preserve"> </w:t>
      </w:r>
      <w:r>
        <w:rPr>
          <w:i/>
          <w:iCs/>
        </w:rPr>
        <w:t xml:space="preserve">exactly as modeled</w:t>
      </w:r>
      <w:r>
        <w:t xml:space="preserve">.</w:t>
      </w:r>
      <w:r>
        <w:t xml:space="preserve"> </w:t>
      </w:r>
      <w:r>
        <w:t xml:space="preserve">The composite estimator, which lets each biomarker find its own infection time, is the more robust of the two, which is one reason it remains the default.</w:t>
      </w:r>
      <w:r>
        <w:t xml:space="preserve"> </w:t>
      </w:r>
      <w:r>
        <w:t xml:space="preserve">Neither is unbiased here: the simulator’s response curve is not the likelihood’s, and both estimators inherit that.</w:t>
      </w:r>
    </w:p>
    <w:bookmarkEnd w:id="195"/>
    <w:bookmarkStart w:id="200" w:name="X047cffc7758e27a01cb5430c10b991b39f63029"/>
    <w:p>
      <w:pPr>
        <w:pStyle w:val="Heading2"/>
      </w:pPr>
      <w:r>
        <w:t xml:space="preserve">8.7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9" w:name="fig-sim-recovery-renew"/>
          <w:p>
            <w:pPr>
              <w:pStyle w:val="Compact"/>
              <w:jc w:val="center"/>
            </w:pPr>
            <w:r>
              <w:drawing>
                <wp:inline>
                  <wp:extent cx="4620126" cy="3696101"/>
                  <wp:effectExtent b="0" l="0" r="0" t="0"/>
                  <wp:docPr descr="" title="" id="197" name="Picture"/>
                  <a:graphic>
                    <a:graphicData uri="http://schemas.openxmlformats.org/drawingml/2006/picture">
                      <pic:pic>
                        <pic:nvPicPr>
                          <pic:cNvPr descr="methodology_files/figure-docx/fig-sim-recovery-renew-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9"/>
        </w:tc>
      </w:tr>
    </w:tbl>
    <w:bookmarkEnd w:id="200"/>
    <w:bookmarkEnd w:id="201"/>
    <w:bookmarkStart w:id="206" w:name="ongoing-and-future-work"/>
    <w:p>
      <w:pPr>
        <w:pStyle w:val="Heading1"/>
      </w:pPr>
      <w:r>
        <w:t xml:space="preserve">9. Ongoing and future work</w:t>
      </w:r>
    </w:p>
    <w:bookmarkStart w:id="203" w:name="in-progress-work"/>
    <w:p>
      <w:pPr>
        <w:pStyle w:val="Heading2"/>
      </w:pPr>
      <w:r>
        <w:t xml:space="preserve">9.1 In-progress work</w:t>
      </w:r>
    </w:p>
    <w:p>
      <w:pPr>
        <w:numPr>
          <w:ilvl w:val="0"/>
          <w:numId w:val="1038"/>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202">
        <w:r>
          <w:rPr>
            <w:rStyle w:val="Hyperlink"/>
          </w:rPr>
          <w:t xml:space="preserve">source</w:t>
        </w:r>
      </w:hyperlink>
      <w:r>
        <w:t xml:space="preserve">)</w:t>
      </w:r>
    </w:p>
    <w:p>
      <w:pPr>
        <w:numPr>
          <w:ilvl w:val="0"/>
          <w:numId w:val="1038"/>
        </w:numPr>
      </w:pPr>
      <w:r>
        <w:t xml:space="preserve">Multivariate modeling of biomarkers (relaxing conditional independence)</w:t>
      </w:r>
    </w:p>
    <w:p>
      <w:pPr>
        <w:numPr>
          <w:ilvl w:val="0"/>
          <w:numId w:val="1038"/>
        </w:numPr>
      </w:pPr>
      <w:r>
        <w:t xml:space="preserve">A graphical (Shiny) app for</w:t>
      </w:r>
      <w:r>
        <w:t xml:space="preserve"> </w:t>
      </w:r>
      <w:r>
        <w:rPr>
          <w:rStyle w:val="VerbatimChar"/>
        </w:rPr>
        <w:t xml:space="preserve">serodynamics</w:t>
      </w:r>
    </w:p>
    <w:p>
      <w:pPr>
        <w:numPr>
          <w:ilvl w:val="0"/>
          <w:numId w:val="1038"/>
        </w:numPr>
      </w:pPr>
      <w:r>
        <w:t xml:space="preserve">Modeling time-varying incidence rates</w:t>
      </w:r>
    </w:p>
    <w:p>
      <w:pPr>
        <w:numPr>
          <w:ilvl w:val="0"/>
          <w:numId w:val="1038"/>
        </w:numPr>
      </w:pPr>
      <w:r>
        <w:t xml:space="preserve">Accounting for re-exposure</w:t>
      </w:r>
    </w:p>
    <w:p>
      <w:pPr>
        <w:numPr>
          <w:ilvl w:val="0"/>
          <w:numId w:val="1038"/>
        </w:numPr>
      </w:pPr>
      <w:r>
        <w:t xml:space="preserve">Accounting for latent immunocompromised subpopulations</w:t>
      </w:r>
    </w:p>
    <w:p>
      <w:pPr>
        <w:numPr>
          <w:ilvl w:val="0"/>
          <w:numId w:val="1038"/>
        </w:numPr>
      </w:pPr>
      <w:r>
        <w:t xml:space="preserve">Calibrating to population demographics</w:t>
      </w:r>
    </w:p>
    <w:bookmarkEnd w:id="203"/>
    <w:bookmarkStart w:id="205" w:name="sec-multivariate"/>
    <w:p>
      <w:pPr>
        <w:pStyle w:val="Heading2"/>
      </w:pPr>
      <w:r>
        <w:t xml:space="preserve">9.2 Multiple biomarkers: beyond conditional independence</w:t>
      </w:r>
    </w:p>
    <w:p>
      <w:pPr>
        <w:pStyle w:val="FirstParagraph"/>
      </w:pPr>
      <w:r>
        <w:t xml:space="preserve">With several biomarkers (e.g. HlyE IgA and IgG), the joint likelihood</w:t>
      </w:r>
      <w:r>
        <w:t xml:space="preserve"> </w:t>
      </w:r>
      <w:r>
        <w:t xml:space="preserve">(</w:t>
      </w:r>
      <w:r>
        <w:rPr>
          <w:rStyle w:val="VerbatimChar"/>
        </w:rPr>
        <w:t xml:space="preserve">method = "joint"</w:t>
      </w:r>
      <w:r>
        <w:t xml:space="preserve">,</w:t>
      </w:r>
      <w:r>
        <w:t xml:space="preserve"> </w:t>
      </w:r>
      <w:hyperlink w:anchor="sec-multiple-biomarkers">
        <w:r>
          <w:rPr>
            <w:rStyle w:val="Hyperlink"/>
          </w:rPr>
          <w:t xml:space="preserve">Section 5.11</w:t>
        </w:r>
      </w:hyperlink>
      <w:r>
        <w:t xml:space="preserve">) treats them as</w:t>
      </w:r>
      <w:r>
        <w:t xml:space="preserve"> </w:t>
      </w:r>
      <w:r>
        <w:rPr>
          <w:b/>
          <w:bCs/>
        </w:rPr>
        <w:t xml:space="preserve">conditionally independent given the time since infection</w:t>
      </w:r>
      <w:r>
        <w:t xml:space="preserve">, so the</w:t>
      </w:r>
      <w:r>
        <w:t xml:space="preserve"> </w:t>
      </w:r>
      <w:r>
        <w:t xml:space="preserve">joint density factors into a product of per-biomarker terms inside the</w:t>
      </w:r>
      <w:r>
        <w:t xml:space="preserve"> </w:t>
      </w:r>
      <w:r>
        <w:t xml:space="preserve">integral over</w:t>
      </w:r>
      <w:r>
        <w:t xml:space="preserve"> </w:t>
      </w:r>
      <m:oMath>
        <m:r>
          <m:t>t</m:t>
        </m:r>
      </m:oMath>
      <w:r>
        <w:t xml:space="preserve"> </w:t>
      </w:r>
      <w:r>
        <w:t xml:space="preserve">(the default composite likelihood assumes more: that the</w:t>
      </w:r>
      <w:r>
        <w:t xml:space="preserve"> </w:t>
      </w:r>
      <w:r>
        <w:t xml:space="preserve">biomarkers are independent unconditionally):</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4">
        <w:r>
          <w:rPr>
            <w:rStyle w:val="Hyperlink"/>
          </w:rPr>
          <w:t xml:space="preserve">UCD-SERG/shigella#13</w:t>
        </w:r>
      </w:hyperlink>
      <w:r>
        <w:t xml:space="preserve">).</w:t>
      </w:r>
    </w:p>
    <w:bookmarkEnd w:id="205"/>
    <w:bookmarkEnd w:id="206"/>
    <w:bookmarkStart w:id="224" w:name="references"/>
    <w:p>
      <w:pPr>
        <w:pStyle w:val="Heading1"/>
      </w:pPr>
      <w:r>
        <w:t xml:space="preserve">References</w:t>
      </w:r>
    </w:p>
    <w:bookmarkStart w:id="223" w:name="refs"/>
    <w:bookmarkStart w:id="20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7">
        <w:r>
          <w:rPr>
            <w:rStyle w:val="Hyperlink"/>
          </w:rPr>
          <w:t xml:space="preserve">https://doi.org/10.1016/S2666-5247(22)00114-8</w:t>
        </w:r>
      </w:hyperlink>
      <w:r>
        <w:t xml:space="preserve">.</w:t>
      </w:r>
    </w:p>
    <w:bookmarkEnd w:id="208"/>
    <w:bookmarkStart w:id="21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9">
        <w:r>
          <w:rPr>
            <w:rStyle w:val="Hyperlink"/>
          </w:rPr>
          <w:t xml:space="preserve">https://doi.org/10.1016/j.epidem.2024.100806</w:t>
        </w:r>
      </w:hyperlink>
      <w:r>
        <w:t xml:space="preserve">.</w:t>
      </w:r>
    </w:p>
    <w:bookmarkEnd w:id="210"/>
    <w:bookmarkStart w:id="211"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1"/>
    <w:bookmarkStart w:id="213"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2">
        <w:r>
          <w:rPr>
            <w:rStyle w:val="Hyperlink"/>
          </w:rPr>
          <w:t xml:space="preserve">https://doi.org/10.1093/biomet/73.1.13</w:t>
        </w:r>
      </w:hyperlink>
      <w:r>
        <w:t xml:space="preserve">.</w:t>
      </w:r>
    </w:p>
    <w:bookmarkEnd w:id="213"/>
    <w:bookmarkStart w:id="21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4">
        <w:r>
          <w:rPr>
            <w:rStyle w:val="Hyperlink"/>
          </w:rPr>
          <w:t xml:space="preserve">https://doi.org/10.1159/000286345</w:t>
        </w:r>
      </w:hyperlink>
      <w:r>
        <w:t xml:space="preserve">.</w:t>
      </w:r>
    </w:p>
    <w:bookmarkEnd w:id="215"/>
    <w:bookmarkStart w:id="21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6">
        <w:r>
          <w:rPr>
            <w:rStyle w:val="Hyperlink"/>
          </w:rPr>
          <w:t xml:space="preserve">https://doi.org/10.1002/sim.8578</w:t>
        </w:r>
      </w:hyperlink>
      <w:r>
        <w:t xml:space="preserve">.</w:t>
      </w:r>
    </w:p>
    <w:bookmarkEnd w:id="217"/>
    <w:bookmarkStart w:id="21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8">
        <w:r>
          <w:rPr>
            <w:rStyle w:val="Hyperlink"/>
          </w:rPr>
          <w:t xml:space="preserve">https://doi.org/10.1016/j.epidem.2016.04.001</w:t>
        </w:r>
      </w:hyperlink>
      <w:r>
        <w:t xml:space="preserve">.</w:t>
      </w:r>
    </w:p>
    <w:bookmarkEnd w:id="219"/>
    <w:bookmarkStart w:id="220" w:name="ref-varin2011overview"/>
    <w:p>
      <w:pPr>
        <w:pStyle w:val="Bibliography"/>
      </w:pPr>
      <w:r>
        <w:t xml:space="preserve">Varin, Cristiano, Nancy Reid, and David Firth. 2011.</w:t>
      </w:r>
      <w:r>
        <w:t xml:space="preserve"> </w:t>
      </w:r>
      <w:r>
        <w:t xml:space="preserve">“An Overview of Composite Likelihood Methods.”</w:t>
      </w:r>
      <w:r>
        <w:t xml:space="preserve"> </w:t>
      </w:r>
      <w:r>
        <w:rPr>
          <w:i/>
          <w:iCs/>
        </w:rPr>
        <w:t xml:space="preserve">Statistica Sinica</w:t>
      </w:r>
      <w:r>
        <w:t xml:space="preserve"> </w:t>
      </w:r>
      <w:r>
        <w:t xml:space="preserve">21 (1): 5–42.</w:t>
      </w:r>
    </w:p>
    <w:bookmarkEnd w:id="220"/>
    <w:bookmarkStart w:id="22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1"/>
    <w:bookmarkStart w:id="22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91" Target="media/rId191.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6" Target="media/rId196.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2026-09-09T03:42:51Z</dcterms:created>
  <dcterms:modified xsi:type="dcterms:W3CDTF">2026-09-09T03:42:51Z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