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06.png" ContentType="image/png"/>
  <Override PartName="/word/media/rId110.png" ContentType="image/png"/>
  <Override PartName="/word/media/rId87.svg" ContentType="image/svg+xml"/>
  <Override PartName="/word/media/rId119.png" ContentType="image/png"/>
  <Override PartName="/word/media/rId143.png" ContentType="image/png"/>
  <Override PartName="/word/media/rId155.png" ContentType="image/png"/>
  <Override PartName="/word/media/rId95.png" ContentType="image/png"/>
  <Override PartName="/word/media/rId170.png" ContentType="image/png"/>
  <Override PartName="/word/media/rId136.png" ContentType="image/png"/>
  <Override PartName="/word/media/rId52.png" ContentType="image/png"/>
  <Override PartName="/word/media/rId101.png" ContentType="image/png"/>
  <Override PartName="/word/media/rId161.png" ContentType="image/png"/>
  <Override PartName="/word/media/rId82.png" ContentType="image/png"/>
  <Override PartName="/word/media/rId131.png" ContentType="image/png"/>
  <Override PartName="/word/media/rId148.png" ContentType="image/png"/>
  <Override PartName="/word/media/rId166.png" ContentType="image/png"/>
  <Override PartName="/word/media/rId175.png" ContentType="image/png"/>
  <Override PartName="/word/media/rId29.png" ContentType="image/png"/>
  <Override PartName="/word/media/rId6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2026-08-07</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bookmarkStart w:id="34"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77"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49"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8">
        <w:r>
          <w:rPr>
            <w:rStyle w:val="Hyperlink"/>
          </w:rPr>
          <w:t xml:space="preserve">on our to-do list</w:t>
        </w:r>
      </w:hyperlink>
      <w:r>
        <w:t xml:space="preserve">).</w:t>
      </w:r>
    </w:p>
    <w:bookmarkEnd w:id="49"/>
    <w:bookmarkStart w:id="50"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limited by age</w:t>
      </w:r>
      <w:r>
        <w:t xml:space="preserve"> </w:t>
      </w:r>
      <w:r>
        <w:t xml:space="preserve">at observation (</w:t>
      </w:r>
      <m:oMath>
        <m:r>
          <m:t>a</m:t>
        </m:r>
      </m:oMath>
      <w:r>
        <w:t xml:space="preserve">):</w:t>
      </w:r>
      <w:r>
        <w:t xml:space="preserve"> </w:t>
      </w:r>
      <w:r>
        <w:t xml:space="preserve">no one can have been infected before they were born,</w:t>
      </w:r>
      <w:r>
        <w:t xml:space="preserve"> </w:t>
      </w:r>
      <w:r>
        <w:t xml:space="preserve">so the density is supported on</w:t>
      </w:r>
      <w:r>
        <w:t xml:space="preserve"> </w:t>
      </w:r>
      <m:oMath>
        <m:r>
          <m:rPr>
            <m:sty m:val="p"/>
          </m:rPr>
          <m:t>[</m:t>
        </m:r>
        <m:r>
          <m:t>0</m:t>
        </m:r>
        <m:r>
          <m:rPr>
            <m:sty m:val="p"/>
          </m:rPr>
          <m:t>,</m:t>
        </m:r>
        <m:r>
          <m:t>a</m:t>
        </m:r>
        <m:r>
          <m:rPr>
            <m:sty m:val="p"/>
          </m:rPr>
          <m:t>]</m:t>
        </m:r>
      </m:oMath>
      <w:r>
        <w:t xml:space="preserve"> </w:t>
      </w:r>
      <w:r>
        <w:t xml:space="preserve">and the leftover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sits on</w:t>
      </w:r>
      <w:r>
        <w:t xml:space="preserve"> </w:t>
      </w:r>
      <w:r>
        <w:t xml:space="preserve">“never infected”</w:t>
      </w:r>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0"/>
    <w:bookmarkStart w:id="51"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1"/>
    <w:bookmarkStart w:id="56" w:name="example-log-likelihood-curves"/>
    <w:p>
      <w:pPr>
        <w:pStyle w:val="Heading2"/>
      </w:pPr>
      <w:r>
        <w:t xml:space="preserve">4.7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55" w:name="fig-ex-lik-curves"/>
          <w:p>
            <w:pPr>
              <w:pStyle w:val="Compact"/>
              <w:jc w:val="center"/>
            </w:pPr>
            <w:r>
              <w:drawing>
                <wp:inline>
                  <wp:extent cx="4620126" cy="3696101"/>
                  <wp:effectExtent b="0" l="0" r="0" t="0"/>
                  <wp:docPr descr="" title="" id="53" name="Picture"/>
                  <a:graphic>
                    <a:graphicData uri="http://schemas.openxmlformats.org/drawingml/2006/picture">
                      <pic:pic>
                        <pic:nvPicPr>
                          <pic:cNvPr descr="methodology_files/figure-docx/fig-ex-lik-curves-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5"/>
        </w:tc>
      </w:tr>
    </w:tbl>
    <w:bookmarkEnd w:id="56"/>
    <w:bookmarkStart w:id="57" w:name="standard-errors"/>
    <w:p>
      <w:pPr>
        <w:pStyle w:val="Heading2"/>
      </w:pPr>
      <w:r>
        <w:t xml:space="preserve">4.8 Standard errors</w:t>
      </w:r>
    </w:p>
    <w:p>
      <w:pPr>
        <w:pStyle w:val="FirstParagraph"/>
      </w:pPr>
      <w:r>
        <w:t xml:space="preserve">The</w:t>
      </w:r>
      <w:r>
        <w:t xml:space="preserve"> </w:t>
      </w:r>
      <w:r>
        <w:rPr>
          <w:b/>
          <w:bCs/>
        </w:rPr>
        <w:t xml:space="preserve">variance</w:t>
      </w:r>
      <w:r>
        <w:t xml:space="preserve"> </w:t>
      </w:r>
      <w:r>
        <w:t xml:space="preserve">of the estimate is approximately equal to</w:t>
      </w:r>
      <w:r>
        <w:t xml:space="preserve"> </w:t>
      </w:r>
      <w:r>
        <w:t xml:space="preserve">the inverse of the</w:t>
      </w:r>
      <w:r>
        <w:t xml:space="preserve"> </w:t>
      </w:r>
      <w:r>
        <w:rPr>
          <w:i/>
          <w:iCs/>
        </w:rPr>
        <w:t xml:space="preserve">negative</w:t>
      </w:r>
      <w:r>
        <w:t xml:space="preserve"> </w:t>
      </w:r>
      <w:r>
        <w:t xml:space="preserve">curvature</w:t>
      </w:r>
      <w:r>
        <w:t xml:space="preserve"> </w:t>
      </w:r>
      <w:r>
        <w:t xml:space="preserve">(2nd derivative, aka Hessian)</w:t>
      </w:r>
      <w:r>
        <w:t xml:space="preserve"> </w:t>
      </w:r>
      <w:r>
        <w:t xml:space="preserve">of the log-likelihood function, at the maximum,</w:t>
      </w:r>
      <w:r>
        <w:t xml:space="preserve"> </w:t>
      </w:r>
      <w:r>
        <w:t xml:space="preserve">and the standard error is the square root of that variance:</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7"/>
    <w:bookmarkStart w:id="58"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8"/>
    <w:bookmarkStart w:id="59"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9"/>
    <w:bookmarkStart w:id="68"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3" w:name="fig-sim-case-data"/>
          <w:p>
            <w:pPr>
              <w:jc w:val="center"/>
            </w:pPr>
            <w:r>
              <w:drawing>
                <wp:inline>
                  <wp:extent cx="4620126" cy="3696101"/>
                  <wp:effectExtent b="0" l="0" r="0" t="0"/>
                  <wp:docPr descr="" title="" id="61" name="Picture"/>
                  <a:graphic>
                    <a:graphicData uri="http://schemas.openxmlformats.org/drawingml/2006/picture">
                      <pic:pic>
                        <pic:nvPicPr>
                          <pic:cNvPr descr="methodology_files/figure-docx/unnamed-chunk-4-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3"/>
        </w:tc>
      </w:tr>
    </w:tbl>
    <w:p/>
    <w:tbl>
      <w:tblPr>
        <w:tblStyle w:val="Table"/>
        <w:tblW w:type="pct" w:w="5000"/>
        <w:tblLayout w:type="fixed"/>
        <w:tblLook w:firstRow="0" w:lastRow="0" w:firstColumn="0" w:lastColumn="0" w:noHBand="0" w:noVBand="0" w:val="0000"/>
      </w:tblPr>
      <w:tblGrid>
        <w:gridCol w:w="7920"/>
      </w:tblGrid>
      <w:tr>
        <w:tc>
          <w:tcPr/>
          <w:bookmarkStart w:id="67" w:name="fig-decay"/>
          <w:p>
            <w:pPr>
              <w:jc w:val="center"/>
            </w:pPr>
            <w:r>
              <w:drawing>
                <wp:inline>
                  <wp:extent cx="4620126" cy="3696101"/>
                  <wp:effectExtent b="0" l="0" r="0" t="0"/>
                  <wp:docPr descr="" title="" id="65" name="Picture"/>
                  <a:graphic>
                    <a:graphicData uri="http://schemas.openxmlformats.org/drawingml/2006/picture">
                      <pic:pic>
                        <pic:nvPicPr>
                          <pic:cNvPr descr="methodology_files/figure-docx/unnamed-chunk-5-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7"/>
        </w:tc>
      </w:tr>
    </w:tbl>
    <w:bookmarkEnd w:id="68"/>
    <w:bookmarkStart w:id="69"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9"/>
    <w:bookmarkStart w:id="70"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70"/>
    <w:bookmarkStart w:id="71"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1"/>
    <w:bookmarkStart w:id="76"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2"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2"/>
    <w:bookmarkStart w:id="73"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3"/>
    <w:bookmarkStart w:id="74"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4"/>
    <w:bookmarkStart w:id="75"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5"/>
    <w:bookmarkEnd w:id="76"/>
    <w:bookmarkEnd w:id="77"/>
    <w:bookmarkStart w:id="114"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8"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8"/>
    <w:bookmarkStart w:id="79"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9"/>
    <w:bookmarkStart w:id="80"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80"/>
    <w:bookmarkStart w:id="81"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1"/>
    <w:bookmarkStart w:id="90"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85" w:name="fig-response-graph"/>
          <w:p>
            <w:pPr>
              <w:pStyle w:val="Compact"/>
              <w:jc w:val="center"/>
            </w:pPr>
            <w:r>
              <w:drawing>
                <wp:inline>
                  <wp:extent cx="4620126" cy="3696101"/>
                  <wp:effectExtent b="0" l="0" r="0" t="0"/>
                  <wp:docPr descr="" title="" id="83" name="Picture"/>
                  <a:graphic>
                    <a:graphicData uri="http://schemas.openxmlformats.org/drawingml/2006/picture">
                      <pic:pic>
                        <pic:nvPicPr>
                          <pic:cNvPr descr="methodology_files/figure-docx/fig-response-graph-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5"/>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6">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8" name="Picture"/>
            <a:graphic>
              <a:graphicData uri="http://schemas.openxmlformats.org/drawingml/2006/picture">
                <pic:pic>
                  <pic:nvPicPr>
                    <pic:cNvPr descr="../man/figures/qr_akm2.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90"/>
    <w:bookmarkStart w:id="91" w:name="sec-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1"/>
    <w:bookmarkStart w:id="92"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2"/>
    <w:bookmarkStart w:id="93"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3"/>
    <w:bookmarkStart w:id="94"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4"/>
    <w:bookmarkStart w:id="99" w:name="variation-across-the-posterior"/>
    <w:p>
      <w:pPr>
        <w:pStyle w:val="Heading2"/>
      </w:pPr>
      <w:r>
        <w:t xml:space="preserve">5.10 Variation across the posterior</w:t>
      </w:r>
    </w:p>
    <w:p>
      <w:pPr>
        <w:pStyle w:val="FirstParagraph"/>
      </w:pPr>
      <w:r>
        <w:t xml:space="preserve">The figure above draws one curve to name the parameters. The fitted model is</w:t>
      </w:r>
      <w:r>
        <w:t xml:space="preserve"> </w:t>
      </w:r>
      <w:r>
        <w:t xml:space="preserve">really a</w:t>
      </w:r>
      <w:r>
        <w:t xml:space="preserve"> </w:t>
      </w:r>
      <w:r>
        <w:rPr>
          <w:i/>
          <w:iCs/>
        </w:rPr>
        <w:t xml:space="preserve">posterior sample</w:t>
      </w:r>
      <w:r>
        <w:t xml:space="preserve"> </w:t>
      </w:r>
      <w:r>
        <w:t xml:space="preserve">of such curves, and</w:t>
      </w:r>
      <w:r>
        <w:t xml:space="preserve"> </w:t>
      </w:r>
      <w:r>
        <w:rPr>
          <w:rStyle w:val="VerbatimChar"/>
        </w:rPr>
        <w:t xml:space="preserve">autoplot()</w:t>
      </w:r>
      <w:r>
        <w:t xml:space="preserve"> </w:t>
      </w:r>
      <w:r>
        <w:t xml:space="preserve">on a</w:t>
      </w:r>
      <w:r>
        <w:t xml:space="preserve"> </w:t>
      </w:r>
      <w:r>
        <w:rPr>
          <w:rStyle w:val="VerbatimChar"/>
        </w:rPr>
        <w:t xml:space="preserve">curve_params</w:t>
      </w:r>
      <w:r>
        <w:t xml:space="preserve"> </w:t>
      </w:r>
      <w:r>
        <w:t xml:space="preserve">object shows their spread:</w:t>
      </w:r>
    </w:p>
    <w:tbl>
      <w:tblPr>
        <w:tblStyle w:val="Table"/>
        <w:tblW w:type="pct" w:w="5000"/>
        <w:tblLayout w:type="fixed"/>
        <w:tblLook w:firstRow="0" w:lastRow="0" w:firstColumn="0" w:lastColumn="0" w:noHBand="0" w:noVBand="0" w:val="0000"/>
      </w:tblPr>
      <w:tblGrid>
        <w:gridCol w:w="7920"/>
      </w:tblGrid>
      <w:tr>
        <w:tc>
          <w:tcPr/>
          <w:bookmarkStart w:id="98" w:name="fig-curve-posterior"/>
          <w:p>
            <w:pPr>
              <w:pStyle w:val="Compact"/>
              <w:jc w:val="center"/>
            </w:pPr>
            <w:r>
              <w:drawing>
                <wp:inline>
                  <wp:extent cx="4620126" cy="3696101"/>
                  <wp:effectExtent b="0" l="0" r="0" t="0"/>
                  <wp:docPr descr="" title="" id="96" name="Picture"/>
                  <a:graphic>
                    <a:graphicData uri="http://schemas.openxmlformats.org/drawingml/2006/picture">
                      <pic:pic>
                        <pic:nvPicPr>
                          <pic:cNvPr descr="methodology_files/figure-docx/fig-curve-posterior-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draws of the antibody-decay curve per antigen-isotype, with the 10%, 50%, and 90% point-wise quantiles overlaid.</w:t>
            </w:r>
          </w:p>
          <w:bookmarkEnd w:id="98"/>
        </w:tc>
      </w:tr>
    </w:tbl>
    <w:p>
      <w:pPr>
        <w:pStyle w:val="BodyText"/>
      </w:pPr>
      <w:r>
        <w:rPr>
          <w:rStyle w:val="VerbatimChar"/>
        </w:rPr>
        <w:t xml:space="preserve">curves</w:t>
      </w:r>
      <w:r>
        <w:t xml:space="preserve"> </w:t>
      </w:r>
      <w:r>
        <w:t xml:space="preserve">holds 49 draws per antigen-isotype</w:t>
      </w:r>
      <w:r>
        <w:t xml:space="preserve"> </w:t>
      </w:r>
      <w:r>
        <w:t xml:space="preserve">here, since it was thinned to</w:t>
      </w:r>
      <w:r>
        <w:t xml:space="preserve"> </w:t>
      </w:r>
      <w:r>
        <w:rPr>
          <w:rStyle w:val="VerbatimChar"/>
        </w:rPr>
        <w:t xml:space="preserve">iter &lt; 50</w:t>
      </w:r>
      <w:r>
        <w:t xml:space="preserve"> </w:t>
      </w:r>
      <w:r>
        <w:t xml:space="preserve">when it was loaded.</w:t>
      </w:r>
    </w:p>
    <w:p>
      <w:pPr>
        <w:pStyle w:val="BodyText"/>
      </w:pPr>
      <w:r>
        <w:rPr>
          <w:rStyle w:val="VerbatimChar"/>
        </w:rPr>
        <w:t xml:space="preserve">n_curves</w:t>
      </w:r>
      <w:r>
        <w:t xml:space="preserve"> </w:t>
      </w:r>
      <w:r>
        <w:t xml:space="preserve">caps how many draws are drawn rather than setting a target, so</w:t>
      </w:r>
      <w:r>
        <w:t xml:space="preserve"> </w:t>
      </w:r>
      <w:r>
        <w:t xml:space="preserve">asking for more than the object holds simply draws them all. Passing</w:t>
      </w:r>
      <w:r>
        <w:t xml:space="preserve"> </w:t>
      </w:r>
      <w:r>
        <w:rPr>
          <w:rStyle w:val="VerbatimChar"/>
        </w:rPr>
        <w:t xml:space="preserve">quantiles = NULL</w:t>
      </w:r>
      <w:r>
        <w:t xml:space="preserve"> </w:t>
      </w:r>
      <w:r>
        <w:t xml:space="preserve">omits the overlay, and</w:t>
      </w:r>
      <w:r>
        <w:t xml:space="preserve"> </w:t>
      </w:r>
      <w:r>
        <w:rPr>
          <w:rStyle w:val="VerbatimChar"/>
        </w:rPr>
        <w:t xml:space="preserve">log_x = FALSE</w:t>
      </w:r>
      <w:r>
        <w:t xml:space="preserve"> </w:t>
      </w:r>
      <w:r>
        <w:t xml:space="preserve">puts time on a</w:t>
      </w:r>
      <w:r>
        <w:t xml:space="preserve"> </w:t>
      </w:r>
      <w:r>
        <w:t xml:space="preserve">linear scale.</w:t>
      </w:r>
    </w:p>
    <w:p>
      <w:pPr>
        <w:pStyle w:val="BodyText"/>
      </w:pPr>
      <w:r>
        <w:t xml:space="preserve">This spread is what the incidence likelihood averages over, as described</w:t>
      </w:r>
      <w:r>
        <w:t xml:space="preserve"> </w:t>
      </w:r>
      <w:r>
        <w:t xml:space="preserve">under</w:t>
      </w:r>
      <w:r>
        <w:t xml:space="preserve"> </w:t>
      </w:r>
      <w:r>
        <w:t xml:space="preserve">“Propagating uncertainty and heterogeneity”</w:t>
      </w:r>
      <w:r>
        <w:t xml:space="preserve"> </w:t>
      </w:r>
      <w:r>
        <w:t xml:space="preserve">above: each draw is one</w:t>
      </w:r>
      <w:r>
        <w:t xml:space="preserve"> </w:t>
      </w:r>
      <w:r>
        <w:t xml:space="preserve">plausible antibody-response curve, and together they carry both the</w:t>
      </w:r>
      <w:r>
        <w:t xml:space="preserve"> </w:t>
      </w:r>
      <w:r>
        <w:t xml:space="preserve">estimation uncertainty and the between-person heterogeneity.</w:t>
      </w:r>
    </w:p>
    <w:bookmarkEnd w:id="99"/>
    <w:bookmarkStart w:id="105" w:name="multiple-biomarkers"/>
    <w:p>
      <w:pPr>
        <w:pStyle w:val="Heading2"/>
      </w:pPr>
      <w:r>
        <w:t xml:space="preserve">5.11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rPr>
          <w:rStyle w:val="VerbatimChar"/>
        </w:rPr>
        <w:t xml:space="preserve">log_likelihood()</w:t>
      </w:r>
      <w:r>
        <w:t xml:space="preserve"> </w:t>
      </w:r>
      <w:r>
        <w:t xml:space="preserve">evaluates the log-likelihood at a given</w:t>
      </w:r>
      <w:r>
        <w:t xml:space="preserve"> </w:t>
      </w:r>
      <m:oMath>
        <m:r>
          <m:t>λ</m:t>
        </m:r>
      </m:oMath>
      <w:r>
        <w:t xml:space="preserve">, which</w:t>
      </w:r>
      <w:r>
        <w:t xml:space="preserve"> </w:t>
      </w:r>
      <w:r>
        <w:t xml:space="preserve">lets us check that claim numerically:</w:t>
      </w:r>
    </w:p>
    <w:p>
      <w:pPr>
        <w:pStyle w:val="SourceCode"/>
      </w:pPr>
      <w:r>
        <w:rPr>
          <w:rStyle w:val="VerbatimChar"/>
        </w:rPr>
        <w:t xml:space="preserve">      IgA       IgG       sum     joint </w:t>
      </w:r>
      <w:r>
        <w:br/>
      </w:r>
      <w:r>
        <w:rPr>
          <w:rStyle w:val="VerbatimChar"/>
        </w:rPr>
        <w:t xml:space="preserve">-3801.688 -4918.504 -8720.192 -8720.192 </w:t>
      </w:r>
    </w:p>
    <w:p>
      <w:pPr>
        <w:pStyle w:val="FirstParagraph"/>
      </w:pPr>
      <w:r>
        <w:t xml:space="preserve">The two-biomarker value is</w:t>
      </w:r>
      <w:r>
        <w:t xml:space="preserve"> </w:t>
      </w:r>
      <w:r>
        <w:rPr>
          <w:b/>
          <w:bCs/>
        </w:rPr>
        <w:t xml:space="preserve">exactly</w:t>
      </w:r>
      <w:r>
        <w:t xml:space="preserve"> </w:t>
      </w:r>
      <w:r>
        <w:t xml:space="preserve">the sum of the separate ones. That is</w:t>
      </w:r>
      <w:r>
        <w:t xml:space="preserve"> </w:t>
      </w:r>
      <w:r>
        <w:t xml:space="preserve">worth pausing on, because the formula above says it should not be: one</w:t>
      </w:r>
      <w:r>
        <w:t xml:space="preserve"> </w:t>
      </w:r>
      <w:r>
        <w:t xml:space="preserve">integral over a shared</w:t>
      </w:r>
      <w:r>
        <w:t xml:space="preserve"> </w:t>
      </w:r>
      <m:oMath>
        <m:r>
          <m:t>t</m:t>
        </m:r>
      </m:oMath>
      <w:r>
        <w:t xml:space="preserve"> </w:t>
      </w:r>
      <w:r>
        <w:t xml:space="preserve">does not factor into two separate integrals.</w:t>
      </w:r>
    </w:p>
    <w:p>
      <w:pPr>
        <w:pStyle w:val="BodyText"/>
      </w:pPr>
      <w:r>
        <w:t xml:space="preserve">What it tells us is that</w:t>
      </w:r>
      <w:r>
        <w:t xml:space="preserve"> </w:t>
      </w:r>
      <w:r>
        <w:rPr>
          <w:rStyle w:val="VerbatimChar"/>
        </w:rPr>
        <w:t xml:space="preserve">log_likelihood()</w:t>
      </w:r>
      <w:r>
        <w:t xml:space="preserve"> </w:t>
      </w:r>
      <w:r>
        <w:t xml:space="preserve">currently combines biomarkers by</w:t>
      </w:r>
      <w:r>
        <w:t xml:space="preserve"> </w:t>
      </w:r>
      <w:r>
        <w:t xml:space="preserve">summing their individual log-likelihoods, which is the stronger assumption</w:t>
      </w:r>
      <w:r>
        <w:t xml:space="preserve"> </w:t>
      </w:r>
      <w:r>
        <w:t xml:space="preserve">that the biomarkers are independent</w:t>
      </w:r>
      <w:r>
        <w:t xml:space="preserve"> </w:t>
      </w:r>
      <w:r>
        <w:rPr>
          <w:i/>
          <w:iCs/>
        </w:rPr>
        <w:t xml:space="preserve">unconditionally</w:t>
      </w:r>
      <w:r>
        <w:t xml:space="preserve">, each with its own</w:t>
      </w:r>
      <w:r>
        <w:t xml:space="preserve"> </w:t>
      </w:r>
      <w:r>
        <w:t xml:space="preserve">latent infection time.</w:t>
      </w:r>
      <w:r>
        <w:t xml:space="preserve"> </w:t>
      </w:r>
      <w:r>
        <w:rPr>
          <w:rStyle w:val="VerbatimChar"/>
        </w:rPr>
        <w:t xml:space="preserve">est_seroincidence()</w:t>
      </w:r>
      <w:r>
        <w:t xml:space="preserve"> </w:t>
      </w:r>
      <w:r>
        <w:t xml:space="preserve">optimizes through the same code</w:t>
      </w:r>
      <w:r>
        <w:t xml:space="preserve"> </w:t>
      </w:r>
      <w:r>
        <w:t xml:space="preserve">path, so this is the estimation model rather than a quirk of this one</w:t>
      </w:r>
      <w:r>
        <w:t xml:space="preserve"> </w:t>
      </w:r>
      <w:r>
        <w:t xml:space="preserve">function.</w:t>
      </w:r>
    </w:p>
    <w:p>
      <w:pPr>
        <w:pStyle w:val="BodyText"/>
      </w:pPr>
      <w:r>
        <w:t xml:space="preserve">Whether the formula or the implementation should change is</w:t>
      </w:r>
      <w:r>
        <w:t xml:space="preserve"> </w:t>
      </w:r>
      <w:hyperlink r:id="rId100">
        <w:r>
          <w:rPr>
            <w:rStyle w:val="Hyperlink"/>
          </w:rPr>
          <w:t xml:space="preserve">an open question</w:t>
        </w:r>
      </w:hyperlink>
      <w:r>
        <w:t xml:space="preserve">.</w:t>
      </w:r>
      <w:r>
        <w:t xml:space="preserve"> </w:t>
      </w:r>
      <w:r>
        <w:t xml:space="preserve">Until it is settled, read a multi-biomarker standard error as assuming</w:t>
      </w:r>
      <w:r>
        <w:t xml:space="preserve"> </w:t>
      </w:r>
      <w:r>
        <w:t xml:space="preserve">independence across biomarkers.</w:t>
      </w:r>
    </w:p>
    <w:p>
      <w:pPr>
        <w:pStyle w:val="BodyText"/>
      </w:pPr>
      <w:r>
        <w:rPr>
          <w:rStyle w:val="VerbatimChar"/>
        </w:rPr>
        <w:t xml:space="preserve">R/log_likelihood.R</w:t>
      </w:r>
      <w:r>
        <w:t xml:space="preserve"> </w:t>
      </w:r>
      <w:r>
        <w:t xml:space="preserve">loops over</w:t>
      </w:r>
      <w:r>
        <w:t xml:space="preserve"> </w:t>
      </w:r>
      <w:r>
        <w:rPr>
          <w:rStyle w:val="VerbatimChar"/>
        </w:rPr>
        <w:t xml:space="preserve">antigen_isos</w:t>
      </w:r>
      <w:r>
        <w:t xml:space="preserve">, calls</w:t>
      </w:r>
      <w:r>
        <w:t xml:space="preserve"> </w:t>
      </w:r>
      <w:r>
        <w:rPr>
          <w:rStyle w:val="VerbatimChar"/>
        </w:rPr>
        <w:t xml:space="preserve">f_dev()</w:t>
      </w:r>
      <w:r>
        <w:t xml:space="preserve"> </w:t>
      </w:r>
      <w:r>
        <w:t xml:space="preserve">once per</w:t>
      </w:r>
      <w:r>
        <w:t xml:space="preserve"> </w:t>
      </w:r>
      <w:r>
        <w:t xml:space="preserve">biomarker, and adds the results, with a source comment naming the</w:t>
      </w:r>
      <w:r>
        <w:t xml:space="preserve"> </w:t>
      </w:r>
      <w:r>
        <w:t xml:space="preserve">independence assumption. Summing log-likelihoods is the log of the product of</w:t>
      </w:r>
      <w:r>
        <w:t xml:space="preserve"> </w:t>
      </w:r>
      <w:r>
        <w:t xml:space="preserve">the marginals.</w:t>
      </w:r>
    </w:p>
    <w:p>
      <w:pPr>
        <w:pStyle w:val="BodyText"/>
      </w:pPr>
      <w:r>
        <w:t xml:space="preserve">(</w:t>
      </w:r>
      <w:hyperlink w:anchor="sec-multivariate">
        <w:r>
          <w:rPr>
            <w:rStyle w:val="Hyperlink"/>
          </w:rPr>
          <w:t xml:space="preserve">Section 9.2</w:t>
        </w:r>
      </w:hyperlink>
      <w:r>
        <w:t xml:space="preserve"> </w:t>
      </w:r>
      <w:r>
        <w:t xml:space="preserve">describes work in progress to relax conditional</w:t>
      </w:r>
      <w:r>
        <w:t xml:space="preserve"> </w:t>
      </w:r>
      <w:r>
        <w:t xml:space="preserve">independence</w:t>
      </w:r>
      <w:r>
        <w:t xml:space="preserve"> </w:t>
      </w:r>
      <w:r>
        <w:rPr>
          <w:i/>
          <w:iCs/>
        </w:rPr>
        <w:t xml:space="preserve">given</w:t>
      </w:r>
      <w:r>
        <w:t xml:space="preserve"> </w:t>
      </w:r>
      <m:oMath>
        <m:r>
          <m:t>t</m:t>
        </m:r>
      </m:oMath>
      <w:r>
        <w:t xml:space="preserve">; the question above is whether the current code</w:t>
      </w:r>
      <w:r>
        <w:t xml:space="preserve"> </w:t>
      </w:r>
      <w:r>
        <w:t xml:space="preserve">implements even that much.)</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4" w:name="fig-loglik"/>
          <w:p>
            <w:pPr>
              <w:pStyle w:val="Compact"/>
              <w:jc w:val="center"/>
            </w:pPr>
            <w:r>
              <w:drawing>
                <wp:inline>
                  <wp:extent cx="4620126" cy="3696101"/>
                  <wp:effectExtent b="0" l="0" r="0" t="0"/>
                  <wp:docPr descr="" title="" id="102" name="Picture"/>
                  <a:graphic>
                    <a:graphicData uri="http://schemas.openxmlformats.org/drawingml/2006/picture">
                      <pic:pic>
                        <pic:nvPicPr>
                          <pic:cNvPr descr="methodology_files/figure-docx/fig-loglik-1.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Log-likelihood curves for HlyE IgA alone, HlyE IgG alone, and both biomarkers combined.</w:t>
            </w:r>
          </w:p>
          <w:bookmarkEnd w:id="104"/>
        </w:tc>
      </w:tr>
    </w:tbl>
    <w:bookmarkEnd w:id="105"/>
    <w:bookmarkStart w:id="109" w:name="X2f1a22e0e8bfbbb3bd4a9b4c70c58b4086e4038"/>
    <w:p>
      <w:pPr>
        <w:pStyle w:val="Heading2"/>
      </w:pPr>
      <w:r>
        <w:t xml:space="preserve">5.12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7" name="Picture"/>
            <a:graphic>
              <a:graphicData uri="http://schemas.openxmlformats.org/drawingml/2006/picture">
                <pic:pic>
                  <pic:nvPicPr>
                    <pic:cNvPr descr="../man/figures/kinetics-variation-1.png" id="108" name="Picture"/>
                    <pic:cNvPicPr>
                      <a:picLocks noChangeArrowheads="1" noChangeAspect="1"/>
                    </pic:cNvPicPr>
                  </pic:nvPicPr>
                  <pic:blipFill>
                    <a:blip r:embed="rId106"/>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9"/>
    <w:bookmarkStart w:id="113" w:name="Xe0d498a7f1d34353def60f09705ade4ab365d1e"/>
    <w:p>
      <w:pPr>
        <w:pStyle w:val="Heading2"/>
      </w:pPr>
      <w:r>
        <w:t xml:space="preserve">5.13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11" name="Picture"/>
            <a:graphic>
              <a:graphicData uri="http://schemas.openxmlformats.org/drawingml/2006/picture">
                <pic:pic>
                  <pic:nvPicPr>
                    <pic:cNvPr descr="../man/figures/kinetics-variation-2.png" id="112" name="Picture"/>
                    <pic:cNvPicPr>
                      <a:picLocks noChangeArrowheads="1" noChangeAspect="1"/>
                    </pic:cNvPicPr>
                  </pic:nvPicPr>
                  <pic:blipFill>
                    <a:blip r:embed="rId110"/>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13"/>
    <w:bookmarkEnd w:id="114"/>
    <w:bookmarkStart w:id="126" w:name="estimating-the-curves-with-serodynamics"/>
    <w:p>
      <w:pPr>
        <w:pStyle w:val="Heading1"/>
      </w:pPr>
      <w:r>
        <w:t xml:space="preserve">6. Estimating the curves with</w:t>
      </w:r>
      <w:r>
        <w:t xml:space="preserve"> </w:t>
      </w:r>
      <w:r>
        <w:rPr>
          <w:rStyle w:val="VerbatimChar"/>
        </w:rPr>
        <w:t xml:space="preserve">serodynamics</w:t>
      </w:r>
    </w:p>
    <w:bookmarkStart w:id="115"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15"/>
    <w:bookmarkStart w:id="117"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16">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7"/>
    <w:bookmarkStart w:id="118"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8"/>
    <w:bookmarkStart w:id="122"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20" name="Picture"/>
            <a:graphic>
              <a:graphicData uri="http://schemas.openxmlformats.org/drawingml/2006/picture">
                <pic:pic>
                  <pic:nvPicPr>
                    <pic:cNvPr descr="../man/figures/serodynamics-cached-fit.png" id="121" name="Picture"/>
                    <pic:cNvPicPr>
                      <a:picLocks noChangeArrowheads="1" noChangeAspect="1"/>
                    </pic:cNvPicPr>
                  </pic:nvPicPr>
                  <pic:blipFill>
                    <a:blip r:embed="rId11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22"/>
    <w:bookmarkStart w:id="123"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23"/>
    <w:bookmarkStart w:id="124"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24"/>
    <w:bookmarkStart w:id="125"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25"/>
    <w:bookmarkEnd w:id="126"/>
    <w:bookmarkStart w:id="147" w:name="using-serocalculator"/>
    <w:p>
      <w:pPr>
        <w:pStyle w:val="Heading1"/>
      </w:pPr>
      <w:r>
        <w:t xml:space="preserve">7. Using</w:t>
      </w:r>
      <w:r>
        <w:t xml:space="preserve"> </w:t>
      </w:r>
      <w:r>
        <w:rPr>
          <w:rStyle w:val="VerbatimChar"/>
        </w:rPr>
        <w:t xml:space="preserve">serocalculator</w:t>
      </w:r>
    </w:p>
    <w:bookmarkStart w:id="128"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7">
        <w:r>
          <w:rPr>
            <w:rStyle w:val="VerbatimChar"/>
          </w:rPr>
          <w:t xml:space="preserve">serocalculator</w:t>
        </w:r>
      </w:hyperlink>
      <w:r>
        <w:t xml:space="preserve"> </w:t>
      </w:r>
      <w:r>
        <w:t xml:space="preserve">R package.</w:t>
      </w:r>
    </w:p>
    <w:p>
      <w:pPr>
        <w:pStyle w:val="BodyText"/>
      </w:pPr>
      <w:r>
        <w:t xml:space="preserve">The rest of this section walks through the whole estimation pipeline on</w:t>
      </w:r>
      <w:r>
        <w:t xml:space="preserve"> </w:t>
      </w:r>
      <w:r>
        <w:rPr>
          <w:b/>
          <w:bCs/>
        </w:rPr>
        <w:t xml:space="preserve">simulated</w:t>
      </w:r>
      <w:r>
        <w:t xml:space="preserve"> </w:t>
      </w:r>
      <w:r>
        <w:t xml:space="preserve">data, where the true incidence rate is known and the estimate</w:t>
      </w:r>
      <w:r>
        <w:t xml:space="preserve"> </w:t>
      </w:r>
      <w:r>
        <w:t xml:space="preserve">can be checked against it.</w:t>
      </w:r>
      <w:r>
        <w:t xml:space="preserve"> </w:t>
      </w:r>
      <w:hyperlink w:anchor="sec-validation">
        <w:r>
          <w:rPr>
            <w:rStyle w:val="Hyperlink"/>
          </w:rPr>
          <w:t xml:space="preserve">Section 8</w:t>
        </w:r>
      </w:hyperlink>
      <w:r>
        <w:t xml:space="preserve"> </w:t>
      </w:r>
      <w:r>
        <w:t xml:space="preserve">then repeats the exercise across</w:t>
      </w:r>
      <w:r>
        <w:t xml:space="preserve"> </w:t>
      </w:r>
      <w:r>
        <w:t xml:space="preserve">many simulated populations at once.</w:t>
      </w:r>
    </w:p>
    <w:bookmarkEnd w:id="128"/>
    <w:bookmarkStart w:id="129" w:name="simulating-a-cross-sectional-survey"/>
    <w:p>
      <w:pPr>
        <w:pStyle w:val="Heading2"/>
      </w:pPr>
      <w:r>
        <w:t xml:space="preserve">7.2 Simulating a cross-sectional survey</w:t>
      </w:r>
    </w:p>
    <w:p>
      <w:pPr>
        <w:pStyle w:val="FirstParagraph"/>
      </w:pPr>
      <w:r>
        <w:rPr>
          <w:rStyle w:val="VerbatimChar"/>
        </w:rPr>
        <w:t xml:space="preserve">sim_pop_data()</w:t>
      </w:r>
      <w:r>
        <w:t xml:space="preserve"> </w:t>
      </w:r>
      <w:r>
        <w:t xml:space="preserve">simulates infections as a Poisson process with rate</w:t>
      </w:r>
      <w:r>
        <w:t xml:space="preserve"> </w:t>
      </w:r>
      <w:r>
        <w:rPr>
          <w:rStyle w:val="VerbatimChar"/>
        </w:rPr>
        <w:t xml:space="preserve">lambda</w:t>
      </w:r>
      <w:r>
        <w:t xml:space="preserve">, then generates each person’s antibody levels from the seroresponse</w:t>
      </w:r>
      <w:r>
        <w:t xml:space="preserve"> </w:t>
      </w:r>
      <w:r>
        <w:t xml:space="preserve">model:</w:t>
      </w:r>
    </w:p>
    <w:p>
      <w:pPr>
        <w:pStyle w:val="BodyText"/>
      </w:pPr>
      <w:r>
        <w:t xml:space="preserve">Each individual is simulated separately, but their antibodies are modelled</w:t>
      </w:r>
      <w:r>
        <w:t xml:space="preserve"> </w:t>
      </w:r>
      <w:r>
        <w:t xml:space="preserve">jointly, so the biomarkers share one latent infection history.</w:t>
      </w:r>
    </w:p>
    <w:p>
      <w:pPr>
        <w:pStyle w:val="BodyText"/>
      </w:pPr>
      <w:r>
        <w:t xml:space="preserve">Three arguments are worth knowing:</w:t>
      </w:r>
    </w:p>
    <w:p>
      <w:pPr>
        <w:pStyle w:val="Compact"/>
        <w:numPr>
          <w:ilvl w:val="0"/>
          <w:numId w:val="1042"/>
        </w:numPr>
      </w:pPr>
      <w:r>
        <w:rPr>
          <w:rStyle w:val="VerbatimChar"/>
        </w:rPr>
        <w:t xml:space="preserve">renew_params</w:t>
      </w:r>
      <w:r>
        <w:t xml:space="preserve"> </w:t>
      </w:r>
      <w:r>
        <w:t xml:space="preserve">decides whether each infection draws a fresh parameter set</w:t>
      </w:r>
      <w:r>
        <w:t xml:space="preserve"> </w:t>
      </w:r>
      <w:r>
        <w:t xml:space="preserve">from the posterior.</w:t>
      </w:r>
      <w:r>
        <w:t xml:space="preserve"> </w:t>
      </w:r>
      <w:r>
        <w:rPr>
          <w:rStyle w:val="VerbatimChar"/>
        </w:rPr>
        <w:t xml:space="preserve">FALSE</w:t>
      </w:r>
      <w:r>
        <w:t xml:space="preserve"> </w:t>
      </w:r>
      <w:r>
        <w:t xml:space="preserve">(used here) picks one set at birth and keeps it,</w:t>
      </w:r>
      <w:r>
        <w:t xml:space="preserve"> </w:t>
      </w:r>
      <w:r>
        <w:t xml:space="preserve">updating only the baseline level</w:t>
      </w:r>
      <w:r>
        <w:t xml:space="preserve"> </w:t>
      </w:r>
      <w:r>
        <w:rPr>
          <w:rStyle w:val="VerbatimChar"/>
        </w:rPr>
        <w:t xml:space="preserve">y0</w:t>
      </w:r>
      <w:r>
        <w:t xml:space="preserve"> </w:t>
      </w:r>
      <w:r>
        <w:t xml:space="preserve">before each new infection.</w:t>
      </w:r>
      <w:r>
        <w:t xml:space="preserve"> </w:t>
      </w:r>
      <w:r>
        <w:rPr>
          <w:rStyle w:val="VerbatimChar"/>
        </w:rPr>
        <w:t xml:space="preserve">TRUE</w:t>
      </w:r>
      <w:r>
        <w:t xml:space="preserve"> </w:t>
      </w:r>
      <w:r>
        <w:t xml:space="preserve">is</w:t>
      </w:r>
      <w:r>
        <w:t xml:space="preserve"> </w:t>
      </w:r>
      <w:r>
        <w:t xml:space="preserve">more realistic but is not what the estimation method assumes — see the</w:t>
      </w:r>
      <w:r>
        <w:t xml:space="preserve"> </w:t>
      </w:r>
      <w:r>
        <w:t xml:space="preserve">bias check at the end of</w:t>
      </w:r>
      <w:r>
        <w:t xml:space="preserve"> </w:t>
      </w:r>
      <w:hyperlink w:anchor="sec-validation">
        <w:r>
          <w:rPr>
            <w:rStyle w:val="Hyperlink"/>
          </w:rPr>
          <w:t xml:space="preserve">Section 8</w:t>
        </w:r>
      </w:hyperlink>
      <w:r>
        <w:t xml:space="preserve">.</w:t>
      </w:r>
    </w:p>
    <w:p>
      <w:pPr>
        <w:pStyle w:val="Compact"/>
        <w:numPr>
          <w:ilvl w:val="0"/>
          <w:numId w:val="1042"/>
        </w:numPr>
      </w:pPr>
      <w:r>
        <w:rPr>
          <w:rStyle w:val="VerbatimChar"/>
        </w:rPr>
        <w:t xml:space="preserve">age_fixed</w:t>
      </w:r>
      <w:r>
        <w:t xml:space="preserve"> </w:t>
      </w:r>
      <w:r>
        <w:t xml:space="preserve">fixes the age at which longitudinal parameters are evaluated;</w:t>
      </w:r>
      <w:r>
        <w:t xml:space="preserve"> </w:t>
      </w:r>
      <w:r>
        <w:t xml:space="preserve">setting it to</w:t>
      </w:r>
      <w:r>
        <w:t xml:space="preserve"> </w:t>
      </w:r>
      <w:r>
        <w:rPr>
          <w:rStyle w:val="VerbatimChar"/>
        </w:rPr>
        <w:t xml:space="preserve">NA</w:t>
      </w:r>
      <w:r>
        <w:t xml:space="preserve"> </w:t>
      </w:r>
      <w:r>
        <w:t xml:space="preserve">uses the age at infection instead.</w:t>
      </w:r>
    </w:p>
    <w:p>
      <w:pPr>
        <w:pStyle w:val="Compact"/>
        <w:numPr>
          <w:ilvl w:val="0"/>
          <w:numId w:val="1042"/>
        </w:numPr>
      </w:pPr>
      <w:r>
        <w:rPr>
          <w:rStyle w:val="VerbatimChar"/>
        </w:rPr>
        <w:t xml:space="preserve">n_mcmc_samples = 0</w:t>
      </w:r>
      <w:r>
        <w:t xml:space="preserve"> </w:t>
      </w:r>
      <w:r>
        <w:t xml:space="preserve">draws a random posterior sample for each infection.</w:t>
      </w:r>
      <w:r>
        <w:t xml:space="preserve"> </w:t>
      </w:r>
      <w:r>
        <w:t xml:space="preserve">Fixing it to a value in</w:t>
      </w:r>
      <w:r>
        <w:t xml:space="preserve"> </w:t>
      </w:r>
      <w:r>
        <w:rPr>
          <w:rStyle w:val="VerbatimChar"/>
        </w:rPr>
        <w:t xml:space="preserve">1:4000</w:t>
      </w:r>
      <w:r>
        <w:t xml:space="preserve"> </w:t>
      </w:r>
      <w:r>
        <w:t xml:space="preserve">reuses that one sample throughout, which is</w:t>
      </w:r>
      <w:r>
        <w:t xml:space="preserve"> </w:t>
      </w:r>
      <w:r>
        <w:t xml:space="preserve">useful for diagnostics.</w:t>
      </w:r>
    </w:p>
    <w:bookmarkEnd w:id="129"/>
    <w:bookmarkStart w:id="130" w:name="noise-parameters"/>
    <w:p>
      <w:pPr>
        <w:pStyle w:val="Heading2"/>
      </w:pPr>
      <w:r>
        <w:t xml:space="preserve">7.3 Noise parameters</w:t>
      </w:r>
    </w:p>
    <w:p>
      <w:pPr>
        <w:pStyle w:val="FirstParagraph"/>
      </w:pPr>
      <w:r>
        <w:t xml:space="preserve">Estimation needs its own noise parameters, matching</w:t>
      </w:r>
      <w:r>
        <w:t xml:space="preserve"> </w:t>
      </w:r>
      <w:hyperlink w:anchor="sec-noise">
        <w:r>
          <w:rPr>
            <w:rStyle w:val="Hyperlink"/>
          </w:rPr>
          <w:t xml:space="preserve">Section 5.6</w:t>
        </w:r>
      </w:hyperlink>
      <w:r>
        <w:t xml:space="preserve">. Here they are</w:t>
      </w:r>
      <w:r>
        <w:t xml:space="preserve"> </w:t>
      </w:r>
      <w:r>
        <w:t xml:space="preserve">declared directly, consistent with the noise used to generate the data above:</w:t>
      </w:r>
    </w:p>
    <w:bookmarkEnd w:id="130"/>
    <w:bookmarkStart w:id="135" w:name="the-simulated-antibody-distribution"/>
    <w:p>
      <w:pPr>
        <w:pStyle w:val="Heading2"/>
      </w:pPr>
      <w:r>
        <w:t xml:space="preserve">7.4 The simulated antibody distribution</w:t>
      </w:r>
    </w:p>
    <w:tbl>
      <w:tblPr>
        <w:tblStyle w:val="Table"/>
        <w:tblW w:type="pct" w:w="5000"/>
        <w:tblLayout w:type="fixed"/>
        <w:tblLook w:firstRow="0" w:lastRow="0" w:firstColumn="0" w:lastColumn="0" w:noHBand="0" w:noVBand="0" w:val="0000"/>
      </w:tblPr>
      <w:tblGrid>
        <w:gridCol w:w="7920"/>
      </w:tblGrid>
      <w:tr>
        <w:tc>
          <w:tcPr/>
          <w:bookmarkStart w:id="134" w:name="fig-sim-distribution"/>
          <w:p>
            <w:pPr>
              <w:pStyle w:val="Compact"/>
              <w:jc w:val="center"/>
            </w:pPr>
            <w:r>
              <w:drawing>
                <wp:inline>
                  <wp:extent cx="4620126" cy="3696101"/>
                  <wp:effectExtent b="0" l="0" r="0" t="0"/>
                  <wp:docPr descr="" title="" id="132" name="Picture"/>
                  <a:graphic>
                    <a:graphicData uri="http://schemas.openxmlformats.org/drawingml/2006/picture">
                      <pic:pic>
                        <pic:nvPicPr>
                          <pic:cNvPr descr="methodology_files/figure-docx/fig-sim-distribution-1.png" id="133" name="Picture"/>
                          <pic:cNvPicPr>
                            <a:picLocks noChangeArrowheads="1" noChangeAspect="1"/>
                          </pic:cNvPicPr>
                        </pic:nvPicPr>
                        <pic:blipFill>
                          <a:blip r:embed="rId13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Distribution of simulated antibody responses, by antigen-isotype.</w:t>
            </w:r>
          </w:p>
          <w:bookmarkEnd w:id="134"/>
        </w:tc>
      </w:tr>
    </w:tbl>
    <w:bookmarkEnd w:id="135"/>
    <w:bookmarkStart w:id="140" w:name="X8cfd16bb684e4ad6c62f9f78cbc8ef954016035"/>
    <w:p>
      <w:pPr>
        <w:pStyle w:val="Heading2"/>
      </w:pPr>
      <w:r>
        <w:t xml:space="preserve">7.5 Estimating incidence from the simulated survey</w:t>
      </w:r>
    </w:p>
    <w:p>
      <w:pPr>
        <w:pStyle w:val="FirstParagraph"/>
      </w:pPr>
      <w:r>
        <w:rPr>
          <w:rStyle w:val="VerbatimChar"/>
        </w:rPr>
        <w:t xml:space="preserve">est_seroincidence()</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p>
    <w:p>
      <w:pPr>
        <w:pStyle w:val="SourceCode"/>
      </w:pPr>
      <w:r>
        <w:rPr>
          <w:rStyle w:val="VerbatimChar"/>
        </w:rPr>
        <w:t xml:space="preserve"># A tibble: 1 × 11</w:t>
      </w:r>
      <w:r>
        <w:br/>
      </w:r>
      <w:r>
        <w:rPr>
          <w:rStyle w:val="VerbatimChar"/>
        </w:rPr>
        <w:t xml:space="preserve">  est.start incidence.rate     SE CI.lwr CI.upr se_type  coverage log.lik</w:t>
      </w:r>
      <w:r>
        <w:br/>
      </w:r>
      <w:r>
        <w:rPr>
          <w:rStyle w:val="VerbatimChar"/>
        </w:rPr>
        <w:t xml:space="preserve">      &lt;dbl&gt;          &lt;dbl&gt;  &lt;dbl&gt;  &lt;dbl&gt;  &lt;dbl&gt; &lt;chr&gt;       &lt;dbl&gt;   &lt;dbl&gt;</w:t>
      </w:r>
      <w:r>
        <w:br/>
      </w:r>
      <w:r>
        <w:rPr>
          <w:rStyle w:val="VerbatimChar"/>
        </w:rPr>
        <w:t xml:space="preserve">1       0.1          0.194 0.0213  0.157  0.241 standard     0.95   -469.</w:t>
      </w:r>
      <w:r>
        <w:br/>
      </w:r>
      <w:r>
        <w:rPr>
          <w:rStyle w:val="VerbatimChar"/>
        </w:rPr>
        <w:t xml:space="preserve"># ℹ 3 more variables: iterations &lt;int&gt;, antigen.isos &lt;chr&gt;,</w:t>
      </w:r>
      <w:r>
        <w:br/>
      </w:r>
      <w:r>
        <w:rPr>
          <w:rStyle w:val="VerbatimChar"/>
        </w:rPr>
        <w:t xml:space="preserve">#   nlm.convergence.code &lt;ord&gt;</w:t>
      </w:r>
    </w:p>
    <w:p>
      <w:pPr>
        <w:pStyle w:val="FirstParagraph"/>
      </w:pPr>
      <w:r>
        <w:t xml:space="preserve">The true rate used to generate these data was</w:t>
      </w:r>
      <w:r>
        <w:t xml:space="preserve"> </w:t>
      </w:r>
      <w:r>
        <w:t xml:space="preserve">0.2 infections per person-year.</w:t>
      </w:r>
    </w:p>
    <w:p>
      <w:pPr>
        <w:pStyle w:val="BodyText"/>
      </w:pPr>
      <w:r>
        <w:rPr>
          <w:rStyle w:val="VerbatimChar"/>
        </w:rPr>
        <w:t xml:space="preserve">autoplot()</w:t>
      </w:r>
      <w:r>
        <w:t xml:space="preserve"> </w:t>
      </w:r>
      <w:r>
        <w:t xml:space="preserve">draws the log-likelihood curve, with the maximum marked:</w:t>
      </w:r>
    </w:p>
    <w:tbl>
      <w:tblPr>
        <w:tblStyle w:val="Table"/>
        <w:tblW w:type="pct" w:w="5000"/>
        <w:tblLayout w:type="fixed"/>
        <w:tblLook w:firstRow="0" w:lastRow="0" w:firstColumn="0" w:lastColumn="0" w:noHBand="0" w:noVBand="0" w:val="0000"/>
      </w:tblPr>
      <w:tblGrid>
        <w:gridCol w:w="7920"/>
      </w:tblGrid>
      <w:tr>
        <w:tc>
          <w:tcPr/>
          <w:bookmarkStart w:id="139" w:name="fig-est-single-loglik"/>
          <w:p>
            <w:pPr>
              <w:pStyle w:val="Compact"/>
              <w:jc w:val="center"/>
            </w:pPr>
            <w:r>
              <w:drawing>
                <wp:inline>
                  <wp:extent cx="4620126" cy="3696101"/>
                  <wp:effectExtent b="0" l="0" r="0" t="0"/>
                  <wp:docPr descr="" title="" id="137" name="Picture"/>
                  <a:graphic>
                    <a:graphicData uri="http://schemas.openxmlformats.org/drawingml/2006/picture">
                      <pic:pic>
                        <pic:nvPicPr>
                          <pic:cNvPr descr="methodology_files/figure-docx/fig-est-single-loglik-1.png" id="138" name="Picture"/>
                          <pic:cNvPicPr>
                            <a:picLocks noChangeArrowheads="1" noChangeAspect="1"/>
                          </pic:cNvPicPr>
                        </pic:nvPicPr>
                        <pic:blipFill>
                          <a:blip r:embed="rId13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Log-likelihood curve for the simulated survey, on a log x-axis.</w:t>
            </w:r>
          </w:p>
          <w:bookmarkEnd w:id="139"/>
        </w:tc>
      </w:tr>
    </w:tbl>
    <w:bookmarkEnd w:id="140"/>
    <w:bookmarkStart w:id="141" w:name="estimating-seroincidence-in-real-data"/>
    <w:p>
      <w:pPr>
        <w:pStyle w:val="Heading2"/>
      </w:pPr>
      <w:r>
        <w:t xml:space="preserve">7.6 Estimating seroincidence in real data</w:t>
      </w:r>
    </w:p>
    <w:p>
      <w:pPr>
        <w:pStyle w:val="FirstParagraph"/>
      </w:pPr>
      <w:r>
        <w:t xml:space="preserve">The same call works on a real serosurvey.</w:t>
      </w:r>
      <w:r>
        <w:t xml:space="preserve"> </w:t>
      </w:r>
      <w:r>
        <w:rPr>
          <w:rStyle w:val="VerbatimChar"/>
        </w:rPr>
        <w:t xml:space="preserve">est_seroincidence_by()</w:t>
      </w:r>
      <w:r>
        <w:t xml:space="preserve"> </w:t>
      </w:r>
      <w:r>
        <w:t xml:space="preserve">estimates</w:t>
      </w:r>
      <w:r>
        <w:t xml:space="preserve"> </w:t>
      </w:r>
      <w:r>
        <w:t xml:space="preserve">separately within each stratum, 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 (cluster-robust,</w:t>
      </w:r>
      <w:r>
        <w:t xml:space="preserve"> </w:t>
      </w:r>
      <w:r>
        <w:t xml:space="preserve">if</w:t>
      </w:r>
      <w:r>
        <w:t xml:space="preserve"> </w:t>
      </w:r>
      <w:r>
        <w:rPr>
          <w:rStyle w:val="VerbatimChar"/>
        </w:rPr>
        <w:t xml:space="preserve">cluster_var</w:t>
      </w:r>
      <w:r>
        <w:t xml:space="preserve"> </w:t>
      </w:r>
      <w:r>
        <w:t xml:space="preserve">was supplied):</w:t>
      </w:r>
    </w:p>
    <w:p>
      <w:pPr>
        <w:pStyle w:val="SourceCode"/>
      </w:pP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r>
        <w:br/>
      </w:r>
      <w:r>
        <w:br/>
      </w: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41"/>
    <w:bookmarkStart w:id="146" w:name="interactive-shiny-app"/>
    <w:p>
      <w:pPr>
        <w:pStyle w:val="Heading2"/>
      </w:pPr>
      <w:r>
        <w:t xml:space="preserve">7.7 Interactive Shiny app</w:t>
      </w:r>
    </w:p>
    <w:p>
      <w:pPr>
        <w:pStyle w:val="FirstParagraph"/>
      </w:pPr>
      <w:r>
        <w:t xml:space="preserve">A point-and-click interface is available at</w:t>
      </w:r>
      <w:r>
        <w:t xml:space="preserve"> </w:t>
      </w:r>
      <w:hyperlink r:id="rId142">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44" name="Picture"/>
            <a:graphic>
              <a:graphicData uri="http://schemas.openxmlformats.org/drawingml/2006/picture">
                <pic:pic>
                  <pic:nvPicPr>
                    <pic:cNvPr descr="../man/figures/shiny-serocalculator.png" id="145" name="Picture"/>
                    <pic:cNvPicPr>
                      <a:picLocks noChangeArrowheads="1" noChangeAspect="1"/>
                    </pic:cNvPicPr>
                  </pic:nvPicPr>
                  <pic:blipFill>
                    <a:blip r:embed="rId143"/>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46"/>
    <w:bookmarkEnd w:id="147"/>
    <w:bookmarkStart w:id="180" w:name="sec-validation"/>
    <w:p>
      <w:pPr>
        <w:pStyle w:val="Heading1"/>
      </w:pPr>
      <w:r>
        <w:t xml:space="preserve">8. Validation: recovering known incidence rates</w:t>
      </w:r>
    </w:p>
    <w:bookmarkStart w:id="152" w:name="simulating-clusters-with-known-incidence"/>
    <w:p>
      <w:pPr>
        <w:pStyle w:val="Heading2"/>
      </w:pPr>
      <w:r>
        <w:t xml:space="preserve">8.1 Simulating clusters with known incidence</w:t>
      </w:r>
    </w:p>
    <w:p>
      <w:pPr>
        <w:pStyle w:val="FirstParagraph"/>
      </w:pPr>
      <w:r>
        <w:t xml:space="preserve">The single survey above recovered a rate close to the one that generated it.</w:t>
      </w:r>
      <w:r>
        <w:t xml:space="preserve"> </w:t>
      </w:r>
      <w:r>
        <w:t xml:space="preserve">To check that this was not luck, we simulate many clusters across a range of</w:t>
      </w:r>
      <w:r>
        <w:t xml:space="preserve"> </w:t>
      </w:r>
      <w:r>
        <w:rPr>
          <w:b/>
          <w:bCs/>
        </w:rPr>
        <w:t xml:space="preserve">known</w:t>
      </w:r>
      <w:r>
        <w:t xml:space="preserve"> </w:t>
      </w:r>
      <w:r>
        <w:t xml:space="preserve">incidence rates and ask whether the estimates track them.</w:t>
      </w:r>
    </w:p>
    <w:p>
      <w:pPr>
        <w:pStyle w:val="BodyText"/>
      </w:pPr>
      <w:r>
        <w:t xml:space="preserve">That is 6 rates times 20 clusters times</w:t>
      </w:r>
      <w:r>
        <w:t xml:space="preserve"> </w:t>
      </w:r>
      <w:r>
        <w:t xml:space="preserve">100 participants — 1.2</w:t>
      </w:r>
      <w:r>
        <w:t xml:space="preserve">^{4}</w:t>
      </w:r>
      <w:r>
        <w:t xml:space="preserve"> </w:t>
      </w:r>
      <w:r>
        <w:t xml:space="preserve">simulated individuals.</w:t>
      </w:r>
    </w:p>
    <w:p>
      <w:pPr>
        <w:pStyle w:val="BodyText"/>
      </w:pPr>
      <w:r>
        <w:t xml:space="preserve">Simulating and estimating on that many people is by far the most expensive</w:t>
      </w:r>
      <w:r>
        <w:t xml:space="preserve"> </w:t>
      </w:r>
      <w:r>
        <w:t xml:space="preserve">work in this document, and it renders to three formats, so the work would</w:t>
      </w:r>
      <w:r>
        <w:t xml:space="preserve"> </w:t>
      </w:r>
      <w:r>
        <w:t xml:space="preserve">otherwise be repeated three times per build.</w:t>
      </w:r>
      <w:r>
        <w:t xml:space="preserve"> </w:t>
      </w:r>
      <w:r>
        <w:rPr>
          <w:rStyle w:val="VerbatimChar"/>
        </w:rPr>
        <w:t xml:space="preserve">sim_pop_data_multi_cached()</w:t>
      </w:r>
      <w:r>
        <w:t xml:space="preserve"> </w:t>
      </w:r>
      <w:r>
        <w:t xml:space="preserve">and</w:t>
      </w:r>
      <w:r>
        <w:t xml:space="preserve"> </w:t>
      </w:r>
      <w:r>
        <w:rPr>
          <w:rStyle w:val="VerbatimChar"/>
        </w:rPr>
        <w:t xml:space="preserve">est_seroincidence_by_cached()</w:t>
      </w:r>
      <w:r>
        <w:t xml:space="preserve"> </w:t>
      </w:r>
      <w:r>
        <w:t xml:space="preserve">write their</w:t>
      </w:r>
      <w:r>
        <w:t xml:space="preserve"> </w:t>
      </w:r>
      <w:r>
        <w:t xml:space="preserve">results to a committed cache directory keyed on their arguments, so a build</w:t>
      </w:r>
      <w:r>
        <w:t xml:space="preserve"> </w:t>
      </w:r>
      <w:r>
        <w:t xml:space="preserve">reuses them and only recomputes when the simulation settings actually change.</w:t>
      </w:r>
    </w:p>
    <w:tbl>
      <w:tblPr>
        <w:tblStyle w:val="Table"/>
        <w:tblW w:type="pct" w:w="5000"/>
        <w:tblLayout w:type="fixed"/>
        <w:tblLook w:firstRow="0" w:lastRow="0" w:firstColumn="0" w:lastColumn="0" w:noHBand="0" w:noVBand="0" w:val="0000"/>
      </w:tblPr>
      <w:tblGrid>
        <w:gridCol w:w="7920"/>
      </w:tblGrid>
      <w:tr>
        <w:tc>
          <w:tcPr/>
          <w:bookmarkStart w:id="151" w:name="fig-sim-multi-distribution"/>
          <w:p>
            <w:pPr>
              <w:pStyle w:val="Compact"/>
              <w:jc w:val="center"/>
            </w:pPr>
            <w:r>
              <w:drawing>
                <wp:inline>
                  <wp:extent cx="4620126" cy="4620126"/>
                  <wp:effectExtent b="0" l="0" r="0" t="0"/>
                  <wp:docPr descr="" title="" id="149" name="Picture"/>
                  <a:graphic>
                    <a:graphicData uri="http://schemas.openxmlformats.org/drawingml/2006/picture">
                      <pic:pic>
                        <pic:nvPicPr>
                          <pic:cNvPr descr="methodology_files/figure-docx/fig-sim-multi-distribution-1.png" id="150" name="Picture"/>
                          <pic:cNvPicPr>
                            <a:picLocks noChangeArrowheads="1" noChangeAspect="1"/>
                          </pic:cNvPicPr>
                        </pic:nvPicPr>
                        <pic:blipFill>
                          <a:blip r:embed="rId148"/>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Simulated antibody responses by cluster, faceted by antigen-isotype and by the true incidence rate used to generate each cluster.</w:t>
            </w:r>
          </w:p>
          <w:bookmarkEnd w:id="151"/>
        </w:tc>
      </w:tr>
    </w:tbl>
    <w:bookmarkEnd w:id="152"/>
    <w:bookmarkStart w:id="154" w:name="estimating-incidence-in-each-cluster"/>
    <w:p>
      <w:pPr>
        <w:pStyle w:val="Heading2"/>
      </w:pPr>
      <w:r>
        <w:t xml:space="preserve">8.2 Estimating incidence in each cluster</w:t>
      </w:r>
    </w:p>
    <w:p>
      <w:pPr>
        <w:pStyle w:val="FirstParagraph"/>
      </w:pPr>
      <w:r>
        <w:rPr>
          <w:rStyle w:val="VerbatimChar"/>
        </w:rPr>
        <w:t xml:space="preserve">summary()</w:t>
      </w:r>
      <w:r>
        <w:t xml:space="preserve"> </w:t>
      </w:r>
      <w:r>
        <w:t xml:space="preserve">returns a</w:t>
      </w:r>
      <w:r>
        <w:t xml:space="preserve"> </w:t>
      </w:r>
      <w:r>
        <w:rPr>
          <w:rStyle w:val="VerbatimChar"/>
        </w:rPr>
        <w:t xml:space="preserve">tibble()</w:t>
      </w:r>
      <w:r>
        <w:t xml:space="preserve"> </w:t>
      </w:r>
      <w:r>
        <w:t xml:space="preserve">carrying some extra metadata about the</w:t>
      </w:r>
      <w:r>
        <w:t xml:space="preserve"> </w:t>
      </w:r>
      <w:r>
        <w:t xml:space="preserve">stratification.</w:t>
      </w:r>
    </w:p>
    <w:tbl>
      <w:tblPr>
        <w:tblStyle w:val="Table"/>
        <w:tblW w:type="pct" w:w="5000"/>
        <w:tblLayout w:type="fixed"/>
        <w:tblLook w:firstRow="0" w:lastRow="0" w:firstColumn="0" w:lastColumn="0" w:noHBand="0" w:noVBand="0" w:val="0000"/>
      </w:tblPr>
      <w:tblGrid>
        <w:gridCol w:w="7920"/>
      </w:tblGrid>
      <w:tr>
        <w:tc>
          <w:tcPr/>
          <w:bookmarkStart w:id="153" w:name="tbl-ests-summary"/>
          <w:p>
            <w:pPr>
              <w:jc w:val="center"/>
            </w:pPr>
            <w:pPr>
              <w:jc w:val="left"/>
              <w:spacing w:before="200"/>
              <w:pStyle w:val="ImageCaption"/>
            </w:pPr>
            <w:r>
              <w:t xml:space="preserve">Table 1</w:t>
            </w:r>
          </w:p>
          <w:p>
            <w:pPr>
              <w:pStyle w:val="SourceCode"/>
              <w:jc w:val="center"/>
            </w:pPr>
            <w:r>
              <w:rPr>
                <w:rStyle w:val="VerbatimChar"/>
              </w:rPr>
              <w:t xml:space="preserve">Seroincidence estimated given the following setup:</w:t>
            </w:r>
            <w:r>
              <w:br/>
            </w:r>
            <w:r>
              <w:rPr>
                <w:rStyle w:val="VerbatimChar"/>
              </w:rPr>
              <w:t xml:space="preserve">a) Antigen isotypes   : HlyE_IgA, HlyE_IgG </w:t>
            </w:r>
            <w:r>
              <w:br/>
            </w:r>
            <w:r>
              <w:rPr>
                <w:rStyle w:val="VerbatimChar"/>
              </w:rPr>
              <w:t xml:space="preserve">b) Strata       : sample_size, lambda.sim, cluster </w:t>
            </w:r>
            <w:r>
              <w:br/>
            </w:r>
            <w:r>
              <w:br/>
            </w:r>
            <w:r>
              <w:rPr>
                <w:rStyle w:val="VerbatimChar"/>
              </w:rPr>
              <w:t xml:space="preserve"> Seroincidence estimates:</w:t>
            </w:r>
            <w:r>
              <w:br/>
            </w:r>
            <w:r>
              <w:rPr>
                <w:rStyle w:val="VerbatimChar"/>
              </w:rPr>
              <w:t xml:space="preserve"># A tibble: 120 × 16</w:t>
            </w:r>
            <w:r>
              <w:br/>
            </w:r>
            <w:r>
              <w:rPr>
                <w:rStyle w:val="VerbatimChar"/>
              </w:rPr>
              <w:t xml:space="preserve">   Stratum sample_size lambda.sim cluster     n est.start incidence.rate      SE</w:t>
            </w:r>
            <w:r>
              <w:br/>
            </w:r>
            <w:r>
              <w:rPr>
                <w:rStyle w:val="VerbatimChar"/>
              </w:rPr>
              <w:t xml:space="preserve">   &lt;chr&gt;         &lt;dbl&gt;      &lt;dbl&gt;   &lt;int&gt; &lt;int&gt;     &lt;dbl&gt;          &lt;dbl&gt;   &lt;dbl&gt;</w:t>
            </w:r>
            <w:r>
              <w:br/>
            </w:r>
            <w:r>
              <w:rPr>
                <w:rStyle w:val="VerbatimChar"/>
              </w:rPr>
              <w:t xml:space="preserve"> 1 Stratu…         100       0.05       1   100       0.1         0.0538 0.00957</w:t>
            </w:r>
            <w:r>
              <w:br/>
            </w:r>
            <w:r>
              <w:rPr>
                <w:rStyle w:val="VerbatimChar"/>
              </w:rPr>
              <w:t xml:space="preserve"> 2 Stratu…         100       0.05       2   100       0.1         0.0462 0.00869</w:t>
            </w:r>
            <w:r>
              <w:br/>
            </w:r>
            <w:r>
              <w:rPr>
                <w:rStyle w:val="VerbatimChar"/>
              </w:rPr>
              <w:t xml:space="preserve"> 3 Stratu…         100       0.05       3   100       0.1         0.0446 0.00801</w:t>
            </w:r>
            <w:r>
              <w:br/>
            </w:r>
            <w:r>
              <w:rPr>
                <w:rStyle w:val="VerbatimChar"/>
              </w:rPr>
              <w:t xml:space="preserve"> 4 Stratu…         100       0.05       4   100       0.1         0.0475 0.00819</w:t>
            </w:r>
            <w:r>
              <w:br/>
            </w:r>
            <w:r>
              <w:rPr>
                <w:rStyle w:val="VerbatimChar"/>
              </w:rPr>
              <w:t xml:space="preserve"> 5 Stratu…         100       0.05       5   100       0.1         0.0560 0.00896</w:t>
            </w:r>
            <w:r>
              <w:br/>
            </w:r>
            <w:r>
              <w:rPr>
                <w:rStyle w:val="VerbatimChar"/>
              </w:rPr>
              <w:t xml:space="preserve"> 6 Stratu…         100       0.05       6   100       0.1         0.0569 0.00961</w:t>
            </w:r>
            <w:r>
              <w:br/>
            </w:r>
            <w:r>
              <w:rPr>
                <w:rStyle w:val="VerbatimChar"/>
              </w:rPr>
              <w:t xml:space="preserve"> 7 Stratu…         100       0.05       7   100       0.1         0.0392 0.00743</w:t>
            </w:r>
            <w:r>
              <w:br/>
            </w:r>
            <w:r>
              <w:rPr>
                <w:rStyle w:val="VerbatimChar"/>
              </w:rPr>
              <w:t xml:space="preserve"> 8 Stratu…         100       0.05       8   100       0.1         0.0698 0.0108 </w:t>
            </w:r>
            <w:r>
              <w:br/>
            </w:r>
            <w:r>
              <w:rPr>
                <w:rStyle w:val="VerbatimChar"/>
              </w:rPr>
              <w:t xml:space="preserve"> 9 Stratu…         100       0.05       9   100       0.1         0.0557 0.00947</w:t>
            </w:r>
            <w:r>
              <w:br/>
            </w:r>
            <w:r>
              <w:rPr>
                <w:rStyle w:val="VerbatimChar"/>
              </w:rPr>
              <w:t xml:space="preserve">10 Stratu…         100       0.05      10   100       0.1         0.0416 0.00805</w:t>
            </w:r>
            <w:r>
              <w:br/>
            </w:r>
            <w:r>
              <w:rPr>
                <w:rStyle w:val="VerbatimChar"/>
              </w:rPr>
              <w:t xml:space="preserve"># ℹ 110 more rows</w:t>
            </w:r>
            <w:r>
              <w:br/>
            </w:r>
            <w:r>
              <w:rPr>
                <w:rStyle w:val="VerbatimChar"/>
              </w:rPr>
              <w:t xml:space="preserve"># ℹ 8 more variables: CI.lwr &lt;dbl&gt;, CI.upr &lt;dbl&gt;, se_type &lt;chr&gt;,</w:t>
            </w:r>
            <w:r>
              <w:br/>
            </w:r>
            <w:r>
              <w:rPr>
                <w:rStyle w:val="VerbatimChar"/>
              </w:rPr>
              <w:t xml:space="preserve">#   coverage &lt;dbl&gt;, log.lik &lt;dbl&gt;, iterations &lt;int&gt;, antigen.isos &lt;chr&gt;,</w:t>
            </w:r>
            <w:r>
              <w:br/>
            </w:r>
            <w:r>
              <w:rPr>
                <w:rStyle w:val="VerbatimChar"/>
              </w:rPr>
              <w:t xml:space="preserve">#   nlm.convergence.code &lt;ord&gt;</w:t>
            </w:r>
          </w:p>
          <w:bookmarkEnd w:id="153"/>
        </w:tc>
      </w:tr>
    </w:tbl>
    <w:p>
      <w:pPr>
        <w:pStyle w:val="FirstParagraph"/>
      </w:pPr>
      <w:r>
        <w:t xml:space="preserve">The interactive table is HTML-only; other formats print the plain summary,</w:t>
      </w:r>
      <w:r>
        <w:t xml:space="preserve"> </w:t>
      </w:r>
      <w:r>
        <w:t xml:space="preserve">since converting the widget to a static image would need a headless browser.</w:t>
      </w:r>
    </w:p>
    <w:bookmarkEnd w:id="154"/>
    <w:bookmarkStart w:id="159" w:name="inspecting-individual-clusters"/>
    <w:p>
      <w:pPr>
        <w:pStyle w:val="Heading2"/>
      </w:pPr>
      <w:r>
        <w:t xml:space="preserve">8.3 Inspecting individual clusters</w:t>
      </w:r>
    </w:p>
    <w:p>
      <w:pPr>
        <w:pStyle w:val="FirstParagraph"/>
      </w:pPr>
      <w:r>
        <w:t xml:space="preserve">The cached fit above carries no log-likelihood curves, so the few clusters we</w:t>
      </w:r>
      <w:r>
        <w:t xml:space="preserve"> </w:t>
      </w:r>
      <w:r>
        <w:t xml:space="preserve">want to look at are re-fit with</w:t>
      </w:r>
      <w:r>
        <w:t xml:space="preserve"> </w:t>
      </w:r>
      <w:r>
        <w:rPr>
          <w:rStyle w:val="VerbatimChar"/>
        </w:rPr>
        <w:t xml:space="preserve">build_graph = TRUE</w:t>
      </w:r>
      <w:r>
        <w:t xml:space="preserve">. Strata are selected by</w:t>
      </w:r>
      <w:r>
        <w:t xml:space="preserve"> </w:t>
      </w:r>
      <w:r>
        <w:t xml:space="preserve">the columns that define them, because stratum</w:t>
      </w:r>
      <w:r>
        <w:t xml:space="preserve"> </w:t>
      </w:r>
      <w:r>
        <w:rPr>
          <w:i/>
          <w:iCs/>
        </w:rPr>
        <w:t xml:space="preserve">labels</w:t>
      </w:r>
      <w:r>
        <w:t xml:space="preserve"> </w:t>
      </w:r>
      <w:r>
        <w:t xml:space="preserve">are assigned</w:t>
      </w:r>
      <w:r>
        <w:t xml:space="preserve"> </w:t>
      </w:r>
      <w:r>
        <w:t xml:space="preserve">positionally and so are not stable across a subset:</w:t>
      </w:r>
    </w:p>
    <w:tbl>
      <w:tblPr>
        <w:tblStyle w:val="Table"/>
        <w:tblW w:type="pct" w:w="5000"/>
        <w:tblLayout w:type="fixed"/>
        <w:tblLook w:firstRow="0" w:lastRow="0" w:firstColumn="0" w:lastColumn="0" w:noHBand="0" w:noVBand="0" w:val="0000"/>
      </w:tblPr>
      <w:tblGrid>
        <w:gridCol w:w="7920"/>
      </w:tblGrid>
      <w:tr>
        <w:tc>
          <w:tcPr/>
          <w:bookmarkStart w:id="158" w:name="fig-cluster-logliks"/>
          <w:p>
            <w:pPr>
              <w:pStyle w:val="Compact"/>
              <w:jc w:val="center"/>
            </w:pPr>
            <w:r>
              <w:drawing>
                <wp:inline>
                  <wp:extent cx="4620126" cy="6468176"/>
                  <wp:effectExtent b="0" l="0" r="0" t="0"/>
                  <wp:docPr descr="" title="" id="156" name="Picture"/>
                  <a:graphic>
                    <a:graphicData uri="http://schemas.openxmlformats.org/drawingml/2006/picture">
                      <pic:pic>
                        <pic:nvPicPr>
                          <pic:cNvPr descr="methodology_files/figure-docx/fig-cluster-logliks-1.png" id="157" name="Picture"/>
                          <pic:cNvPicPr>
                            <a:picLocks noChangeArrowheads="1" noChangeAspect="1"/>
                          </pic:cNvPicPr>
                        </pic:nvPicPr>
                        <pic:blipFill>
                          <a:blip r:embed="rId155"/>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Log-likelihood curves for the first five simulated clusters.</w:t>
            </w:r>
          </w:p>
          <w:bookmarkEnd w:id="158"/>
        </w:tc>
      </w:tr>
    </w:tbl>
    <w:bookmarkEnd w:id="159"/>
    <w:bookmarkStart w:id="165" w:name="checking-nlm-convergence"/>
    <w:p>
      <w:pPr>
        <w:pStyle w:val="Heading2"/>
      </w:pPr>
      <w:r>
        <w:t xml:space="preserve">8.4 Checking</w:t>
      </w:r>
      <w:r>
        <w:t xml:space="preserve"> </w:t>
      </w:r>
      <w:r>
        <w:rPr>
          <w:rStyle w:val="VerbatimChar"/>
        </w:rPr>
        <w:t xml:space="preserve">nlm()</w:t>
      </w:r>
      <w:r>
        <w:t xml:space="preserve"> </w:t>
      </w:r>
      <w:r>
        <w:t xml:space="preserve">convergence</w:t>
      </w:r>
    </w:p>
    <w:p>
      <w:pPr>
        <w:pStyle w:val="FirstParagraph"/>
      </w:pPr>
      <w:r>
        <w:rPr>
          <w:rStyle w:val="VerbatimChar"/>
        </w:rPr>
        <w:t xml:space="preserve">est_seroincidence()</w:t>
      </w:r>
      <w:r>
        <w:t xml:space="preserve"> </w:t>
      </w:r>
      <w:r>
        <w:t xml:space="preserve">maximizes the log-likelihood numerically with</w:t>
      </w:r>
      <w:r>
        <w:t xml:space="preserve"> </w:t>
      </w:r>
      <w:r>
        <w:rPr>
          <w:rStyle w:val="VerbatimChar"/>
        </w:rPr>
        <w:t xml:space="preserve">stats::nlm()</w:t>
      </w:r>
      <w:r>
        <w:t xml:space="preserve">. Exit codes 3 to 5 flag a possible non-convergence, so they are</w:t>
      </w:r>
      <w:r>
        <w:t xml:space="preserve"> </w:t>
      </w:r>
      <w:r>
        <w:t xml:space="preserve">worth checking before trusting any of the estimates:</w:t>
      </w:r>
    </w:p>
    <w:p>
      <w:pPr>
        <w:pStyle w:val="SourceCode"/>
      </w:pPr>
      <w:r>
        <w:rPr>
          <w:rStyle w:val="VerbatimChar"/>
        </w:rPr>
        <w:t xml:space="preserve">[1] 13</w:t>
      </w:r>
    </w:p>
    <w:p>
      <w:pPr>
        <w:pStyle w:val="FirstParagraph"/>
      </w:pPr>
      <w:r>
        <w:t xml:space="preserve">Remedies, all passed through to</w:t>
      </w:r>
      <w:r>
        <w:t xml:space="preserve"> </w:t>
      </w:r>
      <w:r>
        <w:rPr>
          <w:rStyle w:val="VerbatimChar"/>
        </w:rPr>
        <w:t xml:space="preserve">nlm()</w:t>
      </w:r>
      <w:r>
        <w:t xml:space="preserve">:</w:t>
      </w:r>
    </w:p>
    <w:p>
      <w:pPr>
        <w:pStyle w:val="Compact"/>
        <w:numPr>
          <w:ilvl w:val="0"/>
          <w:numId w:val="1043"/>
        </w:numPr>
      </w:pPr>
      <w:r>
        <w:t xml:space="preserve">code 3: decrease</w:t>
      </w:r>
      <w:r>
        <w:t xml:space="preserve"> </w:t>
      </w:r>
      <w:r>
        <w:rPr>
          <w:rStyle w:val="VerbatimChar"/>
        </w:rPr>
        <w:t xml:space="preserve">stepmin</w:t>
      </w:r>
    </w:p>
    <w:p>
      <w:pPr>
        <w:pStyle w:val="Compact"/>
        <w:numPr>
          <w:ilvl w:val="0"/>
          <w:numId w:val="1043"/>
        </w:numPr>
      </w:pPr>
      <w:r>
        <w:t xml:space="preserve">code 4: increase</w:t>
      </w:r>
      <w:r>
        <w:t xml:space="preserve"> </w:t>
      </w:r>
      <w:r>
        <w:rPr>
          <w:rStyle w:val="VerbatimChar"/>
        </w:rPr>
        <w:t xml:space="preserve">iterlim</w:t>
      </w:r>
    </w:p>
    <w:p>
      <w:pPr>
        <w:pStyle w:val="Compact"/>
        <w:numPr>
          <w:ilvl w:val="0"/>
          <w:numId w:val="1043"/>
        </w:numPr>
      </w:pPr>
      <w:r>
        <w:t xml:space="preserve">code 5: increase</w:t>
      </w:r>
      <w:r>
        <w:t xml:space="preserve"> </w:t>
      </w:r>
      <w:r>
        <w:rPr>
          <w:rStyle w:val="VerbatimChar"/>
        </w:rPr>
        <w:t xml:space="preserve">stepmax</w:t>
      </w:r>
    </w:p>
    <w:p>
      <w:pPr>
        <w:pStyle w:val="FirstParagraph"/>
      </w:pPr>
      <w:r>
        <w:t xml:space="preserve">Pass them with</w:t>
      </w:r>
      <w:r>
        <w:t xml:space="preserve"> </w:t>
      </w:r>
      <w:r>
        <w:rPr>
          <w:rStyle w:val="VerbatimChar"/>
        </w:rPr>
        <w:t xml:space="preserve">num_cores = 1</w:t>
      </w:r>
      <w:r>
        <w:t xml:space="preserve">.</w:t>
      </w:r>
      <w:r>
        <w:t xml:space="preserve"> </w:t>
      </w:r>
      <w:r>
        <w:rPr>
          <w:rStyle w:val="VerbatimChar"/>
        </w:rPr>
        <w:t xml:space="preserve">est_seroincidence_by()</w:t>
      </w:r>
      <w:r>
        <w:t xml:space="preserve"> </w:t>
      </w:r>
      <w:r>
        <w:t xml:space="preserve">currently drops</w:t>
      </w:r>
      <w:r>
        <w:t xml:space="preserve"> </w:t>
      </w:r>
      <w:r>
        <w:t xml:space="preserve">these arguments in its parallel branch</w:t>
      </w:r>
      <w:r>
        <w:t xml:space="preserve"> </w:t>
      </w:r>
      <w:r>
        <w:t xml:space="preserve">(</w:t>
      </w:r>
      <w:hyperlink r:id="rId160">
        <w:r>
          <w:rPr>
            <w:rStyle w:val="Hyperlink"/>
          </w:rPr>
          <w:t xml:space="preserve">#629</w:t>
        </w:r>
      </w:hyperlink>
      <w:r>
        <w:t xml:space="preserve">), so under</w:t>
      </w:r>
      <w:r>
        <w:t xml:space="preserve"> </w:t>
      </w:r>
      <w:r>
        <w:t xml:space="preserve">parallelism they are silently ignored.</w:t>
      </w:r>
    </w:p>
    <w:p>
      <w:pPr>
        <w:pStyle w:val="SourceCode"/>
      </w:pPr>
      <w:r>
        <w:rPr>
          <w:rStyle w:val="VerbatimChar"/>
        </w:rPr>
        <w:t xml:space="preserve">Warning: Some strata are completely missing one or more biomarkers.</w:t>
      </w:r>
      <w:r>
        <w:br/>
      </w:r>
      <w:r>
        <w:rPr>
          <w:rStyle w:val="VerbatimChar"/>
        </w:rPr>
        <w:t xml:space="preserve">, , cluster = 1,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100 100    0 100   0</w:t>
      </w:r>
      <w:r>
        <w:br/>
      </w:r>
      <w:r>
        <w:br/>
      </w:r>
      <w:r>
        <w:rPr>
          <w:rStyle w:val="VerbatimChar"/>
        </w:rPr>
        <w:t xml:space="preserve">, , cluster = 2,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5,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7,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8,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9,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12,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100   0  100 100   0</w:t>
      </w:r>
      <w:r>
        <w:br/>
      </w:r>
      <w:r>
        <w:br/>
      </w:r>
      <w:r>
        <w:rPr>
          <w:rStyle w:val="VerbatimChar"/>
        </w:rPr>
        <w:t xml:space="preserve">, , cluster = 14,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15,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16,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20,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100 100    0 100   0</w:t>
      </w:r>
      <w:r>
        <w:br/>
      </w:r>
      <w:r>
        <w:br/>
      </w:r>
      <w:r>
        <w:rPr>
          <w:rStyle w:val="VerbatimChar"/>
        </w:rPr>
        <w:t xml:space="preserve">, , cluster = 2,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5,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7,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8,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9,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12,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100   0  100 100   0</w:t>
      </w:r>
      <w:r>
        <w:br/>
      </w:r>
      <w:r>
        <w:br/>
      </w:r>
      <w:r>
        <w:rPr>
          <w:rStyle w:val="VerbatimChar"/>
        </w:rPr>
        <w:t xml:space="preserve">, , cluster = 14,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15,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16,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20,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p>
    <w:p>
      <w:pPr>
        <w:pStyle w:val="SourceCode"/>
      </w:pPr>
      <w:r>
        <w:rPr>
          <w:rStyle w:val="VerbatimChar"/>
        </w:rPr>
        <w:t xml:space="preserve">Warning: `nlm()`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p>
    <w:tbl>
      <w:tblPr>
        <w:tblStyle w:val="Table"/>
        <w:tblW w:type="pct" w:w="5000"/>
        <w:tblLayout w:type="fixed"/>
        <w:tblLook w:firstRow="0" w:lastRow="0" w:firstColumn="0" w:lastColumn="0" w:noHBand="0" w:noVBand="0" w:val="0000"/>
      </w:tblPr>
      <w:tblGrid>
        <w:gridCol w:w="7920"/>
      </w:tblGrid>
      <w:tr>
        <w:tc>
          <w:tcPr/>
          <w:bookmarkStart w:id="164" w:name="fig-problem-strata"/>
          <w:p>
            <w:pPr>
              <w:pStyle w:val="Compact"/>
              <w:jc w:val="center"/>
            </w:pPr>
            <w:r>
              <w:drawing>
                <wp:inline>
                  <wp:extent cx="4620126" cy="6468176"/>
                  <wp:effectExtent b="0" l="0" r="0" t="0"/>
                  <wp:docPr descr="" title="" id="162" name="Picture"/>
                  <a:graphic>
                    <a:graphicData uri="http://schemas.openxmlformats.org/drawingml/2006/picture">
                      <pic:pic>
                        <pic:nvPicPr>
                          <pic:cNvPr descr="methodology_files/figure-docx/fig-problem-strata-1.png" id="163" name="Picture"/>
                          <pic:cNvPicPr>
                            <a:picLocks noChangeArrowheads="1" noChangeAspect="1"/>
                          </pic:cNvPicPr>
                        </pic:nvPicPr>
                        <pic:blipFill>
                          <a:blip r:embed="rId161"/>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Log-likelihood curves for any clusters whose optimizer reported a possible convergence problem.</w:t>
            </w:r>
          </w:p>
          <w:bookmarkEnd w:id="164"/>
        </w:tc>
      </w:tr>
    </w:tbl>
    <w:bookmarkEnd w:id="165"/>
    <w:bookmarkStart w:id="174" w:name="estimates-recover-the-simulated-rates"/>
    <w:p>
      <w:pPr>
        <w:pStyle w:val="Heading2"/>
      </w:pPr>
      <w:r>
        <w:t xml:space="preserve">8.5 Estimates recover the simulated rates</w:t>
      </w:r>
    </w:p>
    <w:tbl>
      <w:tblPr>
        <w:tblStyle w:val="Table"/>
        <w:tblW w:type="pct" w:w="5000"/>
        <w:tblLayout w:type="fixed"/>
        <w:tblLook w:firstRow="0" w:lastRow="0" w:firstColumn="0" w:lastColumn="0" w:noHBand="0" w:noVBand="0" w:val="0000"/>
      </w:tblPr>
      <w:tblGrid>
        <w:gridCol w:w="7920"/>
      </w:tblGrid>
      <w:tr>
        <w:tc>
          <w:tcPr/>
          <w:bookmarkStart w:id="169" w:name="fig-sim-recovery"/>
          <w:p>
            <w:pPr>
              <w:pStyle w:val="Compact"/>
              <w:jc w:val="center"/>
            </w:pPr>
            <w:r>
              <w:drawing>
                <wp:inline>
                  <wp:extent cx="4620126" cy="3696101"/>
                  <wp:effectExtent b="0" l="0" r="0" t="0"/>
                  <wp:docPr descr="" title="" id="167" name="Picture"/>
                  <a:graphic>
                    <a:graphicData uri="http://schemas.openxmlformats.org/drawingml/2006/picture">
                      <pic:pic>
                        <pic:nvPicPr>
                          <pic:cNvPr descr="methodology_files/figure-docx/fig-sim-recovery-1.png" id="168" name="Picture"/>
                          <pic:cNvPicPr>
                            <a:picLocks noChangeArrowheads="1" noChangeAspect="1"/>
                          </pic:cNvPicPr>
                        </pic:nvPicPr>
                        <pic:blipFill>
                          <a:blip r:embed="rId16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Estimated incidence rates (points, with 95% confidence intervals) for each simulated cluster, against the true rate used to generate it. The red line is the identity.</w:t>
            </w:r>
          </w:p>
          <w:bookmarkEnd w:id="169"/>
        </w:tc>
      </w:tr>
    </w:tbl>
    <w:p>
      <w:pPr>
        <w:pStyle w:val="BodyText"/>
      </w:pPr>
      <w:r>
        <w:t xml:space="preserve">Each point is one simulated cluster. The estimates scatter around the</w:t>
      </w:r>
      <w:r>
        <w:t xml:space="preserve"> </w:t>
      </w:r>
      <w:r>
        <w:t xml:space="preserve">identity line, and the confidence intervals widen at higher incidence.</w:t>
      </w:r>
    </w:p>
    <w:p>
      <w:pPr>
        <w:pStyle w:val="BodyText"/>
      </w:pPr>
      <w:r>
        <w:rPr>
          <w:rStyle w:val="VerbatimChar"/>
        </w:rPr>
        <w:t xml:space="preserve">analyze_sims()</w:t>
      </w:r>
      <w:r>
        <w:t xml:space="preserve"> </w:t>
      </w:r>
      <w:r>
        <w:t xml:space="preserve">summarizes the simulation results across clusters:</w:t>
      </w:r>
    </w:p>
    <w:p>
      <w:pPr>
        <w:pStyle w:val="SourceCode"/>
      </w:pPr>
      <w:r>
        <w:rPr>
          <w:rStyle w:val="VerbatimChar"/>
        </w:rPr>
        <w:t xml:space="preserve"># A tibble: 6 × 8</w:t>
      </w:r>
      <w:r>
        <w:br/>
      </w:r>
      <w:r>
        <w:rPr>
          <w:rStyle w:val="VerbatimChar"/>
        </w:rPr>
        <w:t xml:space="preserve">  lambda.sim sample_size    Bias Mean_Est_SE Empirical_SE   RMSE Mean_CI_Width</w:t>
      </w:r>
      <w:r>
        <w:br/>
      </w:r>
      <w:r>
        <w:rPr>
          <w:rStyle w:val="VerbatimChar"/>
        </w:rPr>
        <w:t xml:space="preserve">       &lt;dbl&gt;       &lt;dbl&gt;   &lt;dbl&gt;       &lt;dbl&gt;        &lt;dbl&gt;  &lt;dbl&gt;         &lt;dbl&gt;</w:t>
      </w:r>
      <w:r>
        <w:br/>
      </w:r>
      <w:r>
        <w:rPr>
          <w:rStyle w:val="VerbatimChar"/>
        </w:rPr>
        <w:t xml:space="preserve">1       0.05         100 0.00292     0.00905       0.0102 0.0103        0.0362</w:t>
      </w:r>
      <w:r>
        <w:br/>
      </w:r>
      <w:r>
        <w:rPr>
          <w:rStyle w:val="VerbatimChar"/>
        </w:rPr>
        <w:t xml:space="preserve">2       0.1          100 0.00894     0.0144        0.0204 0.0218        0.0571</w:t>
      </w:r>
      <w:r>
        <w:br/>
      </w:r>
      <w:r>
        <w:rPr>
          <w:rStyle w:val="VerbatimChar"/>
        </w:rPr>
        <w:t xml:space="preserve">3       0.15         100 0.0222      0.0199        0.0183 0.0285        0.0786</w:t>
      </w:r>
      <w:r>
        <w:br/>
      </w:r>
      <w:r>
        <w:rPr>
          <w:rStyle w:val="VerbatimChar"/>
        </w:rPr>
        <w:t xml:space="preserve">4       0.2          100 0.0269      0.0242        0.0319 0.0411        0.0957</w:t>
      </w:r>
      <w:r>
        <w:br/>
      </w:r>
      <w:r>
        <w:rPr>
          <w:rStyle w:val="VerbatimChar"/>
        </w:rPr>
        <w:t xml:space="preserve">5       0.5          100 0.0857      0.0568        0.0758 0.113         0.224 </w:t>
      </w:r>
      <w:r>
        <w:br/>
      </w:r>
      <w:r>
        <w:rPr>
          <w:rStyle w:val="VerbatimChar"/>
        </w:rPr>
        <w:t xml:space="preserve">6       0.8          100 0.172       0.0989        0.115  0.205         0.390 </w:t>
      </w:r>
      <w:r>
        <w:br/>
      </w:r>
      <w:r>
        <w:rPr>
          <w:rStyle w:val="VerbatimChar"/>
        </w:rPr>
        <w:t xml:space="preserve"># ℹ 1 more variable: CI_Coverage &lt;dbl&gt;</w:t>
      </w:r>
    </w:p>
    <w:tbl>
      <w:tblPr>
        <w:tblStyle w:val="Table"/>
        <w:tblW w:type="pct" w:w="5000"/>
        <w:tblLayout w:type="fixed"/>
        <w:tblLook w:firstRow="0" w:lastRow="0" w:firstColumn="0" w:lastColumn="0" w:noHBand="0" w:noVBand="0" w:val="0000"/>
      </w:tblPr>
      <w:tblGrid>
        <w:gridCol w:w="7920"/>
      </w:tblGrid>
      <w:tr>
        <w:tc>
          <w:tcPr/>
          <w:bookmarkStart w:id="173" w:name="fig-empirical-se"/>
          <w:p>
            <w:pPr>
              <w:pStyle w:val="Compact"/>
              <w:jc w:val="center"/>
            </w:pPr>
            <w:r>
              <w:drawing>
                <wp:inline>
                  <wp:extent cx="4620126" cy="3696101"/>
                  <wp:effectExtent b="0" l="0" r="0" t="0"/>
                  <wp:docPr descr="" title="" id="171" name="Picture"/>
                  <a:graphic>
                    <a:graphicData uri="http://schemas.openxmlformats.org/drawingml/2006/picture">
                      <pic:pic>
                        <pic:nvPicPr>
                          <pic:cNvPr descr="methodology_files/figure-docx/fig-empirical-se-1.png" id="172" name="Picture"/>
                          <pic:cNvPicPr>
                            <a:picLocks noChangeArrowheads="1" noChangeAspect="1"/>
                          </pic:cNvPicPr>
                        </pic:nvPicPr>
                        <pic:blipFill>
                          <a:blip r:embed="rId17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Empirical standard error of the incidence estimates, by true rate.</w:t>
            </w:r>
          </w:p>
          <w:bookmarkEnd w:id="173"/>
        </w:tc>
      </w:tr>
    </w:tbl>
    <w:bookmarkEnd w:id="174"/>
    <w:bookmarkStart w:id="179" w:name="X047cffc7758e27a01cb5430c10b991b39f63029"/>
    <w:p>
      <w:pPr>
        <w:pStyle w:val="Heading2"/>
      </w:pPr>
      <w:r>
        <w:t xml:space="preserve">8.6 A caveat: renewing parameters at each infection</w:t>
      </w:r>
    </w:p>
    <w:p>
      <w:pPr>
        <w:pStyle w:val="FirstParagraph"/>
      </w:pPr>
      <w:r>
        <w:t xml:space="preserve">Everything above sets</w:t>
      </w:r>
      <w:r>
        <w:t xml:space="preserve"> </w:t>
      </w:r>
      <w:r>
        <w:rPr>
          <w:rStyle w:val="VerbatimChar"/>
        </w:rPr>
        <w:t xml:space="preserve">renew_params = FALSE</w:t>
      </w:r>
      <w:r>
        <w:t xml:space="preserve">, matching what the estimation</w:t>
      </w:r>
      <w:r>
        <w:t xml:space="preserve"> </w:t>
      </w:r>
      <w:r>
        <w:t xml:space="preserve">method assumes. Setting it to</w:t>
      </w:r>
      <w:r>
        <w:t xml:space="preserve"> </w:t>
      </w:r>
      <w:r>
        <w:rPr>
          <w:rStyle w:val="VerbatimChar"/>
        </w:rPr>
        <w:t xml:space="preserve">TRUE</w:t>
      </w:r>
      <w:r>
        <w:t xml:space="preserve"> </w:t>
      </w:r>
      <w:r>
        <w:t xml:space="preserve">— drawing fresh seroresponse</w:t>
      </w:r>
      <w:r>
        <w:t xml:space="preserve"> </w:t>
      </w:r>
      <w:r>
        <w:t xml:space="preserve">parameters at every infection — is more realistic, and is</w:t>
      </w:r>
      <w:r>
        <w:t xml:space="preserve"> </w:t>
      </w:r>
      <w:r>
        <w:rPr>
          <w:b/>
          <w:bCs/>
        </w:rPr>
        <w:t xml:space="preserve">not</w:t>
      </w:r>
      <w:r>
        <w:t xml:space="preserve"> </w:t>
      </w:r>
      <w:r>
        <w:t xml:space="preserve">accounted</w:t>
      </w:r>
      <w:r>
        <w:t xml:space="preserve"> </w:t>
      </w:r>
      <w:r>
        <w:t xml:space="preserve">for by the current method, so estimates can be biased in high-incidence</w:t>
      </w:r>
      <w:r>
        <w:t xml:space="preserve"> </w:t>
      </w:r>
      <w:r>
        <w:t xml:space="preserve">populations:</w:t>
      </w:r>
    </w:p>
    <w:tbl>
      <w:tblPr>
        <w:tblStyle w:val="Table"/>
        <w:tblW w:type="pct" w:w="5000"/>
        <w:tblLayout w:type="fixed"/>
        <w:tblLook w:firstRow="0" w:lastRow="0" w:firstColumn="0" w:lastColumn="0" w:noHBand="0" w:noVBand="0" w:val="0000"/>
      </w:tblPr>
      <w:tblGrid>
        <w:gridCol w:w="7920"/>
      </w:tblGrid>
      <w:tr>
        <w:tc>
          <w:tcPr/>
          <w:bookmarkStart w:id="178" w:name="fig-sim-recovery-renew"/>
          <w:p>
            <w:pPr>
              <w:pStyle w:val="Compact"/>
              <w:jc w:val="center"/>
            </w:pPr>
            <w:r>
              <w:drawing>
                <wp:inline>
                  <wp:extent cx="4620126" cy="3696101"/>
                  <wp:effectExtent b="0" l="0" r="0" t="0"/>
                  <wp:docPr descr="" title="" id="176" name="Picture"/>
                  <a:graphic>
                    <a:graphicData uri="http://schemas.openxmlformats.org/drawingml/2006/picture">
                      <pic:pic>
                        <pic:nvPicPr>
                          <pic:cNvPr descr="methodology_files/figure-docx/fig-sim-recovery-renew-1.png" id="177" name="Picture"/>
                          <pic:cNvPicPr>
                            <a:picLocks noChangeArrowheads="1" noChangeAspect="1"/>
                          </pic:cNvPicPr>
                        </pic:nvPicPr>
                        <pic:blipFill>
                          <a:blip r:embed="rId17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Recovery of the true incidence rate when seroresponse parameters are renewed at each infection. Compare with</w:t>
            </w:r>
            <w:r>
              <w:t xml:space="preserve"> </w:t>
            </w:r>
            <w:hyperlink w:anchor="fig-sim-recovery">
              <w:r>
                <w:rPr>
                  <w:rStyle w:val="Hyperlink"/>
                </w:rPr>
                <w:t xml:space="preserve">Figure 12</w:t>
              </w:r>
            </w:hyperlink>
            <w:r>
              <w:t xml:space="preserve">.</w:t>
            </w:r>
          </w:p>
          <w:bookmarkEnd w:id="178"/>
        </w:tc>
      </w:tr>
    </w:tbl>
    <w:bookmarkEnd w:id="179"/>
    <w:bookmarkEnd w:id="180"/>
    <w:bookmarkStart w:id="185" w:name="ongoing-and-future-work"/>
    <w:p>
      <w:pPr>
        <w:pStyle w:val="Heading1"/>
      </w:pPr>
      <w:r>
        <w:t xml:space="preserve">9. Ongoing and future work</w:t>
      </w:r>
    </w:p>
    <w:bookmarkStart w:id="182" w:name="in-progress-work"/>
    <w:p>
      <w:pPr>
        <w:pStyle w:val="Heading2"/>
      </w:pPr>
      <w:r>
        <w:t xml:space="preserve">9.1 In-progress work</w:t>
      </w:r>
    </w:p>
    <w:p>
      <w:pPr>
        <w:numPr>
          <w:ilvl w:val="0"/>
          <w:numId w:val="1044"/>
        </w:numPr>
      </w:pPr>
      <w:r>
        <w:t xml:space="preserve">Extending and improving existing Shiny apps for these methods</w:t>
      </w:r>
      <w:r>
        <w:t xml:space="preserve"> </w:t>
      </w:r>
      <w:r>
        <w:t xml:space="preserve">(e.g., the</w:t>
      </w:r>
      <w:r>
        <w:t xml:space="preserve"> </w:t>
      </w:r>
      <w:hyperlink r:id="rId142">
        <w:r>
          <w:rPr>
            <w:rStyle w:val="Hyperlink"/>
          </w:rPr>
          <w:t xml:space="preserve">serocalculator Shiny app</w:t>
        </w:r>
      </w:hyperlink>
      <w:r>
        <w:t xml:space="preserve">,</w:t>
      </w:r>
      <w:r>
        <w:t xml:space="preserve"> </w:t>
      </w:r>
      <w:hyperlink r:id="rId181">
        <w:r>
          <w:rPr>
            <w:rStyle w:val="Hyperlink"/>
          </w:rPr>
          <w:t xml:space="preserve">source</w:t>
        </w:r>
      </w:hyperlink>
      <w:r>
        <w:t xml:space="preserve">)</w:t>
      </w:r>
    </w:p>
    <w:p>
      <w:pPr>
        <w:numPr>
          <w:ilvl w:val="0"/>
          <w:numId w:val="1044"/>
        </w:numPr>
      </w:pPr>
      <w:r>
        <w:t xml:space="preserve">Multivariate modeling of biomarkers (relaxing conditional independence)</w:t>
      </w:r>
    </w:p>
    <w:p>
      <w:pPr>
        <w:numPr>
          <w:ilvl w:val="0"/>
          <w:numId w:val="1044"/>
        </w:numPr>
      </w:pPr>
      <w:r>
        <w:t xml:space="preserve">A graphical (Shiny) app for</w:t>
      </w:r>
      <w:r>
        <w:t xml:space="preserve"> </w:t>
      </w:r>
      <w:r>
        <w:rPr>
          <w:rStyle w:val="VerbatimChar"/>
        </w:rPr>
        <w:t xml:space="preserve">serodynamics</w:t>
      </w:r>
    </w:p>
    <w:p>
      <w:pPr>
        <w:numPr>
          <w:ilvl w:val="0"/>
          <w:numId w:val="1044"/>
        </w:numPr>
      </w:pPr>
      <w:r>
        <w:t xml:space="preserve">Modeling time-varying incidence rates</w:t>
      </w:r>
    </w:p>
    <w:p>
      <w:pPr>
        <w:numPr>
          <w:ilvl w:val="0"/>
          <w:numId w:val="1044"/>
        </w:numPr>
      </w:pPr>
      <w:r>
        <w:t xml:space="preserve">Accounting for re-exposure</w:t>
      </w:r>
    </w:p>
    <w:p>
      <w:pPr>
        <w:numPr>
          <w:ilvl w:val="0"/>
          <w:numId w:val="1044"/>
        </w:numPr>
      </w:pPr>
      <w:r>
        <w:t xml:space="preserve">Accounting for latent immunocompromised subpopulations</w:t>
      </w:r>
    </w:p>
    <w:p>
      <w:pPr>
        <w:numPr>
          <w:ilvl w:val="0"/>
          <w:numId w:val="1044"/>
        </w:numPr>
      </w:pPr>
      <w:r>
        <w:t xml:space="preserve">Calibrating to population demographics</w:t>
      </w:r>
    </w:p>
    <w:bookmarkEnd w:id="182"/>
    <w:bookmarkStart w:id="184"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83">
        <w:r>
          <w:rPr>
            <w:rStyle w:val="Hyperlink"/>
          </w:rPr>
          <w:t xml:space="preserve">UCD-SERG/shigella#13</w:t>
        </w:r>
      </w:hyperlink>
      <w:r>
        <w:t xml:space="preserve">).</w:t>
      </w:r>
    </w:p>
    <w:bookmarkEnd w:id="184"/>
    <w:bookmarkEnd w:id="185"/>
    <w:bookmarkStart w:id="198" w:name="references"/>
    <w:p>
      <w:pPr>
        <w:pStyle w:val="Heading1"/>
      </w:pPr>
      <w:r>
        <w:t xml:space="preserve">References</w:t>
      </w:r>
    </w:p>
    <w:bookmarkStart w:id="197" w:name="refs"/>
    <w:bookmarkStart w:id="187"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6">
        <w:r>
          <w:rPr>
            <w:rStyle w:val="Hyperlink"/>
          </w:rPr>
          <w:t xml:space="preserve">https://doi.org/10.1016/S2666-5247(22)00114-8</w:t>
        </w:r>
      </w:hyperlink>
      <w:r>
        <w:t xml:space="preserve">.</w:t>
      </w:r>
    </w:p>
    <w:bookmarkEnd w:id="187"/>
    <w:bookmarkStart w:id="189"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88">
        <w:r>
          <w:rPr>
            <w:rStyle w:val="Hyperlink"/>
          </w:rPr>
          <w:t xml:space="preserve">https://doi.org/10.1016/j.epidem.2024.100806</w:t>
        </w:r>
      </w:hyperlink>
      <w:r>
        <w:t xml:space="preserve">.</w:t>
      </w:r>
    </w:p>
    <w:bookmarkEnd w:id="189"/>
    <w:bookmarkStart w:id="191"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90">
        <w:r>
          <w:rPr>
            <w:rStyle w:val="Hyperlink"/>
          </w:rPr>
          <w:t xml:space="preserve">https://doi.org/10.1159/000286345</w:t>
        </w:r>
      </w:hyperlink>
      <w:r>
        <w:t xml:space="preserve">.</w:t>
      </w:r>
    </w:p>
    <w:bookmarkEnd w:id="191"/>
    <w:bookmarkStart w:id="193"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92">
        <w:r>
          <w:rPr>
            <w:rStyle w:val="Hyperlink"/>
          </w:rPr>
          <w:t xml:space="preserve">https://doi.org/10.1002/sim.8578</w:t>
        </w:r>
      </w:hyperlink>
      <w:r>
        <w:t xml:space="preserve">.</w:t>
      </w:r>
    </w:p>
    <w:bookmarkEnd w:id="193"/>
    <w:bookmarkStart w:id="195"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94">
        <w:r>
          <w:rPr>
            <w:rStyle w:val="Hyperlink"/>
          </w:rPr>
          <w:t xml:space="preserve">https://doi.org/10.1016/j.epidem.2016.04.001</w:t>
        </w:r>
      </w:hyperlink>
      <w:r>
        <w:t xml:space="preserve">.</w:t>
      </w:r>
    </w:p>
    <w:bookmarkEnd w:id="195"/>
    <w:bookmarkStart w:id="196"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96"/>
    <w:bookmarkEnd w:id="197"/>
    <w:bookmarkEnd w:id="1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87" Target="media/rId87.svg" /><Relationship Type="http://schemas.openxmlformats.org/officeDocument/2006/relationships/image" Id="rId119" Target="media/rId119.png" /><Relationship Type="http://schemas.openxmlformats.org/officeDocument/2006/relationships/image" Id="rId143" Target="media/rId143.png" /><Relationship Type="http://schemas.openxmlformats.org/officeDocument/2006/relationships/image" Id="rId155" Target="media/rId155.png" /><Relationship Type="http://schemas.openxmlformats.org/officeDocument/2006/relationships/image" Id="rId95" Target="media/rId95.png" /><Relationship Type="http://schemas.openxmlformats.org/officeDocument/2006/relationships/image" Id="rId170" Target="media/rId170.png" /><Relationship Type="http://schemas.openxmlformats.org/officeDocument/2006/relationships/image" Id="rId136" Target="media/rId136.png" /><Relationship Type="http://schemas.openxmlformats.org/officeDocument/2006/relationships/image" Id="rId52" Target="media/rId52.png" /><Relationship Type="http://schemas.openxmlformats.org/officeDocument/2006/relationships/image" Id="rId101" Target="media/rId101.png" /><Relationship Type="http://schemas.openxmlformats.org/officeDocument/2006/relationships/image" Id="rId161" Target="media/rId161.png" /><Relationship Type="http://schemas.openxmlformats.org/officeDocument/2006/relationships/image" Id="rId82" Target="media/rId82.png" /><Relationship Type="http://schemas.openxmlformats.org/officeDocument/2006/relationships/image" Id="rId131" Target="media/rId131.png" /><Relationship Type="http://schemas.openxmlformats.org/officeDocument/2006/relationships/image" Id="rId148" Target="media/rId148.png" /><Relationship Type="http://schemas.openxmlformats.org/officeDocument/2006/relationships/image" Id="rId166" Target="media/rId166.png" /><Relationship Type="http://schemas.openxmlformats.org/officeDocument/2006/relationships/image" Id="rId175" Target="media/rId175.png" /><Relationship Type="http://schemas.openxmlformats.org/officeDocument/2006/relationships/image" Id="rId29" Target="media/rId29.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92" Target="https://doi.org/10.1002/sim.8578" TargetMode="External" /><Relationship Type="http://schemas.openxmlformats.org/officeDocument/2006/relationships/hyperlink" Id="rId186" Target="https://doi.org/10.1016/S2666-5247(22)00114-8" TargetMode="External" /><Relationship Type="http://schemas.openxmlformats.org/officeDocument/2006/relationships/hyperlink" Id="rId194" Target="https://doi.org/10.1016/j.epidem.2016.04.001" TargetMode="External" /><Relationship Type="http://schemas.openxmlformats.org/officeDocument/2006/relationships/hyperlink" Id="rId188" Target="https://doi.org/10.1016/j.epidem.2024.100806" TargetMode="External" /><Relationship Type="http://schemas.openxmlformats.org/officeDocument/2006/relationships/hyperlink" Id="rId190" Target="https://doi.org/10.1159/000286345" TargetMode="External" /><Relationship Type="http://schemas.openxmlformats.org/officeDocument/2006/relationships/hyperlink" Id="rId127" Target="https://github.com/UCD-SERG/serocalculator" TargetMode="External" /><Relationship Type="http://schemas.openxmlformats.org/officeDocument/2006/relationships/hyperlink" Id="rId160" Target="https://github.com/UCD-SERG/serocalculator/issues/629" TargetMode="External" /><Relationship Type="http://schemas.openxmlformats.org/officeDocument/2006/relationships/hyperlink" Id="rId100" Target="https://github.com/UCD-SERG/serocalculator/issues/637" TargetMode="External" /><Relationship Type="http://schemas.openxmlformats.org/officeDocument/2006/relationships/hyperlink" Id="rId116"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83" Target="https://github.com/UCD-SERG/shigella/pull/13" TargetMode="External" /><Relationship Type="http://schemas.openxmlformats.org/officeDocument/2006/relationships/hyperlink" Id="rId181"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42"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92" Target="https://doi.org/10.1002/sim.8578" TargetMode="External" /><Relationship Type="http://schemas.openxmlformats.org/officeDocument/2006/relationships/hyperlink" Id="rId186" Target="https://doi.org/10.1016/S2666-5247(22)00114-8" TargetMode="External" /><Relationship Type="http://schemas.openxmlformats.org/officeDocument/2006/relationships/hyperlink" Id="rId194" Target="https://doi.org/10.1016/j.epidem.2016.04.001" TargetMode="External" /><Relationship Type="http://schemas.openxmlformats.org/officeDocument/2006/relationships/hyperlink" Id="rId188" Target="https://doi.org/10.1016/j.epidem.2024.100806" TargetMode="External" /><Relationship Type="http://schemas.openxmlformats.org/officeDocument/2006/relationships/hyperlink" Id="rId190" Target="https://doi.org/10.1159/000286345" TargetMode="External" /><Relationship Type="http://schemas.openxmlformats.org/officeDocument/2006/relationships/hyperlink" Id="rId127" Target="https://github.com/UCD-SERG/serocalculator" TargetMode="External" /><Relationship Type="http://schemas.openxmlformats.org/officeDocument/2006/relationships/hyperlink" Id="rId160" Target="https://github.com/UCD-SERG/serocalculator/issues/629" TargetMode="External" /><Relationship Type="http://schemas.openxmlformats.org/officeDocument/2006/relationships/hyperlink" Id="rId100" Target="https://github.com/UCD-SERG/serocalculator/issues/637" TargetMode="External" /><Relationship Type="http://schemas.openxmlformats.org/officeDocument/2006/relationships/hyperlink" Id="rId116"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83" Target="https://github.com/UCD-SERG/shigella/pull/13" TargetMode="External" /><Relationship Type="http://schemas.openxmlformats.org/officeDocument/2006/relationships/hyperlink" Id="rId181"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42"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2026-08-07T19:58:31Z</dcterms:created>
  <dcterms:modified xsi:type="dcterms:W3CDTF">2026-08-07T19:58:31Z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2026-08-07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