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8.png" ContentType="image/png"/>
  <Override PartName="/word/media/rId132.png" ContentType="image/png"/>
  <Override PartName="/word/media/rId109.svg" ContentType="image/svg+xml"/>
  <Override PartName="/word/media/rId141.png" ContentType="image/png"/>
  <Override PartName="/word/media/rId165.png" ContentType="image/png"/>
  <Override PartName="/word/media/rId177.png" ContentType="image/png"/>
  <Override PartName="/word/media/rId117.png" ContentType="image/png"/>
  <Override PartName="/word/media/rId192.png" ContentType="image/png"/>
  <Override PartName="/word/media/rId158.png" ContentType="image/png"/>
  <Override PartName="/word/media/rId59.png" ContentType="image/png"/>
  <Override PartName="/word/media/rId123.png" ContentType="image/png"/>
  <Override PartName="/word/media/rId183.png" ContentType="image/png"/>
  <Override PartName="/word/media/rId104.png" ContentType="image/png"/>
  <Override PartName="/word/media/rId153.png" ContentType="image/png"/>
  <Override PartName="/word/media/rId170.png" ContentType="image/png"/>
  <Override PartName="/word/media/rId188.png" ContentType="image/png"/>
  <Override PartName="/word/media/rId197.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8"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 —</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90" w:name="multi-way-clustering"/>
    <w:p>
      <w:pPr>
        <w:pStyle w:val="Heading3"/>
      </w:pPr>
      <w:r>
        <w:t xml:space="preserve">4.16.3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(Multi-way clustering-robust variance)</w:t>
            </w:r>
          </w:p>
          <w:bookmarkStart w:id="88" w:name="def-multiway-clustering-variance"/>
          <w:p>
            <w:pPr>
              <w:pStyle w:val="BodyText"/>
            </w:pPr>
            <w:r>
              <w:rPr>
                <w:b/>
                <w:bCs/>
              </w:rPr>
              <w:t xml:space="preserve">Definition 8 (Multi-way clustering-robust variance)</w:t>
            </w:r>
            <w:r>
              <w:t xml:space="preserve"> </w:t>
            </w: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w:t>
            </w:r>
            <w:hyperlink w:anchor="def-cluster-robust-variance">
              <w:r>
                <w:rPr>
                  <w:rStyle w:val="Hyperlink"/>
                </w:rPr>
                <w:t xml:space="preserve">Definition 7</w:t>
              </w:r>
            </w:hyperlink>
            <w:r>
              <w:t xml:space="preser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bookmarkEnd w:id="88"/>
        </w:tc>
      </w:tr>
    </w:tbl>
    <w:p>
      <w:pPr>
        <w:pStyle w:val="FirstParagraph"/>
      </w:pP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(Two cluster variables)</w:t>
            </w:r>
          </w:p>
        </w:tc>
      </w:tr>
      <w:tr>
        <w:trPr>
          <w:cantSplit/>
        </w:trPr>
        <w:tc>
          <w:tcPr>
            <w:tcMar>
              <w:top w:w="108" w:type="dxa"/>
              <w:bottom w:w="108" w:type="dxa"/>
            </w:tcMar>
          </w:tcPr>
          <w:bookmarkStart w:id="89" w:name="exm-two-way-clustering"/>
          <w:p>
            <w:pPr>
              <w:pStyle w:val="BodyText"/>
            </w:pPr>
            <w:r>
              <w:rPr>
                <w:b/>
                <w:bCs/>
              </w:rPr>
              <w:t xml:space="preserve">Example 3 (Two cluster variables)</w:t>
            </w:r>
            <w:r>
              <w:t xml:space="preserve"> </w:t>
            </w:r>
            <w:r>
              <w:t xml:space="preserve">For two cluster variables (</w:t>
            </w:r>
            <m:oMath>
              <m:r>
                <m:t>p</m:t>
              </m:r>
              <m:r>
                <m:rPr>
                  <m:sty m:val="p"/>
                </m:rPr>
                <m:t>=</m:t>
              </m:r>
              <m:r>
                <m:t>2</m:t>
              </m:r>
            </m:oMath>
            <w:r>
              <w:t xml:space="preserve">),</w:t>
            </w:r>
            <w:r>
              <w:t xml:space="preserve"> </w:t>
            </w:r>
            <w:hyperlink w:anchor="def-multiway-clustering-variance">
              <w:r>
                <w:rPr>
                  <w:rStyle w:val="Hyperlink"/>
                </w:rPr>
                <w:t xml:space="preserve">Definition 8</w:t>
              </w:r>
            </w:hyperlink>
            <w:r>
              <w:t xml:space="preserve"> </w:t>
            </w:r>
            <w:r>
              <w:t xml:space="preserve">reduces to the familiar</w:t>
            </w:r>
            <w:r>
              <w:t xml:space="preserve"> </w:t>
            </w:r>
            <w:r>
              <w:t xml:space="preserve">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p>
          <w:bookmarkEnd w:id="89"/>
          <w:p/>
        </w:tc>
      </w:tr>
    </w:tbl>
    <w:bookmarkEnd w:id="90"/>
    <w:bookmarkStart w:id="93" w:name="small-sample-correction"/>
    <w:p>
      <w:pPr>
        <w:pStyle w:val="Heading3"/>
      </w:pPr>
      <w:r>
        <w:t xml:space="preserve">4.16.4 Small-sample correction</w:t>
      </w:r>
    </w:p>
    <w:p>
      <w:pPr>
        <w:pStyle w:val="FirstParagraph"/>
      </w:pPr>
      <w:r>
        <w:t xml:space="preserve">Two adjustments refine the one-way variance terms</w:t>
      </w:r>
      <w:r>
        <w:t xml:space="preserve"> </w:t>
      </w:r>
      <m:oMath>
        <m:sSub>
          <m:e>
            <m:r>
              <m:t>V</m:t>
            </m:r>
          </m:e>
          <m:sub>
            <m:r>
              <m:t>S</m:t>
            </m:r>
          </m:sub>
        </m:sSub>
      </m:oMath>
      <w:r>
        <w:t xml:space="preserve"> </w:t>
      </w:r>
      <w:r>
        <w:t xml:space="preserve">that feed</w:t>
      </w:r>
      <w:r>
        <w:t xml:space="preserve"> </w:t>
      </w:r>
      <w:hyperlink w:anchor="def-multiway-clustering-variance">
        <w:r>
          <w:rPr>
            <w:rStyle w:val="Hyperlink"/>
          </w:rPr>
          <w:t xml:space="preserve">Definition 8</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(Finite-difference score approximation)</w:t>
            </w:r>
          </w:p>
          <w:bookmarkStart w:id="91" w:name="def-finite-difference-score"/>
          <w:p>
            <w:pPr>
              <w:pStyle w:val="BodyText"/>
            </w:pPr>
            <w:r>
              <w:rPr>
                <w:b/>
                <w:bCs/>
              </w:rPr>
              <w:t xml:space="preserve">Definition 9 (Finite-difference score approximation)</w:t>
            </w:r>
            <w:r>
              <w:t xml:space="preserve"> </w:t>
            </w: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w:t>
            </w:r>
            <w:hyperlink w:anchor="def-cluster-robust-variance">
              <w:r>
                <w:rPr>
                  <w:rStyle w:val="Hyperlink"/>
                </w:rPr>
                <w:t xml:space="preserve">Definition 7</w:t>
              </w:r>
            </w:hyperlink>
            <w:r>
              <w:t xml:space="preserve">) by a forward finite difference of the</w:t>
            </w:r>
            <w:r>
              <w:t xml:space="preserve"> </w:t>
            </w:r>
            <w:r>
              <w:t xml:space="preserve">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bookmarkEnd w:id="9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(CR1 small-sample correction)</w:t>
            </w:r>
          </w:p>
          <w:bookmarkStart w:id="92" w:name="def-cr1-correction"/>
          <w:p>
            <w:pPr>
              <w:pStyle w:val="BodyText"/>
            </w:pPr>
            <w:r>
              <w:rPr>
                <w:b/>
                <w:bCs/>
              </w:rPr>
              <w:t xml:space="preserve">Definition 10 (CR1 small-sample correction)</w:t>
            </w:r>
            <w:r>
              <w:t xml:space="preserve"> </w:t>
            </w: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w:t>
            </w:r>
            <w:hyperlink w:anchor="def-multiway-clustering-variance">
              <w:r>
                <w:rPr>
                  <w:rStyle w:val="Hyperlink"/>
                </w:rPr>
                <w:t xml:space="preserve">Definition 8</w:t>
              </w:r>
            </w:hyperlink>
            <w:r>
              <w:t xml:space="preserve">)</w:t>
            </w:r>
            <w:r>
              <w:t xml:space="preserve"> </w:t>
            </w:r>
            <w:r>
              <w:t xml:space="preserve">is inflated by the usual 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92"/>
        </w:tc>
      </w:tr>
    </w:tbl>
    <w:bookmarkEnd w:id="93"/>
    <w:bookmarkStart w:id="95" w:name="safeguards-against-invalid-variance"/>
    <w:p>
      <w:pPr>
        <w:pStyle w:val="Heading3"/>
      </w:pPr>
      <w:r>
        <w:t xml:space="preserve">4.16.5 Safeguards against invalid 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(Flooring and fallback for the final variance)</w:t>
            </w:r>
          </w:p>
          <w:bookmarkStart w:id="94" w:name="def-variance-safeguards"/>
          <w:p>
            <w:pPr>
              <w:pStyle w:val="BodyText"/>
            </w:pPr>
            <w:r>
              <w:rPr>
                <w:b/>
                <w:bCs/>
              </w:rPr>
              <w:t xml:space="preserve">Definition 11 (Flooring and fallback for the final variance)</w:t>
            </w:r>
            <w:r>
              <w:t xml:space="preserve"> </w:t>
            </w:r>
            <w:r>
              <w:t xml:space="preserve">The inclusion-exclusion sum</w:t>
            </w:r>
            <w:r>
              <w:t xml:space="preserve"> </w:t>
            </w:r>
            <m:oMath>
              <m:sSub>
                <m:e>
                  <m:r>
                    <m:t>V</m:t>
                  </m:r>
                </m:e>
                <m:sub>
                  <m:r>
                    <m:rPr>
                      <m:nor/>
                      <m:sty m:val="p"/>
                    </m:rPr>
                    <m:t>multiway</m:t>
                  </m:r>
                </m:sub>
              </m:sSub>
            </m:oMath>
            <w:r>
              <w:t xml:space="preserve"> </w:t>
            </w:r>
            <w:r>
              <w:t xml:space="preserve">(</w:t>
            </w:r>
            <w:hyperlink w:anchor="def-multiway-clustering-variance">
              <w:r>
                <w:rPr>
                  <w:rStyle w:val="Hyperlink"/>
                </w:rPr>
                <w:t xml:space="preserve">Definition 8</w:t>
              </w:r>
            </w:hyperlink>
            <w:r>
              <w:t xml:space="preserve">)</w:t>
            </w:r>
            <w:r>
              <w:t xml:space="preserve"> </w:t>
            </w:r>
            <w:r>
              <w:t xml:space="preserve">is not guaranteed to be non-negative.</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94"/>
        </w:tc>
      </w:tr>
    </w:tbl>
    <w:p>
      <w:pPr>
        <w:pStyle w:val="BodyText"/>
      </w:pPr>
      <w:r>
        <w:t xml:space="preserve">The inclusion-exclusion sum’s occasional negativity is a documented</w:t>
      </w:r>
      <w:r>
        <w:t xml:space="preserve"> </w:t>
      </w:r>
      <w:r>
        <w:t xml:space="preserve">property of the Cameron-Gelbach-Miller estimator, not a bug.</w:t>
      </w:r>
    </w:p>
    <w:bookmarkEnd w:id="95"/>
    <w:bookmarkStart w:id="96" w:name="implementation-in-serocalculator"/>
    <w:p>
      <w:pPr>
        <w:pStyle w:val="Heading3"/>
      </w:pPr>
      <w:r>
        <w:t xml:space="preserve">4.16.6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96"/>
    <w:bookmarkStart w:id="97" w:name="effect-on-results"/>
    <w:p>
      <w:pPr>
        <w:pStyle w:val="Heading3"/>
      </w:pPr>
      <w:r>
        <w:t xml:space="preserve">4.16.7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7"/>
    <w:bookmarkEnd w:id="98"/>
    <w:bookmarkEnd w:id="99"/>
    <w:bookmarkStart w:id="13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10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100"/>
    <w:bookmarkStart w:id="10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101"/>
    <w:bookmarkStart w:id="10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102"/>
    <w:bookmarkStart w:id="10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103"/>
    <w:bookmarkStart w:id="11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7" w:name="fig-response-graph"/>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response-graph-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10" name="Picture"/>
            <a:graphic>
              <a:graphicData uri="http://schemas.openxmlformats.org/drawingml/2006/picture">
                <pic:pic>
                  <pic:nvPicPr>
                    <pic:cNvPr descr="../man/figures/qr_akm2.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12"/>
    <w:bookmarkStart w:id="11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13"/>
    <w:bookmarkStart w:id="11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14"/>
    <w:bookmarkStart w:id="11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15"/>
    <w:bookmarkStart w:id="11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16"/>
    <w:bookmarkStart w:id="12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20" w:name="fig-curve-posterior"/>
          <w:p>
            <w:pPr>
              <w:pStyle w:val="Compact"/>
              <w:jc w:val="center"/>
            </w:pPr>
            <w:r>
              <w:drawing>
                <wp:inline>
                  <wp:extent cx="4620126" cy="3696101"/>
                  <wp:effectExtent b="0" l="0" r="0" t="0"/>
                  <wp:docPr descr="" title="" id="118" name="Picture"/>
                  <a:graphic>
                    <a:graphicData uri="http://schemas.openxmlformats.org/drawingml/2006/picture">
                      <pic:pic>
                        <pic:nvPicPr>
                          <pic:cNvPr descr="methodology_files/figure-docx/fig-curve-posterior-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2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21"/>
    <w:bookmarkStart w:id="12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2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loglik"/>
          <w:p>
            <w:pPr>
              <w:pStyle w:val="Compact"/>
              <w:jc w:val="center"/>
            </w:pPr>
            <w:r>
              <w:drawing>
                <wp:inline>
                  <wp:extent cx="4620126" cy="3696101"/>
                  <wp:effectExtent b="0" l="0" r="0" t="0"/>
                  <wp:docPr descr="" title="" id="124" name="Picture"/>
                  <a:graphic>
                    <a:graphicData uri="http://schemas.openxmlformats.org/drawingml/2006/picture">
                      <pic:pic>
                        <pic:nvPicPr>
                          <pic:cNvPr descr="methodology_files/figure-docx/fig-loglik-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26"/>
        </w:tc>
      </w:tr>
    </w:tbl>
    <w:bookmarkEnd w:id="127"/>
    <w:bookmarkStart w:id="13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9" name="Picture"/>
            <a:graphic>
              <a:graphicData uri="http://schemas.openxmlformats.org/drawingml/2006/picture">
                <pic:pic>
                  <pic:nvPicPr>
                    <pic:cNvPr descr="../man/figures/kinetics-variation-1.png" id="130" name="Picture"/>
                    <pic:cNvPicPr>
                      <a:picLocks noChangeArrowheads="1" noChangeAspect="1"/>
                    </pic:cNvPicPr>
                  </pic:nvPicPr>
                  <pic:blipFill>
                    <a:blip r:embed="rId12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31"/>
    <w:bookmarkStart w:id="13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33" name="Picture"/>
            <a:graphic>
              <a:graphicData uri="http://schemas.openxmlformats.org/drawingml/2006/picture">
                <pic:pic>
                  <pic:nvPicPr>
                    <pic:cNvPr descr="../man/figures/kinetics-variation-2.png" id="134" name="Picture"/>
                    <pic:cNvPicPr>
                      <a:picLocks noChangeArrowheads="1" noChangeAspect="1"/>
                    </pic:cNvPicPr>
                  </pic:nvPicPr>
                  <pic:blipFill>
                    <a:blip r:embed="rId13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35"/>
    <w:bookmarkEnd w:id="136"/>
    <w:bookmarkStart w:id="148" w:name="estimating-the-curves-with-serodynamics"/>
    <w:p>
      <w:pPr>
        <w:pStyle w:val="Heading1"/>
      </w:pPr>
      <w:r>
        <w:t xml:space="preserve">6. Estimating the curves with</w:t>
      </w:r>
      <w:r>
        <w:t xml:space="preserve"> </w:t>
      </w:r>
      <w:r>
        <w:rPr>
          <w:rStyle w:val="VerbatimChar"/>
        </w:rPr>
        <w:t xml:space="preserve">serodynamics</w:t>
      </w:r>
    </w:p>
    <w:bookmarkStart w:id="13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7"/>
    <w:bookmarkStart w:id="13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9"/>
    <w:bookmarkStart w:id="14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40"/>
    <w:bookmarkStart w:id="14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42" name="Picture"/>
            <a:graphic>
              <a:graphicData uri="http://schemas.openxmlformats.org/drawingml/2006/picture">
                <pic:pic>
                  <pic:nvPicPr>
                    <pic:cNvPr descr="../man/figures/serodynamics-cached-fit.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44"/>
    <w:bookmarkStart w:id="14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45"/>
    <w:bookmarkStart w:id="14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46"/>
    <w:bookmarkStart w:id="14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7"/>
    <w:bookmarkEnd w:id="148"/>
    <w:bookmarkStart w:id="169" w:name="using-serocalculator"/>
    <w:p>
      <w:pPr>
        <w:pStyle w:val="Heading1"/>
      </w:pPr>
      <w:r>
        <w:t xml:space="preserve">7. Using</w:t>
      </w:r>
      <w:r>
        <w:t xml:space="preserve"> </w:t>
      </w:r>
      <w:r>
        <w:rPr>
          <w:rStyle w:val="VerbatimChar"/>
        </w:rPr>
        <w:t xml:space="preserve">serocalculator</w:t>
      </w:r>
    </w:p>
    <w:bookmarkStart w:id="15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50"/>
    <w:bookmarkStart w:id="15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51"/>
    <w:bookmarkStart w:id="15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52"/>
    <w:bookmarkStart w:id="15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6" w:name="fig-sim-distribution"/>
          <w:p>
            <w:pPr>
              <w:pStyle w:val="Compact"/>
              <w:jc w:val="center"/>
            </w:pPr>
            <w:r>
              <w:drawing>
                <wp:inline>
                  <wp:extent cx="4620126" cy="3696101"/>
                  <wp:effectExtent b="0" l="0" r="0" t="0"/>
                  <wp:docPr descr="" title="" id="154" name="Picture"/>
                  <a:graphic>
                    <a:graphicData uri="http://schemas.openxmlformats.org/drawingml/2006/picture">
                      <pic:pic>
                        <pic:nvPicPr>
                          <pic:cNvPr descr="methodology_files/figure-docx/fig-sim-distribution-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6"/>
        </w:tc>
      </w:tr>
    </w:tbl>
    <w:bookmarkEnd w:id="157"/>
    <w:bookmarkStart w:id="16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61" w:name="fig-est-single-loglik"/>
          <w:p>
            <w:pPr>
              <w:pStyle w:val="Compact"/>
              <w:jc w:val="center"/>
            </w:pPr>
            <w:r>
              <w:drawing>
                <wp:inline>
                  <wp:extent cx="4620126" cy="3696101"/>
                  <wp:effectExtent b="0" l="0" r="0" t="0"/>
                  <wp:docPr descr="" title="" id="159" name="Picture"/>
                  <a:graphic>
                    <a:graphicData uri="http://schemas.openxmlformats.org/drawingml/2006/picture">
                      <pic:pic>
                        <pic:nvPicPr>
                          <pic:cNvPr descr="methodology_files/figure-docx/fig-est-single-loglik-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61"/>
        </w:tc>
      </w:tr>
    </w:tbl>
    <w:bookmarkEnd w:id="162"/>
    <w:bookmarkStart w:id="16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63"/>
    <w:bookmarkStart w:id="168" w:name="interactive-shiny-app"/>
    <w:p>
      <w:pPr>
        <w:pStyle w:val="Heading2"/>
      </w:pPr>
      <w:r>
        <w:t xml:space="preserve">7.7 Interactive Shiny app</w:t>
      </w:r>
    </w:p>
    <w:p>
      <w:pPr>
        <w:pStyle w:val="FirstParagraph"/>
      </w:pPr>
      <w:r>
        <w:t xml:space="preserve">A point-and-click interface is available at</w:t>
      </w:r>
      <w:r>
        <w:t xml:space="preserve"> </w:t>
      </w:r>
      <w:hyperlink r:id="rId16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6" name="Picture"/>
            <a:graphic>
              <a:graphicData uri="http://schemas.openxmlformats.org/drawingml/2006/picture">
                <pic:pic>
                  <pic:nvPicPr>
                    <pic:cNvPr descr="../man/figures/shiny-serocalculator.png" id="167" name="Picture"/>
                    <pic:cNvPicPr>
                      <a:picLocks noChangeArrowheads="1" noChangeAspect="1"/>
                    </pic:cNvPicPr>
                  </pic:nvPicPr>
                  <pic:blipFill>
                    <a:blip r:embed="rId16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8"/>
    <w:bookmarkEnd w:id="169"/>
    <w:bookmarkStart w:id="202" w:name="sec-validation"/>
    <w:p>
      <w:pPr>
        <w:pStyle w:val="Heading1"/>
      </w:pPr>
      <w:r>
        <w:t xml:space="preserve">8. Validation: recovering known incidence rates</w:t>
      </w:r>
    </w:p>
    <w:bookmarkStart w:id="17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73" w:name="fig-sim-multi-distribution"/>
          <w:p>
            <w:pPr>
              <w:pStyle w:val="Compact"/>
              <w:jc w:val="center"/>
            </w:pPr>
            <w:r>
              <w:drawing>
                <wp:inline>
                  <wp:extent cx="4620126" cy="4620126"/>
                  <wp:effectExtent b="0" l="0" r="0" t="0"/>
                  <wp:docPr descr="" title="" id="171" name="Picture"/>
                  <a:graphic>
                    <a:graphicData uri="http://schemas.openxmlformats.org/drawingml/2006/picture">
                      <pic:pic>
                        <pic:nvPicPr>
                          <pic:cNvPr descr="methodology_files/figure-docx/fig-sim-multi-distribution-1.png" id="172" name="Picture"/>
                          <pic:cNvPicPr>
                            <a:picLocks noChangeArrowheads="1" noChangeAspect="1"/>
                          </pic:cNvPicPr>
                        </pic:nvPicPr>
                        <pic:blipFill>
                          <a:blip r:embed="rId17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73"/>
        </w:tc>
      </w:tr>
    </w:tbl>
    <w:bookmarkEnd w:id="174"/>
    <w:bookmarkStart w:id="17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7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7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6"/>
    <w:bookmarkStart w:id="18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80" w:name="fig-cluster-logliks"/>
          <w:p>
            <w:pPr>
              <w:pStyle w:val="Compact"/>
              <w:jc w:val="center"/>
            </w:pPr>
            <w:r>
              <w:drawing>
                <wp:inline>
                  <wp:extent cx="4620126" cy="6468176"/>
                  <wp:effectExtent b="0" l="0" r="0" t="0"/>
                  <wp:docPr descr="" title="" id="178" name="Picture"/>
                  <a:graphic>
                    <a:graphicData uri="http://schemas.openxmlformats.org/drawingml/2006/picture">
                      <pic:pic>
                        <pic:nvPicPr>
                          <pic:cNvPr descr="methodology_files/figure-docx/fig-cluster-logliks-1.png" id="179" name="Picture"/>
                          <pic:cNvPicPr>
                            <a:picLocks noChangeArrowheads="1" noChangeAspect="1"/>
                          </pic:cNvPicPr>
                        </pic:nvPicPr>
                        <pic:blipFill>
                          <a:blip r:embed="rId17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80"/>
        </w:tc>
      </w:tr>
    </w:tbl>
    <w:bookmarkEnd w:id="181"/>
    <w:bookmarkStart w:id="18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8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6" w:name="fig-problem-strata"/>
          <w:p>
            <w:pPr>
              <w:pStyle w:val="Compact"/>
              <w:jc w:val="center"/>
            </w:pPr>
            <w:r>
              <w:drawing>
                <wp:inline>
                  <wp:extent cx="4620126" cy="6468176"/>
                  <wp:effectExtent b="0" l="0" r="0" t="0"/>
                  <wp:docPr descr="" title="" id="184" name="Picture"/>
                  <a:graphic>
                    <a:graphicData uri="http://schemas.openxmlformats.org/drawingml/2006/picture">
                      <pic:pic>
                        <pic:nvPicPr>
                          <pic:cNvPr descr="methodology_files/figure-docx/fig-problem-strata-1.png" id="185" name="Picture"/>
                          <pic:cNvPicPr>
                            <a:picLocks noChangeArrowheads="1" noChangeAspect="1"/>
                          </pic:cNvPicPr>
                        </pic:nvPicPr>
                        <pic:blipFill>
                          <a:blip r:embed="rId18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6"/>
        </w:tc>
      </w:tr>
    </w:tbl>
    <w:bookmarkEnd w:id="187"/>
    <w:bookmarkStart w:id="19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91" w:name="fig-sim-recovery"/>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9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95" w:name="fig-empirical-se"/>
          <w:p>
            <w:pPr>
              <w:pStyle w:val="Compact"/>
              <w:jc w:val="center"/>
            </w:pPr>
            <w:r>
              <w:drawing>
                <wp:inline>
                  <wp:extent cx="4620126" cy="3696101"/>
                  <wp:effectExtent b="0" l="0" r="0" t="0"/>
                  <wp:docPr descr="" title="" id="193" name="Picture"/>
                  <a:graphic>
                    <a:graphicData uri="http://schemas.openxmlformats.org/drawingml/2006/picture">
                      <pic:pic>
                        <pic:nvPicPr>
                          <pic:cNvPr descr="methodology_files/figure-docx/fig-empirical-se-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95"/>
        </w:tc>
      </w:tr>
    </w:tbl>
    <w:bookmarkEnd w:id="196"/>
    <w:bookmarkStart w:id="20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200" w:name="fig-sim-recovery-renew"/>
          <w:p>
            <w:pPr>
              <w:pStyle w:val="Compact"/>
              <w:jc w:val="center"/>
            </w:pPr>
            <w:r>
              <w:drawing>
                <wp:inline>
                  <wp:extent cx="4620126" cy="3696101"/>
                  <wp:effectExtent b="0" l="0" r="0" t="0"/>
                  <wp:docPr descr="" title="" id="198" name="Picture"/>
                  <a:graphic>
                    <a:graphicData uri="http://schemas.openxmlformats.org/drawingml/2006/picture">
                      <pic:pic>
                        <pic:nvPicPr>
                          <pic:cNvPr descr="methodology_files/figure-docx/fig-sim-recovery-renew-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200"/>
        </w:tc>
      </w:tr>
    </w:tbl>
    <w:bookmarkEnd w:id="201"/>
    <w:bookmarkEnd w:id="202"/>
    <w:bookmarkStart w:id="207" w:name="ongoing-and-future-work"/>
    <w:p>
      <w:pPr>
        <w:pStyle w:val="Heading1"/>
      </w:pPr>
      <w:r>
        <w:t xml:space="preserve">9. Ongoing and future work</w:t>
      </w:r>
    </w:p>
    <w:bookmarkStart w:id="20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64">
        <w:r>
          <w:rPr>
            <w:rStyle w:val="Hyperlink"/>
          </w:rPr>
          <w:t xml:space="preserve">serocalculator Shiny app</w:t>
        </w:r>
      </w:hyperlink>
      <w:r>
        <w:t xml:space="preserve">,</w:t>
      </w:r>
      <w:r>
        <w:t xml:space="preserve"> </w:t>
      </w:r>
      <w:hyperlink r:id="rId20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204"/>
    <w:bookmarkStart w:id="20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5">
        <w:r>
          <w:rPr>
            <w:rStyle w:val="Hyperlink"/>
          </w:rPr>
          <w:t xml:space="preserve">UCD-SERG/shigella#13</w:t>
        </w:r>
      </w:hyperlink>
      <w:r>
        <w:t xml:space="preserve">).</w:t>
      </w:r>
    </w:p>
    <w:bookmarkEnd w:id="206"/>
    <w:bookmarkEnd w:id="207"/>
    <w:bookmarkStart w:id="226" w:name="references"/>
    <w:p>
      <w:pPr>
        <w:pStyle w:val="Heading1"/>
      </w:pPr>
      <w:r>
        <w:t xml:space="preserve">References</w:t>
      </w:r>
    </w:p>
    <w:bookmarkStart w:id="225" w:name="refs"/>
    <w:bookmarkStart w:id="20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8">
        <w:r>
          <w:rPr>
            <w:rStyle w:val="Hyperlink"/>
          </w:rPr>
          <w:t xml:space="preserve">https://doi.org/10.1016/S2666-5247(22)00114-8</w:t>
        </w:r>
      </w:hyperlink>
      <w:r>
        <w:t xml:space="preserve">.</w:t>
      </w:r>
    </w:p>
    <w:bookmarkEnd w:id="209"/>
    <w:bookmarkStart w:id="21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210">
        <w:r>
          <w:rPr>
            <w:rStyle w:val="Hyperlink"/>
          </w:rPr>
          <w:t xml:space="preserve">https://doi.org/10.1198/jbes.2010.07136</w:t>
        </w:r>
      </w:hyperlink>
      <w:r>
        <w:t xml:space="preserve">.</w:t>
      </w:r>
    </w:p>
    <w:bookmarkEnd w:id="211"/>
    <w:bookmarkStart w:id="21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12">
        <w:r>
          <w:rPr>
            <w:rStyle w:val="Hyperlink"/>
          </w:rPr>
          <w:t xml:space="preserve">https://doi.org/10.1016/j.epidem.2024.100806</w:t>
        </w:r>
      </w:hyperlink>
      <w:r>
        <w:t xml:space="preserve">.</w:t>
      </w:r>
    </w:p>
    <w:bookmarkEnd w:id="213"/>
    <w:bookmarkStart w:id="214"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4"/>
    <w:bookmarkStart w:id="216"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5">
        <w:r>
          <w:rPr>
            <w:rStyle w:val="Hyperlink"/>
          </w:rPr>
          <w:t xml:space="preserve">https://doi.org/10.1093/biomet/73.1.13</w:t>
        </w:r>
      </w:hyperlink>
      <w:r>
        <w:t xml:space="preserve">.</w:t>
      </w:r>
    </w:p>
    <w:bookmarkEnd w:id="216"/>
    <w:bookmarkStart w:id="218"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7">
        <w:r>
          <w:rPr>
            <w:rStyle w:val="Hyperlink"/>
          </w:rPr>
          <w:t xml:space="preserve">https://doi.org/10.1159/000286345</w:t>
        </w:r>
      </w:hyperlink>
      <w:r>
        <w:t xml:space="preserve">.</w:t>
      </w:r>
    </w:p>
    <w:bookmarkEnd w:id="218"/>
    <w:bookmarkStart w:id="220"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9">
        <w:r>
          <w:rPr>
            <w:rStyle w:val="Hyperlink"/>
          </w:rPr>
          <w:t xml:space="preserve">https://doi.org/10.1002/sim.8578</w:t>
        </w:r>
      </w:hyperlink>
      <w:r>
        <w:t xml:space="preserve">.</w:t>
      </w:r>
    </w:p>
    <w:bookmarkEnd w:id="220"/>
    <w:bookmarkStart w:id="22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21">
        <w:r>
          <w:rPr>
            <w:rStyle w:val="Hyperlink"/>
          </w:rPr>
          <w:t xml:space="preserve">https://doi.org/10.1016/j.epidem.2016.04.001</w:t>
        </w:r>
      </w:hyperlink>
      <w:r>
        <w:t xml:space="preserve">.</w:t>
      </w:r>
    </w:p>
    <w:bookmarkEnd w:id="222"/>
    <w:bookmarkStart w:id="22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3"/>
    <w:bookmarkStart w:id="224"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09" Target="media/rId109.svg" /><Relationship Type="http://schemas.openxmlformats.org/officeDocument/2006/relationships/image" Id="rId141" Target="media/rId141.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17" Target="media/rId117.png" /><Relationship Type="http://schemas.openxmlformats.org/officeDocument/2006/relationships/image" Id="rId192" Target="media/rId192.png" /><Relationship Type="http://schemas.openxmlformats.org/officeDocument/2006/relationships/image" Id="rId158" Target="media/rId158.png" /><Relationship Type="http://schemas.openxmlformats.org/officeDocument/2006/relationships/image" Id="rId59" Target="media/rId59.png" /><Relationship Type="http://schemas.openxmlformats.org/officeDocument/2006/relationships/image" Id="rId123" Target="media/rId123.png" /><Relationship Type="http://schemas.openxmlformats.org/officeDocument/2006/relationships/image" Id="rId183" Target="media/rId183.png" /><Relationship Type="http://schemas.openxmlformats.org/officeDocument/2006/relationships/image" Id="rId104" Target="media/rId104.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9" Target="https://doi.org/10.1002/sim.8578" TargetMode="External" /><Relationship Type="http://schemas.openxmlformats.org/officeDocument/2006/relationships/hyperlink" Id="rId208" Target="https://doi.org/10.1016/S2666-5247(22)00114-8" TargetMode="External" /><Relationship Type="http://schemas.openxmlformats.org/officeDocument/2006/relationships/hyperlink" Id="rId221" Target="https://doi.org/10.1016/j.epidem.2016.04.001" TargetMode="External" /><Relationship Type="http://schemas.openxmlformats.org/officeDocument/2006/relationships/hyperlink" Id="rId212" Target="https://doi.org/10.1016/j.epidem.2024.100806" TargetMode="External" /><Relationship Type="http://schemas.openxmlformats.org/officeDocument/2006/relationships/hyperlink" Id="rId215" Target="https://doi.org/10.1093/biomet/73.1.13" TargetMode="External" /><Relationship Type="http://schemas.openxmlformats.org/officeDocument/2006/relationships/hyperlink" Id="rId217" Target="https://doi.org/10.1159/000286345" TargetMode="External" /><Relationship Type="http://schemas.openxmlformats.org/officeDocument/2006/relationships/hyperlink" Id="rId210" Target="https://doi.org/10.1198/jbes.2010.07136" TargetMode="External" /><Relationship Type="http://schemas.openxmlformats.org/officeDocument/2006/relationships/hyperlink" Id="rId149" Target="https://github.com/UCD-SERG/serocalculator" TargetMode="External" /><Relationship Type="http://schemas.openxmlformats.org/officeDocument/2006/relationships/hyperlink" Id="rId182" Target="https://github.com/UCD-SERG/serocalculator/issues/629" TargetMode="External" /><Relationship Type="http://schemas.openxmlformats.org/officeDocument/2006/relationships/hyperlink" Id="rId122" Target="https://github.com/UCD-SERG/serocalculator/issues/637" TargetMode="External" /><Relationship Type="http://schemas.openxmlformats.org/officeDocument/2006/relationships/hyperlink" Id="rId13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5" Target="https://github.com/UCD-SERG/shigella/pull/13" TargetMode="External" /><Relationship Type="http://schemas.openxmlformats.org/officeDocument/2006/relationships/hyperlink" Id="rId203" Target="https://github.com/UCD-SERG/shiny_serocalculator" TargetMode="External" /><Relationship Type="http://schemas.openxmlformats.org/officeDocument/2006/relationships/hyperlink" Id="rId108" Target="https://ucdserg.shinyapps.io/antibody-kinetics-model-2/" TargetMode="External" /><Relationship Type="http://schemas.openxmlformats.org/officeDocument/2006/relationships/hyperlink" Id="rId16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9" Target="https://doi.org/10.1002/sim.8578" TargetMode="External" /><Relationship Type="http://schemas.openxmlformats.org/officeDocument/2006/relationships/hyperlink" Id="rId208" Target="https://doi.org/10.1016/S2666-5247(22)00114-8" TargetMode="External" /><Relationship Type="http://schemas.openxmlformats.org/officeDocument/2006/relationships/hyperlink" Id="rId221" Target="https://doi.org/10.1016/j.epidem.2016.04.001" TargetMode="External" /><Relationship Type="http://schemas.openxmlformats.org/officeDocument/2006/relationships/hyperlink" Id="rId212" Target="https://doi.org/10.1016/j.epidem.2024.100806" TargetMode="External" /><Relationship Type="http://schemas.openxmlformats.org/officeDocument/2006/relationships/hyperlink" Id="rId215" Target="https://doi.org/10.1093/biomet/73.1.13" TargetMode="External" /><Relationship Type="http://schemas.openxmlformats.org/officeDocument/2006/relationships/hyperlink" Id="rId217" Target="https://doi.org/10.1159/000286345" TargetMode="External" /><Relationship Type="http://schemas.openxmlformats.org/officeDocument/2006/relationships/hyperlink" Id="rId210" Target="https://doi.org/10.1198/jbes.2010.07136" TargetMode="External" /><Relationship Type="http://schemas.openxmlformats.org/officeDocument/2006/relationships/hyperlink" Id="rId149" Target="https://github.com/UCD-SERG/serocalculator" TargetMode="External" /><Relationship Type="http://schemas.openxmlformats.org/officeDocument/2006/relationships/hyperlink" Id="rId182" Target="https://github.com/UCD-SERG/serocalculator/issues/629" TargetMode="External" /><Relationship Type="http://schemas.openxmlformats.org/officeDocument/2006/relationships/hyperlink" Id="rId122" Target="https://github.com/UCD-SERG/serocalculator/issues/637" TargetMode="External" /><Relationship Type="http://schemas.openxmlformats.org/officeDocument/2006/relationships/hyperlink" Id="rId13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5" Target="https://github.com/UCD-SERG/shigella/pull/13" TargetMode="External" /><Relationship Type="http://schemas.openxmlformats.org/officeDocument/2006/relationships/hyperlink" Id="rId203" Target="https://github.com/UCD-SERG/shiny_serocalculator" TargetMode="External" /><Relationship Type="http://schemas.openxmlformats.org/officeDocument/2006/relationships/hyperlink" Id="rId108" Target="https://ucdserg.shinyapps.io/antibody-kinetics-model-2/" TargetMode="External" /><Relationship Type="http://schemas.openxmlformats.org/officeDocument/2006/relationships/hyperlink" Id="rId16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2026-08-09T22:34:51Z</dcterms:created>
  <dcterms:modified xsi:type="dcterms:W3CDTF">2026-08-09T22:34:51Z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