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
                </m:r>
                <m:r>
                  <m:t>​</m:t>
                </m:r>
                <m:d>
                  <m:dPr>
                    <m:begChr m:val="("/>
                    <m:sepChr m:val=""/>
                    <m:endChr m:val=")"/>
                    <m:grow/>
                  </m:dPr>
                  <m:e>
                    <m:acc>
                      <m:accPr>
                        <m:chr m:val="̂"/>
                      </m:accPr>
                      <m:e>
                        <m:r>
                          <m:t>λ</m:t>
                        </m:r>
                      </m:e>
                    </m:acc>
                  </m:e>
                </m:d>
                <m: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factors into the product of their individual contributions</w:t>
            </w:r>
            <w:r>
              <w:t xml:space="preserve"> </w:t>
            </w:r>
            <w:r>
              <w:t xml:space="preserve">(</w:t>
            </w:r>
            <w:hyperlink w:anchor="prp-marginal-likelihood">
              <w:r>
                <w:rPr>
                  <w:rStyle w:val="Hyperlink"/>
                </w:rPr>
                <w:t xml:space="preserve">Proposition 3</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eqAr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rPr>
                          <m:sty m:val="p"/>
                        </m:rPr>
                        <m:t>p</m:t>
                      </m:r>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 MLE,</w:t>
            </w:r>
            <w:r>
              <w:t xml:space="preserve"> </w:t>
            </w:r>
            <w:r>
              <w:t xml:space="preserve">and let</w:t>
            </w:r>
          </w:p>
          <w:p>
            <w:pPr>
              <w:pStyle w:val="BodyText"/>
            </w:pPr>
            <m:oMathPara>
              <m:oMathParaPr>
                <m:jc m:val="center"/>
              </m:oMathPara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rPr>
                    <m:sty m:val="p"/>
                  </m:rPr>
                  <m:t>p</m:t>
                </m:r>
                <m:r>
                  <m:rPr>
                    <m:sty m:val="p"/>
                  </m:rPr>
                  <m:t>(</m:t>
                </m:r>
                <m:sSub>
                  <m:e>
                    <m:r>
                      <m:t>Y</m:t>
                    </m:r>
                  </m:e>
                  <m:sub>
                    <m:r>
                      <m:t>i</m:t>
                    </m:r>
                  </m:sub>
                </m:sSub>
                <m:r>
                  <m:rPr>
                    <m:sty m:val="p"/>
                  </m:rPr>
                  <m:t>∣</m:t>
                </m:r>
                <m:r>
                  <m:t>λ</m:t>
                </m:r>
                <m:r>
                  <m:rPr>
                    <m:sty m:val="p"/>
                  </m:rPr>
                  <m:t>)</m:t>
                </m:r>
              </m:oMath>
            </m:oMathPara>
          </w:p>
          <w:p>
            <w:pPr>
              <w:pStyle w:val="FirstParagraph"/>
            </w:pPr>
            <w:r>
              <w:t xml:space="preserve">be the total score contribution (</w:t>
            </w:r>
            <w:hyperlink w:anchor="def-score">
              <w:r>
                <w:rPr>
                  <w:rStyle w:val="Hyperlink"/>
                </w:rPr>
                <w:t xml:space="preserve">Definition 4</w:t>
              </w:r>
            </w:hyperlink>
            <w:r>
              <w:t xml:space="preserve">) of the observations in</w:t>
            </w:r>
            <w:r>
              <w:t xml:space="preserve"> </w:t>
            </w:r>
            <w:r>
              <w:t xml:space="preserve">cluster</w:t>
            </w:r>
            <w:r>
              <w:t xml:space="preserve"> </w:t>
            </w:r>
            <m:oMath>
              <m:r>
                <m:t>c</m:t>
              </m:r>
            </m:oMath>
            <w:r>
              <w:t xml:space="preserve">, where</w:t>
            </w:r>
            <w:r>
              <w:t xml:space="preserve"> </w:t>
            </w:r>
            <m:oMath>
              <m:sSub>
                <m:e>
                  <m:r>
                    <m:rPr>
                      <m:sty m:val="p"/>
                    </m:rPr>
                    <m:t>∇</m:t>
                  </m:r>
                </m:e>
                <m:sub>
                  <m:r>
                    <m:t>λ</m:t>
                  </m:r>
                </m:sub>
              </m:sSub>
            </m:oMath>
            <w:r>
              <w:t xml:space="preserve"> </w:t>
            </w:r>
            <w:r>
              <w:t xml:space="preserve">denotes the gradient with respect</w:t>
            </w:r>
            <w:r>
              <w:t xml:space="preserve"> </w:t>
            </w:r>
            <w:r>
              <w:t xml:space="preserve">to</w:t>
            </w:r>
            <w:r>
              <w:t xml:space="preserve"> </w:t>
            </w:r>
            <m:oMath>
              <m:r>
                <m:t>λ</m:t>
              </m:r>
            </m:oMath>
            <w:r>
              <w:t xml:space="preserve">.</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r>
                  <m:rPr>
                    <m:sty m:val="p"/>
                  </m:rPr>
                  <m:t>,</m:t>
                </m:r>
                <m:r>
                  <m:t>  </m:t>
                </m:r>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2026-08-09T17:20:52Z</dcterms:created>
  <dcterms:modified xsi:type="dcterms:W3CDTF">2026-08-09T17:20:52Z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