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0.png" ContentType="image/png"/>
  <Override PartName="/word/media/rId124.png" ContentType="image/png"/>
  <Override PartName="/word/media/rId101.svg" ContentType="image/svg+xml"/>
  <Override PartName="/word/media/rId133.png" ContentType="image/png"/>
  <Override PartName="/word/media/rId157.png" ContentType="image/png"/>
  <Override PartName="/word/media/rId169.png" ContentType="image/png"/>
  <Override PartName="/word/media/rId109.png" ContentType="image/png"/>
  <Override PartName="/word/media/rId184.png" ContentType="image/png"/>
  <Override PartName="/word/media/rId150.png" ContentType="image/png"/>
  <Override PartName="/word/media/rId59.png" ContentType="image/png"/>
  <Override PartName="/word/media/rId115.png" ContentType="image/png"/>
  <Override PartName="/word/media/rId175.png" ContentType="image/png"/>
  <Override PartName="/word/media/rId96.png" ContentType="image/png"/>
  <Override PartName="/word/media/rId145.png" ContentType="image/png"/>
  <Override PartName="/word/media/rId162.png" ContentType="image/png"/>
  <Override PartName="/word/media/rId180.png" ContentType="image/png"/>
  <Override PartName="/word/media/rId189.png" ContentType="image/png"/>
  <Override PartName="/word/media/rId29.png" ContentType="image/png"/>
  <Override PartName="/word/media/rId71.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1"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6"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 and log-likelihood)</w:t>
            </w:r>
          </w:p>
          <w:bookmarkStart w:id="54" w:name="def-likelihood"/>
          <w:p>
            <w:pPr>
              <w:pStyle w:val="BodyText"/>
            </w:pPr>
            <w:r>
              <w:rPr>
                <w:b/>
                <w:bCs/>
              </w:rPr>
              <w:t xml:space="preserve">Definition 3 (Likelihood and log-likelihood)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p>
            <w:pPr>
              <w:pStyle w:val="FirstParagraph"/>
            </w:pPr>
            <w:r>
              <w:t xml:space="preserve">The</w:t>
            </w:r>
            <w:r>
              <w:t xml:space="preserve"> </w:t>
            </w:r>
            <w:r>
              <w:rPr>
                <w:b/>
                <w:bCs/>
              </w:rPr>
              <w:t xml:space="preserve">log-likelihood</w:t>
            </w:r>
            <w:r>
              <w:t xml:space="preserve"> </w:t>
            </w: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w:r>
              <w:t xml:space="preserve"> </w:t>
            </w:r>
            <w:r>
              <w:t xml:space="preserve">is</w:t>
            </w:r>
            <w:r>
              <w:t xml:space="preserve"> </w:t>
            </w:r>
            <w:r>
              <w:t xml:space="preserve">maximized at the same</w:t>
            </w:r>
            <w:r>
              <w:t xml:space="preserve"> </w:t>
            </w:r>
            <m:oMath>
              <m:r>
                <m:t>λ</m:t>
              </m:r>
            </m:oMath>
            <w:r>
              <w:t xml:space="preserve">, and is easier to work with because the</w:t>
            </w:r>
            <w:r>
              <w:t xml:space="preserve"> </w:t>
            </w:r>
            <w:r>
              <w:t xml:space="preserve">logarithm turns products into sums</w:t>
            </w:r>
            <w:r>
              <w:t xml:space="preserve"> </w:t>
            </w:r>
            <w:r>
              <w:t xml:space="preserve">(</w:t>
            </w:r>
            <w:hyperlink r:id="rId53">
              <w:r>
                <w:rPr>
                  <w:rStyle w:val="Hyperlink"/>
                </w:rPr>
                <w:t xml:space="preserve">Theorem 15</w:t>
              </w:r>
            </w:hyperlink>
            <w:r>
              <w:t xml:space="preserve"> </w:t>
            </w:r>
            <w:r>
              <w:t xml:space="preserve">in</w:t>
            </w:r>
            <w:r>
              <w:t xml:space="preserve"> </w:t>
            </w:r>
            <w:r>
              <w:rPr>
                <w:i/>
                <w:iCs/>
              </w:rPr>
              <w:t xml:space="preserve">Regression Models for Epidemiology</w:t>
            </w:r>
            <w:r>
              <w:t xml:space="preserve">).</w:t>
            </w:r>
          </w:p>
          <w:bookmarkEnd w:id="5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5"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5"/>
        </w:tc>
      </w:tr>
    </w:tbl>
    <w:bookmarkEnd w:id="56"/>
    <w:bookmarkStart w:id="58"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4</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7"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4</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7"/>
        </w:tc>
      </w:tr>
    </w:tbl>
    <w:bookmarkEnd w:id="58"/>
    <w:bookmarkStart w:id="63"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2" w:name="fig-ex-lik-curves"/>
          <w:p>
            <w:pPr>
              <w:pStyle w:val="Compact"/>
              <w:jc w:val="center"/>
            </w:pPr>
            <w:r>
              <w:drawing>
                <wp:inline>
                  <wp:extent cx="4620126" cy="3696101"/>
                  <wp:effectExtent b="0" l="0" r="0" t="0"/>
                  <wp:docPr descr="" title="" id="60" name="Picture"/>
                  <a:graphic>
                    <a:graphicData uri="http://schemas.openxmlformats.org/drawingml/2006/picture">
                      <pic:pic>
                        <pic:nvPicPr>
                          <pic:cNvPr descr="methodology_files/figure-docx/fig-ex-lik-curves-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2"/>
        </w:tc>
      </w:tr>
    </w:tbl>
    <w:bookmarkEnd w:id="63"/>
    <w:bookmarkStart w:id="67"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4"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5"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5</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6"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6</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6"/>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7"/>
    <w:bookmarkStart w:id="69"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8"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4</w:t>
              </w:r>
            </w:hyperlink>
            <w:r>
              <w:t xml:space="preserve">) and Hessian (</w:t>
            </w:r>
            <w:hyperlink w:anchor="def-hessian">
              <w:r>
                <w:rPr>
                  <w:rStyle w:val="Hyperlink"/>
                </w:rPr>
                <w:t xml:space="preserve">Definition 5</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6</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8"/>
          <w:p/>
        </w:tc>
      </w:tr>
    </w:tbl>
    <w:bookmarkEnd w:id="69"/>
    <w:bookmarkStart w:id="70"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0"/>
    <w:bookmarkStart w:id="79"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4" w:name="fig-sim-case-data"/>
          <w:p>
            <w:pPr>
              <w:jc w:val="center"/>
            </w:pPr>
            <w:r>
              <w:drawing>
                <wp:inline>
                  <wp:extent cx="4620126" cy="3696101"/>
                  <wp:effectExtent b="0" l="0" r="0" t="0"/>
                  <wp:docPr descr="" title="" id="72" name="Picture"/>
                  <a:graphic>
                    <a:graphicData uri="http://schemas.openxmlformats.org/drawingml/2006/picture">
                      <pic:pic>
                        <pic:nvPicPr>
                          <pic:cNvPr descr="methodology_files/figure-docx/unnamed-chunk-4-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4"/>
        </w:tc>
      </w:tr>
    </w:tbl>
    <w:p/>
    <w:tbl>
      <w:tblPr>
        <w:tblStyle w:val="Table"/>
        <w:tblW w:type="pct" w:w="5000"/>
        <w:tblLayout w:type="fixed"/>
        <w:tblLook w:firstRow="0" w:lastRow="0" w:firstColumn="0" w:lastColumn="0" w:noHBand="0" w:noVBand="0" w:val="0000"/>
      </w:tblPr>
      <w:tblGrid>
        <w:gridCol w:w="7920"/>
      </w:tblGrid>
      <w:tr>
        <w:tc>
          <w:tcPr/>
          <w:bookmarkStart w:id="78" w:name="fig-decay"/>
          <w:p>
            <w:pPr>
              <w:jc w:val="center"/>
            </w:pPr>
            <w:r>
              <w:drawing>
                <wp:inline>
                  <wp:extent cx="4620126" cy="3696101"/>
                  <wp:effectExtent b="0" l="0" r="0" t="0"/>
                  <wp:docPr descr="" title="" id="76" name="Picture"/>
                  <a:graphic>
                    <a:graphicData uri="http://schemas.openxmlformats.org/drawingml/2006/picture">
                      <pic:pic>
                        <pic:nvPicPr>
                          <pic:cNvPr descr="methodology_files/figure-docx/unnamed-chunk-5-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8"/>
        </w:tc>
      </w:tr>
    </w:tbl>
    <w:bookmarkEnd w:id="79"/>
    <w:bookmarkStart w:id="81"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0"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0"/>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1"/>
    <w:bookmarkStart w:id="83"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2"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2"/>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3"/>
    <w:bookmarkStart w:id="84"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5</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4"/>
    <w:bookmarkStart w:id="90"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5"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5"/>
    <w:bookmarkStart w:id="87"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6" w:name="def-cluster-robust-variance"/>
          <w:p>
            <w:pPr>
              <w:pStyle w:val="BodyText"/>
            </w:pPr>
            <w:r>
              <w:rPr>
                <w:b/>
                <w:bCs/>
              </w:rPr>
              <w:t xml:space="preserve">Definition 7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5</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4</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6"/>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6</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7"/>
    <w:bookmarkStart w:id="88"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8"/>
    <w:bookmarkStart w:id="89"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89"/>
    <w:bookmarkEnd w:id="90"/>
    <w:bookmarkEnd w:id="91"/>
    <w:bookmarkStart w:id="12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2"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2"/>
    <w:bookmarkStart w:id="93"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3"/>
    <w:bookmarkStart w:id="94"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4"/>
    <w:bookmarkStart w:id="95"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5"/>
    <w:bookmarkStart w:id="104"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9" w:name="fig-response-graph"/>
          <w:p>
            <w:pPr>
              <w:pStyle w:val="Compact"/>
              <w:jc w:val="center"/>
            </w:pPr>
            <w:r>
              <w:drawing>
                <wp:inline>
                  <wp:extent cx="4620126" cy="3696101"/>
                  <wp:effectExtent b="0" l="0" r="0" t="0"/>
                  <wp:docPr descr="" title="" id="97" name="Picture"/>
                  <a:graphic>
                    <a:graphicData uri="http://schemas.openxmlformats.org/drawingml/2006/picture">
                      <pic:pic>
                        <pic:nvPicPr>
                          <pic:cNvPr descr="methodology_files/figure-docx/fig-response-graph-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9"/>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0">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2" name="Picture"/>
            <a:graphic>
              <a:graphicData uri="http://schemas.openxmlformats.org/drawingml/2006/picture">
                <pic:pic>
                  <pic:nvPicPr>
                    <pic:cNvPr descr="../man/figures/qr_akm2.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4"/>
    <w:bookmarkStart w:id="105"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5"/>
    <w:bookmarkStart w:id="106"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6"/>
    <w:bookmarkStart w:id="107"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7"/>
    <w:bookmarkStart w:id="108"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8"/>
    <w:bookmarkStart w:id="113"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2" w:name="fig-curve-posterior"/>
          <w:p>
            <w:pPr>
              <w:pStyle w:val="Compact"/>
              <w:jc w:val="center"/>
            </w:pPr>
            <w:r>
              <w:drawing>
                <wp:inline>
                  <wp:extent cx="4620126" cy="3696101"/>
                  <wp:effectExtent b="0" l="0" r="0" t="0"/>
                  <wp:docPr descr="" title="" id="110" name="Picture"/>
                  <a:graphic>
                    <a:graphicData uri="http://schemas.openxmlformats.org/drawingml/2006/picture">
                      <pic:pic>
                        <pic:nvPicPr>
                          <pic:cNvPr descr="methodology_files/figure-docx/fig-curve-posterior-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2"/>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3"/>
    <w:bookmarkStart w:id="119"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4">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8" w:name="fig-loglik"/>
          <w:p>
            <w:pPr>
              <w:pStyle w:val="Compact"/>
              <w:jc w:val="center"/>
            </w:pPr>
            <w:r>
              <w:drawing>
                <wp:inline>
                  <wp:extent cx="4620126" cy="3696101"/>
                  <wp:effectExtent b="0" l="0" r="0" t="0"/>
                  <wp:docPr descr="" title="" id="116" name="Picture"/>
                  <a:graphic>
                    <a:graphicData uri="http://schemas.openxmlformats.org/drawingml/2006/picture">
                      <pic:pic>
                        <pic:nvPicPr>
                          <pic:cNvPr descr="methodology_files/figure-docx/fig-loglik-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8"/>
        </w:tc>
      </w:tr>
    </w:tbl>
    <w:bookmarkEnd w:id="119"/>
    <w:bookmarkStart w:id="123"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1" name="Picture"/>
            <a:graphic>
              <a:graphicData uri="http://schemas.openxmlformats.org/drawingml/2006/picture">
                <pic:pic>
                  <pic:nvPicPr>
                    <pic:cNvPr descr="../man/figures/kinetics-variation-1.png" id="122" name="Picture"/>
                    <pic:cNvPicPr>
                      <a:picLocks noChangeArrowheads="1" noChangeAspect="1"/>
                    </pic:cNvPicPr>
                  </pic:nvPicPr>
                  <pic:blipFill>
                    <a:blip r:embed="rId12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3"/>
    <w:bookmarkStart w:id="127"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5" name="Picture"/>
            <a:graphic>
              <a:graphicData uri="http://schemas.openxmlformats.org/drawingml/2006/picture">
                <pic:pic>
                  <pic:nvPicPr>
                    <pic:cNvPr descr="../man/figures/kinetics-variation-2.png" id="126" name="Picture"/>
                    <pic:cNvPicPr>
                      <a:picLocks noChangeArrowheads="1" noChangeAspect="1"/>
                    </pic:cNvPicPr>
                  </pic:nvPicPr>
                  <pic:blipFill>
                    <a:blip r:embed="rId12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7"/>
    <w:bookmarkEnd w:id="128"/>
    <w:bookmarkStart w:id="140" w:name="estimating-the-curves-with-serodynamics"/>
    <w:p>
      <w:pPr>
        <w:pStyle w:val="Heading1"/>
      </w:pPr>
      <w:r>
        <w:t xml:space="preserve">6. Estimating the curves with</w:t>
      </w:r>
      <w:r>
        <w:t xml:space="preserve"> </w:t>
      </w:r>
      <w:r>
        <w:rPr>
          <w:rStyle w:val="VerbatimChar"/>
        </w:rPr>
        <w:t xml:space="preserve">serodynamics</w:t>
      </w:r>
    </w:p>
    <w:bookmarkStart w:id="12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9"/>
    <w:bookmarkStart w:id="13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1"/>
    <w:bookmarkStart w:id="13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2"/>
    <w:bookmarkStart w:id="13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4" name="Picture"/>
            <a:graphic>
              <a:graphicData uri="http://schemas.openxmlformats.org/drawingml/2006/picture">
                <pic:pic>
                  <pic:nvPicPr>
                    <pic:cNvPr descr="../man/figures/serodynamics-cached-fit.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6"/>
    <w:bookmarkStart w:id="137"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7"/>
    <w:bookmarkStart w:id="13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8"/>
    <w:bookmarkStart w:id="13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9"/>
    <w:bookmarkEnd w:id="140"/>
    <w:bookmarkStart w:id="161" w:name="using-serocalculator"/>
    <w:p>
      <w:pPr>
        <w:pStyle w:val="Heading1"/>
      </w:pPr>
      <w:r>
        <w:t xml:space="preserve">7. Using</w:t>
      </w:r>
      <w:r>
        <w:t xml:space="preserve"> </w:t>
      </w:r>
      <w:r>
        <w:rPr>
          <w:rStyle w:val="VerbatimChar"/>
        </w:rPr>
        <w:t xml:space="preserve">serocalculator</w:t>
      </w:r>
    </w:p>
    <w:bookmarkStart w:id="14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1">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2"/>
    <w:bookmarkStart w:id="143"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3"/>
    <w:bookmarkStart w:id="144"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4"/>
    <w:bookmarkStart w:id="149"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8" w:name="fig-sim-distribution"/>
          <w:p>
            <w:pPr>
              <w:pStyle w:val="Compact"/>
              <w:jc w:val="center"/>
            </w:pPr>
            <w:r>
              <w:drawing>
                <wp:inline>
                  <wp:extent cx="4620126" cy="3696101"/>
                  <wp:effectExtent b="0" l="0" r="0" t="0"/>
                  <wp:docPr descr="" title="" id="146" name="Picture"/>
                  <a:graphic>
                    <a:graphicData uri="http://schemas.openxmlformats.org/drawingml/2006/picture">
                      <pic:pic>
                        <pic:nvPicPr>
                          <pic:cNvPr descr="methodology_files/figure-docx/fig-sim-distribution-1.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8"/>
        </w:tc>
      </w:tr>
    </w:tbl>
    <w:bookmarkEnd w:id="149"/>
    <w:bookmarkStart w:id="154"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3" w:name="fig-est-single-loglik"/>
          <w:p>
            <w:pPr>
              <w:pStyle w:val="Compact"/>
              <w:jc w:val="center"/>
            </w:pPr>
            <w:r>
              <w:drawing>
                <wp:inline>
                  <wp:extent cx="4620126" cy="3696101"/>
                  <wp:effectExtent b="0" l="0" r="0" t="0"/>
                  <wp:docPr descr="" title="" id="151" name="Picture"/>
                  <a:graphic>
                    <a:graphicData uri="http://schemas.openxmlformats.org/drawingml/2006/picture">
                      <pic:pic>
                        <pic:nvPicPr>
                          <pic:cNvPr descr="methodology_files/figure-docx/fig-est-single-loglik-1.png" id="152" name="Picture"/>
                          <pic:cNvPicPr>
                            <a:picLocks noChangeArrowheads="1" noChangeAspect="1"/>
                          </pic:cNvPicPr>
                        </pic:nvPicPr>
                        <pic:blipFill>
                          <a:blip r:embed="rId15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3"/>
        </w:tc>
      </w:tr>
    </w:tbl>
    <w:bookmarkEnd w:id="154"/>
    <w:bookmarkStart w:id="155"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5"/>
    <w:bookmarkStart w:id="160" w:name="interactive-shiny-app"/>
    <w:p>
      <w:pPr>
        <w:pStyle w:val="Heading2"/>
      </w:pPr>
      <w:r>
        <w:t xml:space="preserve">7.7 Interactive Shiny app</w:t>
      </w:r>
    </w:p>
    <w:p>
      <w:pPr>
        <w:pStyle w:val="FirstParagraph"/>
      </w:pPr>
      <w:r>
        <w:t xml:space="preserve">A point-and-click interface is available at</w:t>
      </w:r>
      <w:r>
        <w:t xml:space="preserve"> </w:t>
      </w:r>
      <w:hyperlink r:id="rId156">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8" name="Picture"/>
            <a:graphic>
              <a:graphicData uri="http://schemas.openxmlformats.org/drawingml/2006/picture">
                <pic:pic>
                  <pic:nvPicPr>
                    <pic:cNvPr descr="../man/figures/shiny-serocalculator.png" id="159" name="Picture"/>
                    <pic:cNvPicPr>
                      <a:picLocks noChangeArrowheads="1" noChangeAspect="1"/>
                    </pic:cNvPicPr>
                  </pic:nvPicPr>
                  <pic:blipFill>
                    <a:blip r:embed="rId157"/>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0"/>
    <w:bookmarkEnd w:id="161"/>
    <w:bookmarkStart w:id="194" w:name="sec-validation"/>
    <w:p>
      <w:pPr>
        <w:pStyle w:val="Heading1"/>
      </w:pPr>
      <w:r>
        <w:t xml:space="preserve">8. Validation: recovering known incidence rates</w:t>
      </w:r>
    </w:p>
    <w:bookmarkStart w:id="166"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5" w:name="fig-sim-multi-distribution"/>
          <w:p>
            <w:pPr>
              <w:pStyle w:val="Compact"/>
              <w:jc w:val="center"/>
            </w:pPr>
            <w:r>
              <w:drawing>
                <wp:inline>
                  <wp:extent cx="4620126" cy="4620126"/>
                  <wp:effectExtent b="0" l="0" r="0" t="0"/>
                  <wp:docPr descr="" title="" id="163" name="Picture"/>
                  <a:graphic>
                    <a:graphicData uri="http://schemas.openxmlformats.org/drawingml/2006/picture">
                      <pic:pic>
                        <pic:nvPicPr>
                          <pic:cNvPr descr="methodology_files/figure-docx/fig-sim-multi-distribution-1.png" id="164" name="Picture"/>
                          <pic:cNvPicPr>
                            <a:picLocks noChangeArrowheads="1" noChangeAspect="1"/>
                          </pic:cNvPicPr>
                        </pic:nvPicPr>
                        <pic:blipFill>
                          <a:blip r:embed="rId162"/>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5"/>
        </w:tc>
      </w:tr>
    </w:tbl>
    <w:bookmarkEnd w:id="166"/>
    <w:bookmarkStart w:id="168"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7"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7"/>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8"/>
    <w:bookmarkStart w:id="173"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2" w:name="fig-cluster-logliks"/>
          <w:p>
            <w:pPr>
              <w:pStyle w:val="Compact"/>
              <w:jc w:val="center"/>
            </w:pPr>
            <w:r>
              <w:drawing>
                <wp:inline>
                  <wp:extent cx="4620126" cy="6468176"/>
                  <wp:effectExtent b="0" l="0" r="0" t="0"/>
                  <wp:docPr descr="" title="" id="170" name="Picture"/>
                  <a:graphic>
                    <a:graphicData uri="http://schemas.openxmlformats.org/drawingml/2006/picture">
                      <pic:pic>
                        <pic:nvPicPr>
                          <pic:cNvPr descr="methodology_files/figure-docx/fig-cluster-logliks-1.png" id="171" name="Picture"/>
                          <pic:cNvPicPr>
                            <a:picLocks noChangeArrowheads="1" noChangeAspect="1"/>
                          </pic:cNvPicPr>
                        </pic:nvPicPr>
                        <pic:blipFill>
                          <a:blip r:embed="rId169"/>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2"/>
        </w:tc>
      </w:tr>
    </w:tbl>
    <w:bookmarkEnd w:id="173"/>
    <w:bookmarkStart w:id="179"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4">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8" w:name="fig-problem-strata"/>
          <w:p>
            <w:pPr>
              <w:pStyle w:val="Compact"/>
              <w:jc w:val="center"/>
            </w:pPr>
            <w:r>
              <w:drawing>
                <wp:inline>
                  <wp:extent cx="4620126" cy="6468176"/>
                  <wp:effectExtent b="0" l="0" r="0" t="0"/>
                  <wp:docPr descr="" title="" id="176" name="Picture"/>
                  <a:graphic>
                    <a:graphicData uri="http://schemas.openxmlformats.org/drawingml/2006/picture">
                      <pic:pic>
                        <pic:nvPicPr>
                          <pic:cNvPr descr="methodology_files/figure-docx/fig-problem-strata-1.png" id="177" name="Picture"/>
                          <pic:cNvPicPr>
                            <a:picLocks noChangeArrowheads="1" noChangeAspect="1"/>
                          </pic:cNvPicPr>
                        </pic:nvPicPr>
                        <pic:blipFill>
                          <a:blip r:embed="rId17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8"/>
        </w:tc>
      </w:tr>
    </w:tbl>
    <w:bookmarkEnd w:id="179"/>
    <w:bookmarkStart w:id="188"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3" w:name="fig-sim-recovery"/>
          <w:p>
            <w:pPr>
              <w:pStyle w:val="Compact"/>
              <w:jc w:val="center"/>
            </w:pPr>
            <w:r>
              <w:drawing>
                <wp:inline>
                  <wp:extent cx="4620126" cy="3696101"/>
                  <wp:effectExtent b="0" l="0" r="0" t="0"/>
                  <wp:docPr descr="" title="" id="181" name="Picture"/>
                  <a:graphic>
                    <a:graphicData uri="http://schemas.openxmlformats.org/drawingml/2006/picture">
                      <pic:pic>
                        <pic:nvPicPr>
                          <pic:cNvPr descr="methodology_files/figure-docx/fig-sim-recovery-1.png" id="182" name="Picture"/>
                          <pic:cNvPicPr>
                            <a:picLocks noChangeArrowheads="1" noChangeAspect="1"/>
                          </pic:cNvPicPr>
                        </pic:nvPicPr>
                        <pic:blipFill>
                          <a:blip r:embed="rId18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3"/>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7" w:name="fig-empirical-se"/>
          <w:p>
            <w:pPr>
              <w:pStyle w:val="Compact"/>
              <w:jc w:val="center"/>
            </w:pPr>
            <w:r>
              <w:drawing>
                <wp:inline>
                  <wp:extent cx="4620126" cy="3696101"/>
                  <wp:effectExtent b="0" l="0" r="0" t="0"/>
                  <wp:docPr descr="" title="" id="185" name="Picture"/>
                  <a:graphic>
                    <a:graphicData uri="http://schemas.openxmlformats.org/drawingml/2006/picture">
                      <pic:pic>
                        <pic:nvPicPr>
                          <pic:cNvPr descr="methodology_files/figure-docx/fig-empirical-se-1.png" id="186" name="Picture"/>
                          <pic:cNvPicPr>
                            <a:picLocks noChangeArrowheads="1" noChangeAspect="1"/>
                          </pic:cNvPicPr>
                        </pic:nvPicPr>
                        <pic:blipFill>
                          <a:blip r:embed="rId18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7"/>
        </w:tc>
      </w:tr>
    </w:tbl>
    <w:bookmarkEnd w:id="188"/>
    <w:bookmarkStart w:id="193"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2" w:name="fig-sim-recovery-renew"/>
          <w:p>
            <w:pPr>
              <w:pStyle w:val="Compact"/>
              <w:jc w:val="center"/>
            </w:pPr>
            <w:r>
              <w:drawing>
                <wp:inline>
                  <wp:extent cx="4620126" cy="3696101"/>
                  <wp:effectExtent b="0" l="0" r="0" t="0"/>
                  <wp:docPr descr="" title="" id="190" name="Picture"/>
                  <a:graphic>
                    <a:graphicData uri="http://schemas.openxmlformats.org/drawingml/2006/picture">
                      <pic:pic>
                        <pic:nvPicPr>
                          <pic:cNvPr descr="methodology_files/figure-docx/fig-sim-recovery-renew-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2"/>
        </w:tc>
      </w:tr>
    </w:tbl>
    <w:bookmarkEnd w:id="193"/>
    <w:bookmarkEnd w:id="194"/>
    <w:bookmarkStart w:id="199" w:name="ongoing-and-future-work"/>
    <w:p>
      <w:pPr>
        <w:pStyle w:val="Heading1"/>
      </w:pPr>
      <w:r>
        <w:t xml:space="preserve">9. Ongoing and future work</w:t>
      </w:r>
    </w:p>
    <w:bookmarkStart w:id="196"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6">
        <w:r>
          <w:rPr>
            <w:rStyle w:val="Hyperlink"/>
          </w:rPr>
          <w:t xml:space="preserve">serocalculator Shiny app</w:t>
        </w:r>
      </w:hyperlink>
      <w:r>
        <w:t xml:space="preserve">,</w:t>
      </w:r>
      <w:r>
        <w:t xml:space="preserve"> </w:t>
      </w:r>
      <w:hyperlink r:id="rId195">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6"/>
    <w:bookmarkStart w:id="198"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7">
        <w:r>
          <w:rPr>
            <w:rStyle w:val="Hyperlink"/>
          </w:rPr>
          <w:t xml:space="preserve">UCD-SERG/shigella#13</w:t>
        </w:r>
      </w:hyperlink>
      <w:r>
        <w:t xml:space="preserve">).</w:t>
      </w:r>
    </w:p>
    <w:bookmarkEnd w:id="198"/>
    <w:bookmarkEnd w:id="199"/>
    <w:bookmarkStart w:id="216" w:name="references"/>
    <w:p>
      <w:pPr>
        <w:pStyle w:val="Heading1"/>
      </w:pPr>
      <w:r>
        <w:t xml:space="preserve">References</w:t>
      </w:r>
    </w:p>
    <w:bookmarkStart w:id="215" w:name="refs"/>
    <w:bookmarkStart w:id="201"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0">
        <w:r>
          <w:rPr>
            <w:rStyle w:val="Hyperlink"/>
          </w:rPr>
          <w:t xml:space="preserve">https://doi.org/10.1016/S2666-5247(22)00114-8</w:t>
        </w:r>
      </w:hyperlink>
      <w:r>
        <w:t xml:space="preserve">.</w:t>
      </w:r>
    </w:p>
    <w:bookmarkEnd w:id="201"/>
    <w:bookmarkStart w:id="203"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2">
        <w:r>
          <w:rPr>
            <w:rStyle w:val="Hyperlink"/>
          </w:rPr>
          <w:t xml:space="preserve">https://doi.org/10.1016/j.epidem.2024.100806</w:t>
        </w:r>
      </w:hyperlink>
      <w:r>
        <w:t xml:space="preserve">.</w:t>
      </w:r>
    </w:p>
    <w:bookmarkEnd w:id="203"/>
    <w:bookmarkStart w:id="204"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4"/>
    <w:bookmarkStart w:id="206"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5">
        <w:r>
          <w:rPr>
            <w:rStyle w:val="Hyperlink"/>
          </w:rPr>
          <w:t xml:space="preserve">https://doi.org/10.1093/biomet/73.1.13</w:t>
        </w:r>
      </w:hyperlink>
      <w:r>
        <w:t xml:space="preserve">.</w:t>
      </w:r>
    </w:p>
    <w:bookmarkEnd w:id="206"/>
    <w:bookmarkStart w:id="208"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7">
        <w:r>
          <w:rPr>
            <w:rStyle w:val="Hyperlink"/>
          </w:rPr>
          <w:t xml:space="preserve">https://doi.org/10.1159/000286345</w:t>
        </w:r>
      </w:hyperlink>
      <w:r>
        <w:t xml:space="preserve">.</w:t>
      </w:r>
    </w:p>
    <w:bookmarkEnd w:id="208"/>
    <w:bookmarkStart w:id="210"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9">
        <w:r>
          <w:rPr>
            <w:rStyle w:val="Hyperlink"/>
          </w:rPr>
          <w:t xml:space="preserve">https://doi.org/10.1002/sim.8578</w:t>
        </w:r>
      </w:hyperlink>
      <w:r>
        <w:t xml:space="preserve">.</w:t>
      </w:r>
    </w:p>
    <w:bookmarkEnd w:id="210"/>
    <w:bookmarkStart w:id="212"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1">
        <w:r>
          <w:rPr>
            <w:rStyle w:val="Hyperlink"/>
          </w:rPr>
          <w:t xml:space="preserve">https://doi.org/10.1016/j.epidem.2016.04.001</w:t>
        </w:r>
      </w:hyperlink>
      <w:r>
        <w:t xml:space="preserve">.</w:t>
      </w:r>
    </w:p>
    <w:bookmarkEnd w:id="212"/>
    <w:bookmarkStart w:id="213"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3"/>
    <w:bookmarkStart w:id="214"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4"/>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01" Target="media/rId101.svg" /><Relationship Type="http://schemas.openxmlformats.org/officeDocument/2006/relationships/image" Id="rId133" Target="media/rId133.png" /><Relationship Type="http://schemas.openxmlformats.org/officeDocument/2006/relationships/image" Id="rId157" Target="media/rId157.png" /><Relationship Type="http://schemas.openxmlformats.org/officeDocument/2006/relationships/image" Id="rId169" Target="media/rId169.png" /><Relationship Type="http://schemas.openxmlformats.org/officeDocument/2006/relationships/image" Id="rId109" Target="media/rId109.png" /><Relationship Type="http://schemas.openxmlformats.org/officeDocument/2006/relationships/image" Id="rId184" Target="media/rId184.png" /><Relationship Type="http://schemas.openxmlformats.org/officeDocument/2006/relationships/image" Id="rId150" Target="media/rId150.png" /><Relationship Type="http://schemas.openxmlformats.org/officeDocument/2006/relationships/image" Id="rId59" Target="media/rId59.png" /><Relationship Type="http://schemas.openxmlformats.org/officeDocument/2006/relationships/image" Id="rId115" Target="media/rId115.png" /><Relationship Type="http://schemas.openxmlformats.org/officeDocument/2006/relationships/image" Id="rId175" Target="media/rId175.png" /><Relationship Type="http://schemas.openxmlformats.org/officeDocument/2006/relationships/image" Id="rId96" Target="media/rId96.png" /><Relationship Type="http://schemas.openxmlformats.org/officeDocument/2006/relationships/image" Id="rId145" Target="media/rId145.png" /><Relationship Type="http://schemas.openxmlformats.org/officeDocument/2006/relationships/image" Id="rId162" Target="media/rId162.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29" Target="media/rId29.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3" Target="https://d-morrison.github.io/rme/chapters/math-prereqs.html#thm-log-prod" TargetMode="External" /><Relationship Type="http://schemas.openxmlformats.org/officeDocument/2006/relationships/hyperlink" Id="rId209" Target="https://doi.org/10.1002/sim.8578" TargetMode="External" /><Relationship Type="http://schemas.openxmlformats.org/officeDocument/2006/relationships/hyperlink" Id="rId200" Target="https://doi.org/10.1016/S2666-5247(22)00114-8" TargetMode="External" /><Relationship Type="http://schemas.openxmlformats.org/officeDocument/2006/relationships/hyperlink" Id="rId211" Target="https://doi.org/10.1016/j.epidem.2016.04.001" TargetMode="External" /><Relationship Type="http://schemas.openxmlformats.org/officeDocument/2006/relationships/hyperlink" Id="rId202" Target="https://doi.org/10.1016/j.epidem.2024.100806" TargetMode="External" /><Relationship Type="http://schemas.openxmlformats.org/officeDocument/2006/relationships/hyperlink" Id="rId205" Target="https://doi.org/10.1093/biomet/73.1.13" TargetMode="External" /><Relationship Type="http://schemas.openxmlformats.org/officeDocument/2006/relationships/hyperlink" Id="rId207" Target="https://doi.org/10.1159/000286345" TargetMode="External" /><Relationship Type="http://schemas.openxmlformats.org/officeDocument/2006/relationships/hyperlink" Id="rId141" Target="https://github.com/UCD-SERG/serocalculator" TargetMode="External" /><Relationship Type="http://schemas.openxmlformats.org/officeDocument/2006/relationships/hyperlink" Id="rId174" Target="https://github.com/UCD-SERG/serocalculator/issues/629" TargetMode="External" /><Relationship Type="http://schemas.openxmlformats.org/officeDocument/2006/relationships/hyperlink" Id="rId114" Target="https://github.com/UCD-SERG/serocalculator/issues/637" TargetMode="External" /><Relationship Type="http://schemas.openxmlformats.org/officeDocument/2006/relationships/hyperlink" Id="rId130"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7" Target="https://github.com/UCD-SERG/shigella/pull/13" TargetMode="External" /><Relationship Type="http://schemas.openxmlformats.org/officeDocument/2006/relationships/hyperlink" Id="rId195" Target="https://github.com/UCD-SERG/shiny_serocalculator" TargetMode="External" /><Relationship Type="http://schemas.openxmlformats.org/officeDocument/2006/relationships/hyperlink" Id="rId100" Target="https://ucdserg.shinyapps.io/antibody-kinetics-model-2/" TargetMode="External" /><Relationship Type="http://schemas.openxmlformats.org/officeDocument/2006/relationships/hyperlink" Id="rId156"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3" Target="https://d-morrison.github.io/rme/chapters/math-prereqs.html#thm-log-prod" TargetMode="External" /><Relationship Type="http://schemas.openxmlformats.org/officeDocument/2006/relationships/hyperlink" Id="rId209" Target="https://doi.org/10.1002/sim.8578" TargetMode="External" /><Relationship Type="http://schemas.openxmlformats.org/officeDocument/2006/relationships/hyperlink" Id="rId200" Target="https://doi.org/10.1016/S2666-5247(22)00114-8" TargetMode="External" /><Relationship Type="http://schemas.openxmlformats.org/officeDocument/2006/relationships/hyperlink" Id="rId211" Target="https://doi.org/10.1016/j.epidem.2016.04.001" TargetMode="External" /><Relationship Type="http://schemas.openxmlformats.org/officeDocument/2006/relationships/hyperlink" Id="rId202" Target="https://doi.org/10.1016/j.epidem.2024.100806" TargetMode="External" /><Relationship Type="http://schemas.openxmlformats.org/officeDocument/2006/relationships/hyperlink" Id="rId205" Target="https://doi.org/10.1093/biomet/73.1.13" TargetMode="External" /><Relationship Type="http://schemas.openxmlformats.org/officeDocument/2006/relationships/hyperlink" Id="rId207" Target="https://doi.org/10.1159/000286345" TargetMode="External" /><Relationship Type="http://schemas.openxmlformats.org/officeDocument/2006/relationships/hyperlink" Id="rId141" Target="https://github.com/UCD-SERG/serocalculator" TargetMode="External" /><Relationship Type="http://schemas.openxmlformats.org/officeDocument/2006/relationships/hyperlink" Id="rId174" Target="https://github.com/UCD-SERG/serocalculator/issues/629" TargetMode="External" /><Relationship Type="http://schemas.openxmlformats.org/officeDocument/2006/relationships/hyperlink" Id="rId114" Target="https://github.com/UCD-SERG/serocalculator/issues/637" TargetMode="External" /><Relationship Type="http://schemas.openxmlformats.org/officeDocument/2006/relationships/hyperlink" Id="rId130"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7" Target="https://github.com/UCD-SERG/shigella/pull/13" TargetMode="External" /><Relationship Type="http://schemas.openxmlformats.org/officeDocument/2006/relationships/hyperlink" Id="rId195" Target="https://github.com/UCD-SERG/shiny_serocalculator" TargetMode="External" /><Relationship Type="http://schemas.openxmlformats.org/officeDocument/2006/relationships/hyperlink" Id="rId100" Target="https://ucdserg.shinyapps.io/antibody-kinetics-model-2/" TargetMode="External" /><Relationship Type="http://schemas.openxmlformats.org/officeDocument/2006/relationships/hyperlink" Id="rId156"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2026-08-09T18:16:02Z</dcterms:created>
  <dcterms:modified xsi:type="dcterms:W3CDTF">2026-08-09T18:16:02Z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