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5.png" ContentType="image/png"/>
  <Override PartName="/word/media/rId109.png" ContentType="image/png"/>
  <Override PartName="/word/media/rId87.svg" ContentType="image/svg+xml"/>
  <Override PartName="/word/media/rId118.png" ContentType="image/png"/>
  <Override PartName="/word/media/rId142.png" ContentType="image/png"/>
  <Override PartName="/word/media/rId154.png" ContentType="image/png"/>
  <Override PartName="/word/media/rId95.png" ContentType="image/png"/>
  <Override PartName="/word/media/rId169.png" ContentType="image/png"/>
  <Override PartName="/word/media/rId135.png" ContentType="image/png"/>
  <Override PartName="/word/media/rId52.png" ContentType="image/png"/>
  <Override PartName="/word/media/rId100.png" ContentType="image/png"/>
  <Override PartName="/word/media/rId160.png" ContentType="image/png"/>
  <Override PartName="/word/media/rId82.png" ContentType="image/png"/>
  <Override PartName="/word/media/rId130.png" ContentType="image/png"/>
  <Override PartName="/word/media/rId147.png" ContentType="image/png"/>
  <Override PartName="/word/media/rId165.png" ContentType="image/png"/>
  <Override PartName="/word/media/rId174.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3"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100 posterior draws of the antibody-decay curve per antigen-isotype, with the median and the 10% and 90% quantiles overlaid.</w:t>
            </w:r>
          </w:p>
          <w:bookmarkEnd w:id="98"/>
        </w:tc>
      </w:tr>
    </w:tbl>
    <w:p>
      <w:pPr>
        <w:pStyle w:val="BodyText"/>
      </w:pPr>
      <w:r>
        <w:t xml:space="preserve">Passing</w:t>
      </w:r>
      <w:r>
        <w:t xml:space="preserve"> </w:t>
      </w:r>
      <w:r>
        <w:rPr>
          <w:rStyle w:val="VerbatimChar"/>
        </w:rPr>
        <w:t xml:space="preserve">show_quantiles = FALSE</w:t>
      </w:r>
      <w:r>
        <w:t xml:space="preserve"> </w:t>
      </w:r>
      <w:r>
        <w:t xml:space="preserve">draws the individual draws alone, and</w:t>
      </w:r>
      <w:r>
        <w:t xml:space="preserve"> </w:t>
      </w:r>
      <w:r>
        <w:rPr>
          <w:rStyle w:val="VerbatimChar"/>
        </w:rPr>
        <w:t xml:space="preserve">log_x = FALSE</w:t>
      </w:r>
      <w:r>
        <w:t xml:space="preserve"> </w:t>
      </w:r>
      <w:r>
        <w:t xml:space="preserve">puts time on a 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4"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joint log-likelihood differs from the sum of the two separate ones,</w:t>
      </w:r>
      <w:r>
        <w:t xml:space="preserve"> </w:t>
      </w:r>
      <w:r>
        <w:t xml:space="preserve">exactly as the shared</w:t>
      </w:r>
      <w:r>
        <w:t xml:space="preserve"> </w:t>
      </w:r>
      <m:oMath>
        <m:r>
          <m:t>t</m:t>
        </m:r>
      </m:oMath>
      <w:r>
        <w:t xml:space="preserve"> </w:t>
      </w:r>
      <w:r>
        <w:t xml:space="preserve">implies.</w:t>
      </w:r>
    </w:p>
    <w:p>
      <w:pPr>
        <w:pStyle w:val="BodyText"/>
      </w:pPr>
      <w:r>
        <w:t xml:space="preserve">If the biomarkers were independent</w:t>
      </w:r>
      <w:r>
        <w:t xml:space="preserve"> </w:t>
      </w:r>
      <w:r>
        <w:rPr>
          <w:i/>
          <w:iCs/>
        </w:rPr>
        <w:t xml:space="preserve">unconditionally</w:t>
      </w:r>
      <w:r>
        <w:t xml:space="preserve">, the joint</w:t>
      </w:r>
      <w:r>
        <w:t xml:space="preserve"> </w:t>
      </w:r>
      <w:r>
        <w:t xml:space="preserve">log-likelihood would equal the sum. It does not, because each person’s two</w:t>
      </w:r>
      <w:r>
        <w:t xml:space="preserve"> </w:t>
      </w:r>
      <w:r>
        <w:t xml:space="preserve">measurements are tied together by their single latent infection time.</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loglik"/>
          <w:p>
            <w:pPr>
              <w:pStyle w:val="Compact"/>
              <w:jc w:val="center"/>
            </w:pPr>
            <w:r>
              <w:drawing>
                <wp:inline>
                  <wp:extent cx="4620126" cy="3696101"/>
                  <wp:effectExtent b="0" l="0" r="0" t="0"/>
                  <wp:docPr descr="" title="" id="101" name="Picture"/>
                  <a:graphic>
                    <a:graphicData uri="http://schemas.openxmlformats.org/drawingml/2006/picture">
                      <pic:pic>
                        <pic:nvPicPr>
                          <pic:cNvPr descr="methodology_files/figure-docx/fig-loglik-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3"/>
        </w:tc>
      </w:tr>
    </w:tbl>
    <w:bookmarkEnd w:id="104"/>
    <w:bookmarkStart w:id="108"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6" name="Picture"/>
            <a:graphic>
              <a:graphicData uri="http://schemas.openxmlformats.org/drawingml/2006/picture">
                <pic:pic>
                  <pic:nvPicPr>
                    <pic:cNvPr descr="../man/figures/kinetics-variation-1.png" id="107" name="Picture"/>
                    <pic:cNvPicPr>
                      <a:picLocks noChangeArrowheads="1" noChangeAspect="1"/>
                    </pic:cNvPicPr>
                  </pic:nvPicPr>
                  <pic:blipFill>
                    <a:blip r:embed="rId105"/>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8"/>
    <w:bookmarkStart w:id="112"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0" name="Picture"/>
            <a:graphic>
              <a:graphicData uri="http://schemas.openxmlformats.org/drawingml/2006/picture">
                <pic:pic>
                  <pic:nvPicPr>
                    <pic:cNvPr descr="../man/figures/kinetics-variation-2.png" id="111" name="Picture"/>
                    <pic:cNvPicPr>
                      <a:picLocks noChangeArrowheads="1" noChangeAspect="1"/>
                    </pic:cNvPicPr>
                  </pic:nvPicPr>
                  <pic:blipFill>
                    <a:blip r:embed="rId10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2"/>
    <w:bookmarkEnd w:id="113"/>
    <w:bookmarkStart w:id="125" w:name="estimating-the-curves-with-serodynamics"/>
    <w:p>
      <w:pPr>
        <w:pStyle w:val="Heading1"/>
      </w:pPr>
      <w:r>
        <w:t xml:space="preserve">6. Estimating the curves with</w:t>
      </w:r>
      <w:r>
        <w:t xml:space="preserve"> </w:t>
      </w:r>
      <w:r>
        <w:rPr>
          <w:rStyle w:val="VerbatimChar"/>
        </w:rPr>
        <w:t xml:space="preserve">serodynamics</w:t>
      </w:r>
    </w:p>
    <w:bookmarkStart w:id="114"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4"/>
    <w:bookmarkStart w:id="116"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5">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6"/>
    <w:bookmarkStart w:id="117"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7"/>
    <w:bookmarkStart w:id="121"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9" name="Picture"/>
            <a:graphic>
              <a:graphicData uri="http://schemas.openxmlformats.org/drawingml/2006/picture">
                <pic:pic>
                  <pic:nvPicPr>
                    <pic:cNvPr descr="../man/figures/serodynamics-cached-fit.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1"/>
    <w:bookmarkStart w:id="122"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2"/>
    <w:bookmarkStart w:id="123"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3"/>
    <w:bookmarkStart w:id="124"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4"/>
    <w:bookmarkEnd w:id="125"/>
    <w:bookmarkStart w:id="146" w:name="using-serocalculator"/>
    <w:p>
      <w:pPr>
        <w:pStyle w:val="Heading1"/>
      </w:pPr>
      <w:r>
        <w:t xml:space="preserve">7. Using</w:t>
      </w:r>
      <w:r>
        <w:t xml:space="preserve"> </w:t>
      </w:r>
      <w:r>
        <w:rPr>
          <w:rStyle w:val="VerbatimChar"/>
        </w:rPr>
        <w:t xml:space="preserve">serocalculator</w:t>
      </w:r>
    </w:p>
    <w:bookmarkStart w:id="127"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6">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7"/>
    <w:bookmarkStart w:id="128"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8"/>
    <w:bookmarkStart w:id="129"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29"/>
    <w:bookmarkStart w:id="134"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3" w:name="fig-sim-distribution"/>
          <w:p>
            <w:pPr>
              <w:pStyle w:val="Compact"/>
              <w:jc w:val="center"/>
            </w:pPr>
            <w:r>
              <w:drawing>
                <wp:inline>
                  <wp:extent cx="4620126" cy="3696101"/>
                  <wp:effectExtent b="0" l="0" r="0" t="0"/>
                  <wp:docPr descr="" title="" id="131" name="Picture"/>
                  <a:graphic>
                    <a:graphicData uri="http://schemas.openxmlformats.org/drawingml/2006/picture">
                      <pic:pic>
                        <pic:nvPicPr>
                          <pic:cNvPr descr="methodology_files/figure-docx/fig-sim-distribution-1.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3"/>
        </w:tc>
      </w:tr>
    </w:tbl>
    <w:bookmarkEnd w:id="134"/>
    <w:bookmarkStart w:id="139"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8" w:name="fig-est-single-loglik"/>
          <w:p>
            <w:pPr>
              <w:pStyle w:val="Compact"/>
              <w:jc w:val="center"/>
            </w:pPr>
            <w:r>
              <w:drawing>
                <wp:inline>
                  <wp:extent cx="4620126" cy="3696101"/>
                  <wp:effectExtent b="0" l="0" r="0" t="0"/>
                  <wp:docPr descr="" title="" id="136" name="Picture"/>
                  <a:graphic>
                    <a:graphicData uri="http://schemas.openxmlformats.org/drawingml/2006/picture">
                      <pic:pic>
                        <pic:nvPicPr>
                          <pic:cNvPr descr="methodology_files/figure-docx/fig-est-single-loglik-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8"/>
        </w:tc>
      </w:tr>
    </w:tbl>
    <w:bookmarkEnd w:id="139"/>
    <w:bookmarkStart w:id="140"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BodyText"/>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0"/>
    <w:bookmarkStart w:id="145" w:name="interactive-shiny-app"/>
    <w:p>
      <w:pPr>
        <w:pStyle w:val="Heading2"/>
      </w:pPr>
      <w:r>
        <w:t xml:space="preserve">7.7 Interactive Shiny app</w:t>
      </w:r>
    </w:p>
    <w:p>
      <w:pPr>
        <w:pStyle w:val="FirstParagraph"/>
      </w:pPr>
      <w:r>
        <w:t xml:space="preserve">A point-and-click interface is available at</w:t>
      </w:r>
      <w:r>
        <w:t xml:space="preserve"> </w:t>
      </w:r>
      <w:hyperlink r:id="rId141">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3" name="Picture"/>
            <a:graphic>
              <a:graphicData uri="http://schemas.openxmlformats.org/drawingml/2006/picture">
                <pic:pic>
                  <pic:nvPicPr>
                    <pic:cNvPr descr="../man/figures/shiny-serocalculator.png" id="144" name="Picture"/>
                    <pic:cNvPicPr>
                      <a:picLocks noChangeArrowheads="1" noChangeAspect="1"/>
                    </pic:cNvPicPr>
                  </pic:nvPicPr>
                  <pic:blipFill>
                    <a:blip r:embed="rId142"/>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5"/>
    <w:bookmarkEnd w:id="146"/>
    <w:bookmarkStart w:id="179" w:name="sec-validation"/>
    <w:p>
      <w:pPr>
        <w:pStyle w:val="Heading1"/>
      </w:pPr>
      <w:r>
        <w:t xml:space="preserve">8. Validation: recovering known incidence rates</w:t>
      </w:r>
    </w:p>
    <w:bookmarkStart w:id="151"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0" w:name="fig-sim-multi-distribution"/>
          <w:p>
            <w:pPr>
              <w:pStyle w:val="Compact"/>
              <w:jc w:val="center"/>
            </w:pPr>
            <w:r>
              <w:drawing>
                <wp:inline>
                  <wp:extent cx="4620126" cy="4620126"/>
                  <wp:effectExtent b="0" l="0" r="0" t="0"/>
                  <wp:docPr descr="" title="" id="148" name="Picture"/>
                  <a:graphic>
                    <a:graphicData uri="http://schemas.openxmlformats.org/drawingml/2006/picture">
                      <pic:pic>
                        <pic:nvPicPr>
                          <pic:cNvPr descr="methodology_files/figure-docx/fig-sim-multi-distribution-1.png" id="149" name="Picture"/>
                          <pic:cNvPicPr>
                            <a:picLocks noChangeArrowheads="1" noChangeAspect="1"/>
                          </pic:cNvPicPr>
                        </pic:nvPicPr>
                        <pic:blipFill>
                          <a:blip r:embed="rId147"/>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0"/>
        </w:tc>
      </w:tr>
    </w:tbl>
    <w:bookmarkEnd w:id="151"/>
    <w:bookmarkStart w:id="153"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2"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2"/>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3"/>
    <w:bookmarkStart w:id="158"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7" w:name="fig-cluster-logliks"/>
          <w:p>
            <w:pPr>
              <w:pStyle w:val="Compact"/>
              <w:jc w:val="center"/>
            </w:pPr>
            <w:r>
              <w:drawing>
                <wp:inline>
                  <wp:extent cx="4620126" cy="6468176"/>
                  <wp:effectExtent b="0" l="0" r="0" t="0"/>
                  <wp:docPr descr="" title="" id="155" name="Picture"/>
                  <a:graphic>
                    <a:graphicData uri="http://schemas.openxmlformats.org/drawingml/2006/picture">
                      <pic:pic>
                        <pic:nvPicPr>
                          <pic:cNvPr descr="methodology_files/figure-docx/fig-cluster-logliks-1.png" id="156" name="Picture"/>
                          <pic:cNvPicPr>
                            <a:picLocks noChangeArrowheads="1" noChangeAspect="1"/>
                          </pic:cNvPicPr>
                        </pic:nvPicPr>
                        <pic:blipFill>
                          <a:blip r:embed="rId15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7"/>
        </w:tc>
      </w:tr>
    </w:tbl>
    <w:bookmarkEnd w:id="158"/>
    <w:bookmarkStart w:id="164"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59">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3" w:name="fig-problem-strata"/>
          <w:p>
            <w:pPr>
              <w:pStyle w:val="Compact"/>
              <w:jc w:val="center"/>
            </w:pPr>
            <w:r>
              <w:drawing>
                <wp:inline>
                  <wp:extent cx="4620126" cy="6468176"/>
                  <wp:effectExtent b="0" l="0" r="0" t="0"/>
                  <wp:docPr descr="" title="" id="161" name="Picture"/>
                  <a:graphic>
                    <a:graphicData uri="http://schemas.openxmlformats.org/drawingml/2006/picture">
                      <pic:pic>
                        <pic:nvPicPr>
                          <pic:cNvPr descr="methodology_files/figure-docx/fig-problem-strata-1.png" id="162" name="Picture"/>
                          <pic:cNvPicPr>
                            <a:picLocks noChangeArrowheads="1" noChangeAspect="1"/>
                          </pic:cNvPicPr>
                        </pic:nvPicPr>
                        <pic:blipFill>
                          <a:blip r:embed="rId16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3"/>
        </w:tc>
      </w:tr>
    </w:tbl>
    <w:bookmarkEnd w:id="164"/>
    <w:bookmarkStart w:id="173"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8" w:name="fig-sim-recovery"/>
          <w:p>
            <w:pPr>
              <w:pStyle w:val="Compact"/>
              <w:jc w:val="center"/>
            </w:pPr>
            <w:r>
              <w:drawing>
                <wp:inline>
                  <wp:extent cx="4620126" cy="3696101"/>
                  <wp:effectExtent b="0" l="0" r="0" t="0"/>
                  <wp:docPr descr="" title="" id="166" name="Picture"/>
                  <a:graphic>
                    <a:graphicData uri="http://schemas.openxmlformats.org/drawingml/2006/picture">
                      <pic:pic>
                        <pic:nvPicPr>
                          <pic:cNvPr descr="methodology_files/figure-docx/fig-sim-recovery-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8"/>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2" w:name="fig-empirical-se"/>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empirical-se-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2"/>
        </w:tc>
      </w:tr>
    </w:tbl>
    <w:bookmarkEnd w:id="173"/>
    <w:bookmarkStart w:id="178"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7" w:name="fig-sim-recovery-renew"/>
          <w:p>
            <w:pPr>
              <w:pStyle w:val="Compact"/>
              <w:jc w:val="center"/>
            </w:pPr>
            <w:r>
              <w:drawing>
                <wp:inline>
                  <wp:extent cx="4620126" cy="3696101"/>
                  <wp:effectExtent b="0" l="0" r="0" t="0"/>
                  <wp:docPr descr="" title="" id="175" name="Picture"/>
                  <a:graphic>
                    <a:graphicData uri="http://schemas.openxmlformats.org/drawingml/2006/picture">
                      <pic:pic>
                        <pic:nvPicPr>
                          <pic:cNvPr descr="methodology_files/figure-docx/fig-sim-recovery-renew-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7"/>
        </w:tc>
      </w:tr>
    </w:tbl>
    <w:bookmarkEnd w:id="178"/>
    <w:bookmarkEnd w:id="179"/>
    <w:bookmarkStart w:id="184" w:name="ongoing-and-future-work"/>
    <w:p>
      <w:pPr>
        <w:pStyle w:val="Heading1"/>
      </w:pPr>
      <w:r>
        <w:t xml:space="preserve">9. Ongoing and future work</w:t>
      </w:r>
    </w:p>
    <w:bookmarkStart w:id="181"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1">
        <w:r>
          <w:rPr>
            <w:rStyle w:val="Hyperlink"/>
          </w:rPr>
          <w:t xml:space="preserve">serocalculator Shiny app</w:t>
        </w:r>
      </w:hyperlink>
      <w:r>
        <w:t xml:space="preserve">,</w:t>
      </w:r>
      <w:r>
        <w:t xml:space="preserve"> </w:t>
      </w:r>
      <w:hyperlink r:id="rId180">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1"/>
    <w:bookmarkStart w:id="183"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2">
        <w:r>
          <w:rPr>
            <w:rStyle w:val="Hyperlink"/>
          </w:rPr>
          <w:t xml:space="preserve">UCD-SERG/shigella#13</w:t>
        </w:r>
      </w:hyperlink>
      <w:r>
        <w:t xml:space="preserve">).</w:t>
      </w:r>
    </w:p>
    <w:bookmarkEnd w:id="183"/>
    <w:bookmarkEnd w:id="184"/>
    <w:bookmarkStart w:id="197" w:name="references"/>
    <w:p>
      <w:pPr>
        <w:pStyle w:val="Heading1"/>
      </w:pPr>
      <w:r>
        <w:t xml:space="preserve">References</w:t>
      </w:r>
    </w:p>
    <w:bookmarkStart w:id="196" w:name="refs"/>
    <w:bookmarkStart w:id="18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5">
        <w:r>
          <w:rPr>
            <w:rStyle w:val="Hyperlink"/>
          </w:rPr>
          <w:t xml:space="preserve">https://doi.org/10.1016/S2666-5247(22)00114-8</w:t>
        </w:r>
      </w:hyperlink>
      <w:r>
        <w:t xml:space="preserve">.</w:t>
      </w:r>
    </w:p>
    <w:bookmarkEnd w:id="186"/>
    <w:bookmarkStart w:id="18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7">
        <w:r>
          <w:rPr>
            <w:rStyle w:val="Hyperlink"/>
          </w:rPr>
          <w:t xml:space="preserve">https://doi.org/10.1016/j.epidem.2024.100806</w:t>
        </w:r>
      </w:hyperlink>
      <w:r>
        <w:t xml:space="preserve">.</w:t>
      </w:r>
    </w:p>
    <w:bookmarkEnd w:id="188"/>
    <w:bookmarkStart w:id="19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89">
        <w:r>
          <w:rPr>
            <w:rStyle w:val="Hyperlink"/>
          </w:rPr>
          <w:t xml:space="preserve">https://doi.org/10.1159/000286345</w:t>
        </w:r>
      </w:hyperlink>
      <w:r>
        <w:t xml:space="preserve">.</w:t>
      </w:r>
    </w:p>
    <w:bookmarkEnd w:id="190"/>
    <w:bookmarkStart w:id="192"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1">
        <w:r>
          <w:rPr>
            <w:rStyle w:val="Hyperlink"/>
          </w:rPr>
          <w:t xml:space="preserve">https://doi.org/10.1002/sim.8578</w:t>
        </w:r>
      </w:hyperlink>
      <w:r>
        <w:t xml:space="preserve">.</w:t>
      </w:r>
    </w:p>
    <w:bookmarkEnd w:id="192"/>
    <w:bookmarkStart w:id="194"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3">
        <w:r>
          <w:rPr>
            <w:rStyle w:val="Hyperlink"/>
          </w:rPr>
          <w:t xml:space="preserve">https://doi.org/10.1016/j.epidem.2016.04.001</w:t>
        </w:r>
      </w:hyperlink>
      <w:r>
        <w:t xml:space="preserve">.</w:t>
      </w:r>
    </w:p>
    <w:bookmarkEnd w:id="194"/>
    <w:bookmarkStart w:id="195"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7" Target="media/rId87.sv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95" Target="media/rId95.png" /><Relationship Type="http://schemas.openxmlformats.org/officeDocument/2006/relationships/image" Id="rId169" Target="media/rId169.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100" Target="media/rId100.png" /><Relationship Type="http://schemas.openxmlformats.org/officeDocument/2006/relationships/image" Id="rId160" Target="media/rId160.png" /><Relationship Type="http://schemas.openxmlformats.org/officeDocument/2006/relationships/image" Id="rId82" Target="media/rId82.png" /><Relationship Type="http://schemas.openxmlformats.org/officeDocument/2006/relationships/image" Id="rId130" Target="media/rId130.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2026-08-07T03:10:46Z</dcterms:created>
  <dcterms:modified xsi:type="dcterms:W3CDTF">2026-08-07T03:10:46Z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2026-08-07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