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6.png" ContentType="image/png"/>
  <Override PartName="/word/media/rId110.png" ContentType="image/png"/>
  <Override PartName="/word/media/rId87.svg" ContentType="image/svg+xml"/>
  <Override PartName="/word/media/rId119.png" ContentType="image/png"/>
  <Override PartName="/word/media/rId143.png" ContentType="image/png"/>
  <Override PartName="/word/media/rId155.png" ContentType="image/png"/>
  <Override PartName="/word/media/rId95.png" ContentType="image/png"/>
  <Override PartName="/word/media/rId170.png" ContentType="image/png"/>
  <Override PartName="/word/media/rId136.png" ContentType="image/png"/>
  <Override PartName="/word/media/rId52.png" ContentType="image/png"/>
  <Override PartName="/word/media/rId101.png" ContentType="image/png"/>
  <Override PartName="/word/media/rId161.png" ContentType="image/png"/>
  <Override PartName="/word/media/rId82.png" ContentType="image/png"/>
  <Override PartName="/word/media/rId131.png" ContentType="image/png"/>
  <Override PartName="/word/media/rId148.png" ContentType="image/png"/>
  <Override PartName="/word/media/rId166.png" ContentType="image/png"/>
  <Override PartName="/word/media/rId175.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2026-08-08</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14"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98" w:name="fig-curve-posterior"/>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curve-posterior-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98"/>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99"/>
    <w:bookmarkStart w:id="105" w:name="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rPr>
          <w:rStyle w:val="VerbatimChar"/>
        </w:rPr>
        <w:t xml:space="preserve">log_likelihood()</w:t>
      </w:r>
      <w:r>
        <w:t xml:space="preserve"> </w:t>
      </w:r>
      <w:r>
        <w:t xml:space="preserve">evaluates the log-likelihood at a given</w:t>
      </w:r>
      <w:r>
        <w:t xml:space="preserve"> </w:t>
      </w:r>
      <m:oMath>
        <m:r>
          <m:t>λ</m:t>
        </m:r>
      </m:oMath>
      <w:r>
        <w:t xml:space="preserve">, which</w:t>
      </w:r>
      <w:r>
        <w:t xml:space="preserve"> </w:t>
      </w:r>
      <w:r>
        <w:t xml:space="preserve">lets us check that claim numerically:</w:t>
      </w:r>
    </w:p>
    <w:p>
      <w:pPr>
        <w:pStyle w:val="SourceCode"/>
      </w:pPr>
      <w:r>
        <w:rPr>
          <w:rStyle w:val="VerbatimChar"/>
        </w:rPr>
        <w:t xml:space="preserve">      IgA       IgG       sum     joint </w:t>
      </w:r>
      <w:r>
        <w:br/>
      </w:r>
      <w:r>
        <w:rPr>
          <w:rStyle w:val="VerbatimChar"/>
        </w:rPr>
        <w:t xml:space="preserve">-3801.688 -4918.504 -8720.192 -8720.192 </w:t>
      </w:r>
    </w:p>
    <w:p>
      <w:pPr>
        <w:pStyle w:val="FirstParagraph"/>
      </w:pPr>
      <w:r>
        <w:t xml:space="preserve">The two-biomarker value is</w:t>
      </w:r>
      <w:r>
        <w:t xml:space="preserve"> </w:t>
      </w:r>
      <w:r>
        <w:rPr>
          <w:b/>
          <w:bCs/>
        </w:rPr>
        <w:t xml:space="preserve">exactly</w:t>
      </w:r>
      <w:r>
        <w:t xml:space="preserve"> </w:t>
      </w:r>
      <w:r>
        <w:t xml:space="preserve">the sum of the separate ones. That is</w:t>
      </w:r>
      <w:r>
        <w:t xml:space="preserve"> </w:t>
      </w:r>
      <w:r>
        <w:t xml:space="preserve">worth pausing on, because the formula above says it should not be: one</w:t>
      </w:r>
      <w:r>
        <w:t xml:space="preserve"> </w:t>
      </w:r>
      <w:r>
        <w:t xml:space="preserve">integral over a shared</w:t>
      </w:r>
      <w:r>
        <w:t xml:space="preserve"> </w:t>
      </w:r>
      <m:oMath>
        <m:r>
          <m:t>t</m:t>
        </m:r>
      </m:oMath>
      <w:r>
        <w:t xml:space="preserve"> </w:t>
      </w:r>
      <w:r>
        <w:t xml:space="preserve">does not factor into two separate integrals.</w:t>
      </w:r>
    </w:p>
    <w:p>
      <w:pPr>
        <w:pStyle w:val="BodyText"/>
      </w:pPr>
      <w:r>
        <w:t xml:space="preserve">What it tells us is that</w:t>
      </w:r>
      <w:r>
        <w:t xml:space="preserve"> </w:t>
      </w:r>
      <w:r>
        <w:rPr>
          <w:rStyle w:val="VerbatimChar"/>
        </w:rPr>
        <w:t xml:space="preserve">log_likelihood()</w:t>
      </w:r>
      <w:r>
        <w:t xml:space="preserve"> </w:t>
      </w:r>
      <w:r>
        <w:t xml:space="preserve">currently combines biomarkers by</w:t>
      </w:r>
      <w:r>
        <w:t xml:space="preserve"> </w:t>
      </w:r>
      <w:r>
        <w:t xml:space="preserve">summing their individual log-likelihoods, which is the stronger assumption</w:t>
      </w:r>
      <w:r>
        <w:t xml:space="preserve"> </w:t>
      </w:r>
      <w:r>
        <w:t xml:space="preserve">that the biomarkers are independent</w:t>
      </w:r>
      <w:r>
        <w:t xml:space="preserve"> </w:t>
      </w:r>
      <w:r>
        <w:rPr>
          <w:i/>
          <w:iCs/>
        </w:rPr>
        <w:t xml:space="preserve">unconditionally</w:t>
      </w:r>
      <w:r>
        <w:t xml:space="preserve">, each with its own</w:t>
      </w:r>
      <w:r>
        <w:t xml:space="preserve"> </w:t>
      </w:r>
      <w:r>
        <w:t xml:space="preserve">latent infection time.</w:t>
      </w:r>
      <w:r>
        <w:t xml:space="preserve"> </w:t>
      </w:r>
      <w:r>
        <w:rPr>
          <w:rStyle w:val="VerbatimChar"/>
        </w:rPr>
        <w:t xml:space="preserve">est_seroincidence()</w:t>
      </w:r>
      <w:r>
        <w:t xml:space="preserve"> </w:t>
      </w:r>
      <w:r>
        <w:t xml:space="preserve">optimizes through the same code</w:t>
      </w:r>
      <w:r>
        <w:t xml:space="preserve"> </w:t>
      </w:r>
      <w:r>
        <w:t xml:space="preserve">path, so this is the estimation model rather than a quirk of this one</w:t>
      </w:r>
      <w:r>
        <w:t xml:space="preserve"> </w:t>
      </w:r>
      <w:r>
        <w:t xml:space="preserve">function.</w:t>
      </w:r>
    </w:p>
    <w:p>
      <w:pPr>
        <w:pStyle w:val="BodyText"/>
      </w:pPr>
      <w:r>
        <w:t xml:space="preserve">Whether the formula or the implementation should change is</w:t>
      </w:r>
      <w:r>
        <w:t xml:space="preserve"> </w:t>
      </w:r>
      <w:hyperlink r:id="rId100">
        <w:r>
          <w:rPr>
            <w:rStyle w:val="Hyperlink"/>
          </w:rPr>
          <w:t xml:space="preserve">an open question</w:t>
        </w:r>
      </w:hyperlink>
      <w:r>
        <w:t xml:space="preserve">.</w:t>
      </w:r>
      <w:r>
        <w:t xml:space="preserve"> </w:t>
      </w:r>
      <w:r>
        <w:t xml:space="preserve">Until it is settled, read a multi-biomarker standard error as assuming</w:t>
      </w:r>
      <w:r>
        <w:t xml:space="preserve"> </w:t>
      </w:r>
      <w:r>
        <w:t xml:space="preserve">independence across biomarkers.</w:t>
      </w:r>
    </w:p>
    <w:p>
      <w:pPr>
        <w:pStyle w:val="BodyText"/>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w:t>
      </w:r>
      <w:r>
        <w:t xml:space="preserve"> </w:t>
      </w:r>
      <w:r>
        <w:t xml:space="preserve">biomarker, and adds the results, with a source comment naming the</w:t>
      </w:r>
      <w:r>
        <w:t xml:space="preserve"> </w:t>
      </w:r>
      <w:r>
        <w:t xml:space="preserve">independence assumption. Summing log-likelihoods is the log of the product of</w:t>
      </w:r>
      <w:r>
        <w:t xml:space="preserve"> </w:t>
      </w:r>
      <w:r>
        <w:t xml:space="preserve">the marginals.</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w:t>
      </w:r>
      <w:r>
        <w:t xml:space="preserve"> </w:t>
      </w:r>
      <w:r>
        <w:t xml:space="preserve">independence</w:t>
      </w:r>
      <w:r>
        <w:t xml:space="preserve"> </w:t>
      </w:r>
      <w:r>
        <w:rPr>
          <w:i/>
          <w:iCs/>
        </w:rPr>
        <w:t xml:space="preserve">given</w:t>
      </w:r>
      <w:r>
        <w:t xml:space="preserve"> </w:t>
      </w:r>
      <m:oMath>
        <m:r>
          <m:t>t</m:t>
        </m:r>
      </m:oMath>
      <w:r>
        <w:t xml:space="preserve">; the question above is whether the current code</w:t>
      </w:r>
      <w:r>
        <w:t xml:space="preserve"> </w:t>
      </w:r>
      <w:r>
        <w:t xml:space="preserve">implements even that much.)</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4" w:name="fig-loglik"/>
          <w:p>
            <w:pPr>
              <w:pStyle w:val="Compact"/>
              <w:jc w:val="center"/>
            </w:pPr>
            <w:r>
              <w:drawing>
                <wp:inline>
                  <wp:extent cx="4620126" cy="3696101"/>
                  <wp:effectExtent b="0" l="0" r="0" t="0"/>
                  <wp:docPr descr="" title="" id="102" name="Picture"/>
                  <a:graphic>
                    <a:graphicData uri="http://schemas.openxmlformats.org/drawingml/2006/picture">
                      <pic:pic>
                        <pic:nvPicPr>
                          <pic:cNvPr descr="methodology_files/figure-docx/fig-loglik-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w:t>
            </w:r>
          </w:p>
          <w:bookmarkEnd w:id="104"/>
        </w:tc>
      </w:tr>
    </w:tbl>
    <w:bookmarkEnd w:id="105"/>
    <w:bookmarkStart w:id="109"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7" name="Picture"/>
            <a:graphic>
              <a:graphicData uri="http://schemas.openxmlformats.org/drawingml/2006/picture">
                <pic:pic>
                  <pic:nvPicPr>
                    <pic:cNvPr descr="../man/figures/kinetics-variation-1.png" id="108" name="Picture"/>
                    <pic:cNvPicPr>
                      <a:picLocks noChangeArrowheads="1" noChangeAspect="1"/>
                    </pic:cNvPicPr>
                  </pic:nvPicPr>
                  <pic:blipFill>
                    <a:blip r:embed="rId106"/>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9"/>
    <w:bookmarkStart w:id="113"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11" name="Picture"/>
            <a:graphic>
              <a:graphicData uri="http://schemas.openxmlformats.org/drawingml/2006/picture">
                <pic:pic>
                  <pic:nvPicPr>
                    <pic:cNvPr descr="../man/figures/kinetics-variation-2.png" id="112" name="Picture"/>
                    <pic:cNvPicPr>
                      <a:picLocks noChangeArrowheads="1" noChangeAspect="1"/>
                    </pic:cNvPicPr>
                  </pic:nvPicPr>
                  <pic:blipFill>
                    <a:blip r:embed="rId110"/>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13"/>
    <w:bookmarkEnd w:id="114"/>
    <w:bookmarkStart w:id="126" w:name="estimating-the-curves-with-serodynamics"/>
    <w:p>
      <w:pPr>
        <w:pStyle w:val="Heading1"/>
      </w:pPr>
      <w:r>
        <w:t xml:space="preserve">6. Estimating the curves with</w:t>
      </w:r>
      <w:r>
        <w:t xml:space="preserve"> </w:t>
      </w:r>
      <w:r>
        <w:rPr>
          <w:rStyle w:val="VerbatimChar"/>
        </w:rPr>
        <w:t xml:space="preserve">serodynamics</w:t>
      </w:r>
    </w:p>
    <w:bookmarkStart w:id="115"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15"/>
    <w:bookmarkStart w:id="117"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6">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7"/>
    <w:bookmarkStart w:id="118"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8"/>
    <w:bookmarkStart w:id="122"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20" name="Picture"/>
            <a:graphic>
              <a:graphicData uri="http://schemas.openxmlformats.org/drawingml/2006/picture">
                <pic:pic>
                  <pic:nvPicPr>
                    <pic:cNvPr descr="../man/figures/serodynamics-cached-fit.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22"/>
    <w:bookmarkStart w:id="123"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23"/>
    <w:bookmarkStart w:id="124"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24"/>
    <w:bookmarkStart w:id="125"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25"/>
    <w:bookmarkEnd w:id="126"/>
    <w:bookmarkStart w:id="147" w:name="using-serocalculator"/>
    <w:p>
      <w:pPr>
        <w:pStyle w:val="Heading1"/>
      </w:pPr>
      <w:r>
        <w:t xml:space="preserve">7. Using</w:t>
      </w:r>
      <w:r>
        <w:t xml:space="preserve"> </w:t>
      </w:r>
      <w:r>
        <w:rPr>
          <w:rStyle w:val="VerbatimChar"/>
        </w:rPr>
        <w:t xml:space="preserve">serocalculator</w:t>
      </w:r>
    </w:p>
    <w:bookmarkStart w:id="128"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7">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28"/>
    <w:bookmarkStart w:id="129"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42"/>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42"/>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42"/>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29"/>
    <w:bookmarkStart w:id="130"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30"/>
    <w:bookmarkStart w:id="135"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34" w:name="fig-sim-distribution"/>
          <w:p>
            <w:pPr>
              <w:pStyle w:val="Compact"/>
              <w:jc w:val="center"/>
            </w:pPr>
            <w:r>
              <w:drawing>
                <wp:inline>
                  <wp:extent cx="4620126" cy="3696101"/>
                  <wp:effectExtent b="0" l="0" r="0" t="0"/>
                  <wp:docPr descr="" title="" id="132" name="Picture"/>
                  <a:graphic>
                    <a:graphicData uri="http://schemas.openxmlformats.org/drawingml/2006/picture">
                      <pic:pic>
                        <pic:nvPicPr>
                          <pic:cNvPr descr="methodology_files/figure-docx/fig-sim-distribution-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34"/>
        </w:tc>
      </w:tr>
    </w:tbl>
    <w:bookmarkEnd w:id="135"/>
    <w:bookmarkStart w:id="140"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39" w:name="fig-est-single-loglik"/>
          <w:p>
            <w:pPr>
              <w:pStyle w:val="Compact"/>
              <w:jc w:val="center"/>
            </w:pPr>
            <w:r>
              <w:drawing>
                <wp:inline>
                  <wp:extent cx="4620126" cy="3696101"/>
                  <wp:effectExtent b="0" l="0" r="0" t="0"/>
                  <wp:docPr descr="" title="" id="137" name="Picture"/>
                  <a:graphic>
                    <a:graphicData uri="http://schemas.openxmlformats.org/drawingml/2006/picture">
                      <pic:pic>
                        <pic:nvPicPr>
                          <pic:cNvPr descr="methodology_files/figure-docx/fig-est-single-loglik-1.png" id="138" name="Picture"/>
                          <pic:cNvPicPr>
                            <a:picLocks noChangeArrowheads="1" noChangeAspect="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39"/>
        </w:tc>
      </w:tr>
    </w:tbl>
    <w:bookmarkEnd w:id="140"/>
    <w:bookmarkStart w:id="141"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41"/>
    <w:bookmarkStart w:id="146" w:name="interactive-shiny-app"/>
    <w:p>
      <w:pPr>
        <w:pStyle w:val="Heading2"/>
      </w:pPr>
      <w:r>
        <w:t xml:space="preserve">7.7 Interactive Shiny app</w:t>
      </w:r>
    </w:p>
    <w:p>
      <w:pPr>
        <w:pStyle w:val="FirstParagraph"/>
      </w:pPr>
      <w:r>
        <w:t xml:space="preserve">A point-and-click interface is available at</w:t>
      </w:r>
      <w:r>
        <w:t xml:space="preserve"> </w:t>
      </w:r>
      <w:hyperlink r:id="rId142">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44" name="Picture"/>
            <a:graphic>
              <a:graphicData uri="http://schemas.openxmlformats.org/drawingml/2006/picture">
                <pic:pic>
                  <pic:nvPicPr>
                    <pic:cNvPr descr="../man/figures/shiny-serocalculator.png" id="145" name="Picture"/>
                    <pic:cNvPicPr>
                      <a:picLocks noChangeArrowheads="1" noChangeAspect="1"/>
                    </pic:cNvPicPr>
                  </pic:nvPicPr>
                  <pic:blipFill>
                    <a:blip r:embed="rId143"/>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46"/>
    <w:bookmarkEnd w:id="147"/>
    <w:bookmarkStart w:id="180" w:name="sec-validation"/>
    <w:p>
      <w:pPr>
        <w:pStyle w:val="Heading1"/>
      </w:pPr>
      <w:r>
        <w:t xml:space="preserve">8. Validation: recovering known incidence rates</w:t>
      </w:r>
    </w:p>
    <w:bookmarkStart w:id="152"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51" w:name="fig-sim-multi-distribution"/>
          <w:p>
            <w:pPr>
              <w:pStyle w:val="Compact"/>
              <w:jc w:val="center"/>
            </w:pPr>
            <w:r>
              <w:drawing>
                <wp:inline>
                  <wp:extent cx="4620126" cy="4620126"/>
                  <wp:effectExtent b="0" l="0" r="0" t="0"/>
                  <wp:docPr descr="" title="" id="149" name="Picture"/>
                  <a:graphic>
                    <a:graphicData uri="http://schemas.openxmlformats.org/drawingml/2006/picture">
                      <pic:pic>
                        <pic:nvPicPr>
                          <pic:cNvPr descr="methodology_files/figure-docx/fig-sim-multi-distribution-1.png" id="150" name="Picture"/>
                          <pic:cNvPicPr>
                            <a:picLocks noChangeArrowheads="1" noChangeAspect="1"/>
                          </pic:cNvPicPr>
                        </pic:nvPicPr>
                        <pic:blipFill>
                          <a:blip r:embed="rId148"/>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51"/>
        </w:tc>
      </w:tr>
    </w:tbl>
    <w:bookmarkEnd w:id="152"/>
    <w:bookmarkStart w:id="154"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53" w:name="tbl-ests-summary"/>
          <w:p>
            <w:pPr>
              <w:jc w:val="center"/>
            </w:pPr>
            <w:pPr>
              <w:jc w:val="left"/>
              <w:spacing w:before="200"/>
              <w:pStyle w:val="ImageCaption"/>
            </w:pPr>
            <w:r>
              <w:t xml:space="preserve">Table 1</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         100       0.05       1   100       0.1         0.0538 0.00957</w:t>
            </w:r>
            <w:r>
              <w:br/>
            </w:r>
            <w:r>
              <w:rPr>
                <w:rStyle w:val="VerbatimChar"/>
              </w:rPr>
              <w:t xml:space="preserve"> 2 Stratu…         100       0.05       2   100       0.1         0.0462 0.00869</w:t>
            </w:r>
            <w:r>
              <w:br/>
            </w:r>
            <w:r>
              <w:rPr>
                <w:rStyle w:val="VerbatimChar"/>
              </w:rPr>
              <w:t xml:space="preserve"> 3 Stratu…         100       0.05       3   100       0.1         0.0446 0.00801</w:t>
            </w:r>
            <w:r>
              <w:br/>
            </w:r>
            <w:r>
              <w:rPr>
                <w:rStyle w:val="VerbatimChar"/>
              </w:rPr>
              <w:t xml:space="preserve"> 4 Stratu…         100       0.05       4   100       0.1         0.0475 0.00819</w:t>
            </w:r>
            <w:r>
              <w:br/>
            </w:r>
            <w:r>
              <w:rPr>
                <w:rStyle w:val="VerbatimChar"/>
              </w:rPr>
              <w:t xml:space="preserve"> 5 Stratu…         100       0.05       5   100       0.1         0.0560 0.00896</w:t>
            </w:r>
            <w:r>
              <w:br/>
            </w:r>
            <w:r>
              <w:rPr>
                <w:rStyle w:val="VerbatimChar"/>
              </w:rPr>
              <w:t xml:space="preserve"> 6 Stratu…         100       0.05       6   100       0.1         0.0569 0.00961</w:t>
            </w:r>
            <w:r>
              <w:br/>
            </w:r>
            <w:r>
              <w:rPr>
                <w:rStyle w:val="VerbatimChar"/>
              </w:rPr>
              <w:t xml:space="preserve"> 7 Stratu…         100       0.05       7   100       0.1         0.0392 0.00743</w:t>
            </w:r>
            <w:r>
              <w:br/>
            </w:r>
            <w:r>
              <w:rPr>
                <w:rStyle w:val="VerbatimChar"/>
              </w:rPr>
              <w:t xml:space="preserve"> 8 Stratu…         100       0.05       8   100       0.1         0.0698 0.0108 </w:t>
            </w:r>
            <w:r>
              <w:br/>
            </w:r>
            <w:r>
              <w:rPr>
                <w:rStyle w:val="VerbatimChar"/>
              </w:rPr>
              <w:t xml:space="preserve"> 9 Stratu…         100       0.05       9   100       0.1         0.0557 0.00947</w:t>
            </w:r>
            <w:r>
              <w:br/>
            </w:r>
            <w:r>
              <w:rPr>
                <w:rStyle w:val="VerbatimChar"/>
              </w:rPr>
              <w:t xml:space="preserve">10 Stratu…         100       0.05      10   100       0.1         0.0416 0.00805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53"/>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54"/>
    <w:bookmarkStart w:id="159"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58" w:name="fig-cluster-logliks"/>
          <w:p>
            <w:pPr>
              <w:pStyle w:val="Compact"/>
              <w:jc w:val="center"/>
            </w:pPr>
            <w:r>
              <w:drawing>
                <wp:inline>
                  <wp:extent cx="4620126" cy="6468176"/>
                  <wp:effectExtent b="0" l="0" r="0" t="0"/>
                  <wp:docPr descr="" title="" id="156" name="Picture"/>
                  <a:graphic>
                    <a:graphicData uri="http://schemas.openxmlformats.org/drawingml/2006/picture">
                      <pic:pic>
                        <pic:nvPicPr>
                          <pic:cNvPr descr="methodology_files/figure-docx/fig-cluster-logliks-1.png" id="157" name="Picture"/>
                          <pic:cNvPicPr>
                            <a:picLocks noChangeArrowheads="1" noChangeAspect="1"/>
                          </pic:cNvPicPr>
                        </pic:nvPicPr>
                        <pic:blipFill>
                          <a:blip r:embed="rId155"/>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58"/>
        </w:tc>
      </w:tr>
    </w:tbl>
    <w:bookmarkEnd w:id="159"/>
    <w:bookmarkStart w:id="165"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13</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43"/>
        </w:numPr>
      </w:pPr>
      <w:r>
        <w:t xml:space="preserve">code 3: decrease</w:t>
      </w:r>
      <w:r>
        <w:t xml:space="preserve"> </w:t>
      </w:r>
      <w:r>
        <w:rPr>
          <w:rStyle w:val="VerbatimChar"/>
        </w:rPr>
        <w:t xml:space="preserve">stepmin</w:t>
      </w:r>
    </w:p>
    <w:p>
      <w:pPr>
        <w:pStyle w:val="Compact"/>
        <w:numPr>
          <w:ilvl w:val="0"/>
          <w:numId w:val="1043"/>
        </w:numPr>
      </w:pPr>
      <w:r>
        <w:t xml:space="preserve">code 4: increase</w:t>
      </w:r>
      <w:r>
        <w:t xml:space="preserve"> </w:t>
      </w:r>
      <w:r>
        <w:rPr>
          <w:rStyle w:val="VerbatimChar"/>
        </w:rPr>
        <w:t xml:space="preserve">iterlim</w:t>
      </w:r>
    </w:p>
    <w:p>
      <w:pPr>
        <w:pStyle w:val="Compact"/>
        <w:numPr>
          <w:ilvl w:val="0"/>
          <w:numId w:val="1043"/>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60">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64" w:name="fig-problem-strata"/>
          <w:p>
            <w:pPr>
              <w:pStyle w:val="Compact"/>
              <w:jc w:val="center"/>
            </w:pPr>
            <w:r>
              <w:drawing>
                <wp:inline>
                  <wp:extent cx="4620126" cy="6468176"/>
                  <wp:effectExtent b="0" l="0" r="0" t="0"/>
                  <wp:docPr descr="" title="" id="162" name="Picture"/>
                  <a:graphic>
                    <a:graphicData uri="http://schemas.openxmlformats.org/drawingml/2006/picture">
                      <pic:pic>
                        <pic:nvPicPr>
                          <pic:cNvPr descr="methodology_files/figure-docx/fig-problem-strata-1.png" id="163" name="Picture"/>
                          <pic:cNvPicPr>
                            <a:picLocks noChangeArrowheads="1" noChangeAspect="1"/>
                          </pic:cNvPicPr>
                        </pic:nvPicPr>
                        <pic:blipFill>
                          <a:blip r:embed="rId161"/>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64"/>
        </w:tc>
      </w:tr>
    </w:tbl>
    <w:bookmarkEnd w:id="165"/>
    <w:bookmarkStart w:id="174" w:name="estimates-recover-the-simulated-rates"/>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69" w:name="fig-sim-recovery"/>
          <w:p>
            <w:pPr>
              <w:pStyle w:val="Compact"/>
              <w:jc w:val="center"/>
            </w:pPr>
            <w:r>
              <w:drawing>
                <wp:inline>
                  <wp:extent cx="4620126" cy="3696101"/>
                  <wp:effectExtent b="0" l="0" r="0" t="0"/>
                  <wp:docPr descr="" title="" id="167" name="Picture"/>
                  <a:graphic>
                    <a:graphicData uri="http://schemas.openxmlformats.org/drawingml/2006/picture">
                      <pic:pic>
                        <pic:nvPicPr>
                          <pic:cNvPr descr="methodology_files/figure-docx/fig-sim-recovery-1.png" id="168" name="Picture"/>
                          <pic:cNvPicPr>
                            <a:picLocks noChangeArrowheads="1" noChangeAspect="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69"/>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1       0.05         100 0.00292     0.00905       0.0102 0.0103        0.0362</w:t>
      </w:r>
      <w:r>
        <w:br/>
      </w:r>
      <w:r>
        <w:rPr>
          <w:rStyle w:val="VerbatimChar"/>
        </w:rPr>
        <w:t xml:space="preserve">2       0.1          100 0.00894     0.0144        0.0204 0.0218        0.0571</w:t>
      </w:r>
      <w:r>
        <w:br/>
      </w:r>
      <w:r>
        <w:rPr>
          <w:rStyle w:val="VerbatimChar"/>
        </w:rPr>
        <w:t xml:space="preserve">3       0.15         100 0.0222      0.0199        0.0183 0.0285        0.0786</w:t>
      </w:r>
      <w:r>
        <w:br/>
      </w:r>
      <w:r>
        <w:rPr>
          <w:rStyle w:val="VerbatimChar"/>
        </w:rPr>
        <w:t xml:space="preserve">4       0.2          100 0.0269      0.0242        0.0319 0.0411        0.0957</w:t>
      </w:r>
      <w:r>
        <w:br/>
      </w:r>
      <w:r>
        <w:rPr>
          <w:rStyle w:val="VerbatimChar"/>
        </w:rPr>
        <w:t xml:space="preserve">5       0.5          100 0.0857      0.0568        0.0758 0.113         0.224 </w:t>
      </w:r>
      <w:r>
        <w:br/>
      </w:r>
      <w:r>
        <w:rPr>
          <w:rStyle w:val="VerbatimChar"/>
        </w:rPr>
        <w:t xml:space="preserve">6       0.8          100 0.172       0.0989        0.115  0.205         0.390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73" w:name="fig-empirical-se"/>
          <w:p>
            <w:pPr>
              <w:pStyle w:val="Compact"/>
              <w:jc w:val="center"/>
            </w:pPr>
            <w:r>
              <w:drawing>
                <wp:inline>
                  <wp:extent cx="4620126" cy="3696101"/>
                  <wp:effectExtent b="0" l="0" r="0" t="0"/>
                  <wp:docPr descr="" title="" id="171" name="Picture"/>
                  <a:graphic>
                    <a:graphicData uri="http://schemas.openxmlformats.org/drawingml/2006/picture">
                      <pic:pic>
                        <pic:nvPicPr>
                          <pic:cNvPr descr="methodology_files/figure-docx/fig-empirical-se-1.png" id="172" name="Picture"/>
                          <pic:cNvPicPr>
                            <a:picLocks noChangeArrowheads="1" noChangeAspect="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73"/>
        </w:tc>
      </w:tr>
    </w:tbl>
    <w:bookmarkEnd w:id="174"/>
    <w:bookmarkStart w:id="179" w:name="X047cffc7758e27a01cb5430c10b991b39f63029"/>
    <w:p>
      <w:pPr>
        <w:pStyle w:val="Heading2"/>
      </w:pPr>
      <w:r>
        <w:t xml:space="preserve">8.6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78" w:name="fig-sim-recovery-renew"/>
          <w:p>
            <w:pPr>
              <w:pStyle w:val="Compact"/>
              <w:jc w:val="center"/>
            </w:pPr>
            <w:r>
              <w:drawing>
                <wp:inline>
                  <wp:extent cx="4620126" cy="3696101"/>
                  <wp:effectExtent b="0" l="0" r="0" t="0"/>
                  <wp:docPr descr="" title="" id="176" name="Picture"/>
                  <a:graphic>
                    <a:graphicData uri="http://schemas.openxmlformats.org/drawingml/2006/picture">
                      <pic:pic>
                        <pic:nvPicPr>
                          <pic:cNvPr descr="methodology_files/figure-docx/fig-sim-recovery-renew-1.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78"/>
        </w:tc>
      </w:tr>
    </w:tbl>
    <w:bookmarkEnd w:id="179"/>
    <w:bookmarkEnd w:id="180"/>
    <w:bookmarkStart w:id="185" w:name="ongoing-and-future-work"/>
    <w:p>
      <w:pPr>
        <w:pStyle w:val="Heading1"/>
      </w:pPr>
      <w:r>
        <w:t xml:space="preserve">9. Ongoing and future work</w:t>
      </w:r>
    </w:p>
    <w:bookmarkStart w:id="182" w:name="in-progress-work"/>
    <w:p>
      <w:pPr>
        <w:pStyle w:val="Heading2"/>
      </w:pPr>
      <w:r>
        <w:t xml:space="preserve">9.1 In-progress work</w:t>
      </w:r>
    </w:p>
    <w:p>
      <w:pPr>
        <w:numPr>
          <w:ilvl w:val="0"/>
          <w:numId w:val="1044"/>
        </w:numPr>
      </w:pPr>
      <w:r>
        <w:t xml:space="preserve">Extending and improving existing Shiny apps for these methods</w:t>
      </w:r>
      <w:r>
        <w:t xml:space="preserve"> </w:t>
      </w:r>
      <w:r>
        <w:t xml:space="preserve">(e.g., the</w:t>
      </w:r>
      <w:r>
        <w:t xml:space="preserve"> </w:t>
      </w:r>
      <w:hyperlink r:id="rId142">
        <w:r>
          <w:rPr>
            <w:rStyle w:val="Hyperlink"/>
          </w:rPr>
          <w:t xml:space="preserve">serocalculator Shiny app</w:t>
        </w:r>
      </w:hyperlink>
      <w:r>
        <w:t xml:space="preserve">,</w:t>
      </w:r>
      <w:r>
        <w:t xml:space="preserve"> </w:t>
      </w:r>
      <w:hyperlink r:id="rId181">
        <w:r>
          <w:rPr>
            <w:rStyle w:val="Hyperlink"/>
          </w:rPr>
          <w:t xml:space="preserve">source</w:t>
        </w:r>
      </w:hyperlink>
      <w:r>
        <w:t xml:space="preserve">)</w:t>
      </w:r>
    </w:p>
    <w:p>
      <w:pPr>
        <w:numPr>
          <w:ilvl w:val="0"/>
          <w:numId w:val="1044"/>
        </w:numPr>
      </w:pPr>
      <w:r>
        <w:t xml:space="preserve">Multivariate modeling of biomarkers (relaxing conditional independence)</w:t>
      </w:r>
    </w:p>
    <w:p>
      <w:pPr>
        <w:numPr>
          <w:ilvl w:val="0"/>
          <w:numId w:val="1044"/>
        </w:numPr>
      </w:pPr>
      <w:r>
        <w:t xml:space="preserve">A graphical (Shiny) app for</w:t>
      </w:r>
      <w:r>
        <w:t xml:space="preserve"> </w:t>
      </w:r>
      <w:r>
        <w:rPr>
          <w:rStyle w:val="VerbatimChar"/>
        </w:rPr>
        <w:t xml:space="preserve">serodynamics</w:t>
      </w:r>
    </w:p>
    <w:p>
      <w:pPr>
        <w:numPr>
          <w:ilvl w:val="0"/>
          <w:numId w:val="1044"/>
        </w:numPr>
      </w:pPr>
      <w:r>
        <w:t xml:space="preserve">Modeling time-varying incidence rates</w:t>
      </w:r>
    </w:p>
    <w:p>
      <w:pPr>
        <w:numPr>
          <w:ilvl w:val="0"/>
          <w:numId w:val="1044"/>
        </w:numPr>
      </w:pPr>
      <w:r>
        <w:t xml:space="preserve">Accounting for re-exposure</w:t>
      </w:r>
    </w:p>
    <w:p>
      <w:pPr>
        <w:numPr>
          <w:ilvl w:val="0"/>
          <w:numId w:val="1044"/>
        </w:numPr>
      </w:pPr>
      <w:r>
        <w:t xml:space="preserve">Accounting for latent immunocompromised subpopulations</w:t>
      </w:r>
    </w:p>
    <w:p>
      <w:pPr>
        <w:numPr>
          <w:ilvl w:val="0"/>
          <w:numId w:val="1044"/>
        </w:numPr>
      </w:pPr>
      <w:r>
        <w:t xml:space="preserve">Calibrating to population demographics</w:t>
      </w:r>
    </w:p>
    <w:bookmarkEnd w:id="182"/>
    <w:bookmarkStart w:id="184"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83">
        <w:r>
          <w:rPr>
            <w:rStyle w:val="Hyperlink"/>
          </w:rPr>
          <w:t xml:space="preserve">UCD-SERG/shigella#13</w:t>
        </w:r>
      </w:hyperlink>
      <w:r>
        <w:t xml:space="preserve">).</w:t>
      </w:r>
    </w:p>
    <w:bookmarkEnd w:id="184"/>
    <w:bookmarkEnd w:id="185"/>
    <w:bookmarkStart w:id="198" w:name="references"/>
    <w:p>
      <w:pPr>
        <w:pStyle w:val="Heading1"/>
      </w:pPr>
      <w:r>
        <w:t xml:space="preserve">References</w:t>
      </w:r>
    </w:p>
    <w:bookmarkStart w:id="197" w:name="refs"/>
    <w:bookmarkStart w:id="187"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6">
        <w:r>
          <w:rPr>
            <w:rStyle w:val="Hyperlink"/>
          </w:rPr>
          <w:t xml:space="preserve">https://doi.org/10.1016/S2666-5247(22)00114-8</w:t>
        </w:r>
      </w:hyperlink>
      <w:r>
        <w:t xml:space="preserve">.</w:t>
      </w:r>
    </w:p>
    <w:bookmarkEnd w:id="187"/>
    <w:bookmarkStart w:id="189"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88">
        <w:r>
          <w:rPr>
            <w:rStyle w:val="Hyperlink"/>
          </w:rPr>
          <w:t xml:space="preserve">https://doi.org/10.1016/j.epidem.2024.100806</w:t>
        </w:r>
      </w:hyperlink>
      <w:r>
        <w:t xml:space="preserve">.</w:t>
      </w:r>
    </w:p>
    <w:bookmarkEnd w:id="189"/>
    <w:bookmarkStart w:id="191"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90">
        <w:r>
          <w:rPr>
            <w:rStyle w:val="Hyperlink"/>
          </w:rPr>
          <w:t xml:space="preserve">https://doi.org/10.1159/000286345</w:t>
        </w:r>
      </w:hyperlink>
      <w:r>
        <w:t xml:space="preserve">.</w:t>
      </w:r>
    </w:p>
    <w:bookmarkEnd w:id="191"/>
    <w:bookmarkStart w:id="193"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92">
        <w:r>
          <w:rPr>
            <w:rStyle w:val="Hyperlink"/>
          </w:rPr>
          <w:t xml:space="preserve">https://doi.org/10.1002/sim.8578</w:t>
        </w:r>
      </w:hyperlink>
      <w:r>
        <w:t xml:space="preserve">.</w:t>
      </w:r>
    </w:p>
    <w:bookmarkEnd w:id="193"/>
    <w:bookmarkStart w:id="195"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94">
        <w:r>
          <w:rPr>
            <w:rStyle w:val="Hyperlink"/>
          </w:rPr>
          <w:t xml:space="preserve">https://doi.org/10.1016/j.epidem.2016.04.001</w:t>
        </w:r>
      </w:hyperlink>
      <w:r>
        <w:t xml:space="preserve">.</w:t>
      </w:r>
    </w:p>
    <w:bookmarkEnd w:id="195"/>
    <w:bookmarkStart w:id="196"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96"/>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87" Target="media/rId87.svg" /><Relationship Type="http://schemas.openxmlformats.org/officeDocument/2006/relationships/image" Id="rId119" Target="media/rId119.png" /><Relationship Type="http://schemas.openxmlformats.org/officeDocument/2006/relationships/image" Id="rId143" Target="media/rId143.png" /><Relationship Type="http://schemas.openxmlformats.org/officeDocument/2006/relationships/image" Id="rId155" Target="media/rId155.png" /><Relationship Type="http://schemas.openxmlformats.org/officeDocument/2006/relationships/image" Id="rId95" Target="media/rId95.png" /><Relationship Type="http://schemas.openxmlformats.org/officeDocument/2006/relationships/image" Id="rId170" Target="media/rId170.png" /><Relationship Type="http://schemas.openxmlformats.org/officeDocument/2006/relationships/image" Id="rId136" Target="media/rId136.png" /><Relationship Type="http://schemas.openxmlformats.org/officeDocument/2006/relationships/image" Id="rId52" Target="media/rId52.png" /><Relationship Type="http://schemas.openxmlformats.org/officeDocument/2006/relationships/image" Id="rId101" Target="media/rId101.png" /><Relationship Type="http://schemas.openxmlformats.org/officeDocument/2006/relationships/image" Id="rId161" Target="media/rId161.png" /><Relationship Type="http://schemas.openxmlformats.org/officeDocument/2006/relationships/image" Id="rId82" Target="media/rId82.png" /><Relationship Type="http://schemas.openxmlformats.org/officeDocument/2006/relationships/image" Id="rId131" Target="media/rId131.png" /><Relationship Type="http://schemas.openxmlformats.org/officeDocument/2006/relationships/image" Id="rId148" Target="media/rId148.png" /><Relationship Type="http://schemas.openxmlformats.org/officeDocument/2006/relationships/image" Id="rId166" Target="media/rId166.png" /><Relationship Type="http://schemas.openxmlformats.org/officeDocument/2006/relationships/image" Id="rId175" Target="media/rId175.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2" Target="https://doi.org/10.1002/sim.8578" TargetMode="External" /><Relationship Type="http://schemas.openxmlformats.org/officeDocument/2006/relationships/hyperlink" Id="rId186" Target="https://doi.org/10.1016/S2666-5247(22)00114-8" TargetMode="External" /><Relationship Type="http://schemas.openxmlformats.org/officeDocument/2006/relationships/hyperlink" Id="rId194" Target="https://doi.org/10.1016/j.epidem.2016.04.001" TargetMode="External" /><Relationship Type="http://schemas.openxmlformats.org/officeDocument/2006/relationships/hyperlink" Id="rId188" Target="https://doi.org/10.1016/j.epidem.2024.100806" TargetMode="External" /><Relationship Type="http://schemas.openxmlformats.org/officeDocument/2006/relationships/hyperlink" Id="rId190" Target="https://doi.org/10.1159/000286345" TargetMode="External" /><Relationship Type="http://schemas.openxmlformats.org/officeDocument/2006/relationships/hyperlink" Id="rId127" Target="https://github.com/UCD-SERG/serocalculator" TargetMode="External" /><Relationship Type="http://schemas.openxmlformats.org/officeDocument/2006/relationships/hyperlink" Id="rId160" Target="https://github.com/UCD-SERG/serocalculator/issues/629" TargetMode="External" /><Relationship Type="http://schemas.openxmlformats.org/officeDocument/2006/relationships/hyperlink" Id="rId100" Target="https://github.com/UCD-SERG/serocalculator/issues/637" TargetMode="External" /><Relationship Type="http://schemas.openxmlformats.org/officeDocument/2006/relationships/hyperlink" Id="rId116"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3" Target="https://github.com/UCD-SERG/shigella/pull/13" TargetMode="External" /><Relationship Type="http://schemas.openxmlformats.org/officeDocument/2006/relationships/hyperlink" Id="rId181"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42"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2" Target="https://doi.org/10.1002/sim.8578" TargetMode="External" /><Relationship Type="http://schemas.openxmlformats.org/officeDocument/2006/relationships/hyperlink" Id="rId186" Target="https://doi.org/10.1016/S2666-5247(22)00114-8" TargetMode="External" /><Relationship Type="http://schemas.openxmlformats.org/officeDocument/2006/relationships/hyperlink" Id="rId194" Target="https://doi.org/10.1016/j.epidem.2016.04.001" TargetMode="External" /><Relationship Type="http://schemas.openxmlformats.org/officeDocument/2006/relationships/hyperlink" Id="rId188" Target="https://doi.org/10.1016/j.epidem.2024.100806" TargetMode="External" /><Relationship Type="http://schemas.openxmlformats.org/officeDocument/2006/relationships/hyperlink" Id="rId190" Target="https://doi.org/10.1159/000286345" TargetMode="External" /><Relationship Type="http://schemas.openxmlformats.org/officeDocument/2006/relationships/hyperlink" Id="rId127" Target="https://github.com/UCD-SERG/serocalculator" TargetMode="External" /><Relationship Type="http://schemas.openxmlformats.org/officeDocument/2006/relationships/hyperlink" Id="rId160" Target="https://github.com/UCD-SERG/serocalculator/issues/629" TargetMode="External" /><Relationship Type="http://schemas.openxmlformats.org/officeDocument/2006/relationships/hyperlink" Id="rId100" Target="https://github.com/UCD-SERG/serocalculator/issues/637" TargetMode="External" /><Relationship Type="http://schemas.openxmlformats.org/officeDocument/2006/relationships/hyperlink" Id="rId116"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3" Target="https://github.com/UCD-SERG/shigella/pull/13" TargetMode="External" /><Relationship Type="http://schemas.openxmlformats.org/officeDocument/2006/relationships/hyperlink" Id="rId181"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42"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2026-08-08T01:44:29Z</dcterms:created>
  <dcterms:modified xsi:type="dcterms:W3CDTF">2026-08-08T01:44:29Z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