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9.png" ContentType="image/png"/>
  <Override PartName="/word/media/rId171.png" ContentType="image/png"/>
  <Override PartName="/word/media/rId110.png" ContentType="image/png"/>
  <Override PartName="/word/media/rId186.png" ContentType="image/png"/>
  <Override PartName="/word/media/rId152.png" ContentType="image/png"/>
  <Override PartName="/word/media/rId60.png" ContentType="image/png"/>
  <Override PartName="/word/media/rId116.png" ContentType="image/png"/>
  <Override PartName="/word/media/rId177.png" ContentType="image/png"/>
  <Override PartName="/word/media/rId97.png" ContentType="image/png"/>
  <Override PartName="/word/media/rId147.png" ContentType="image/png"/>
  <Override PartName="/word/media/rId164.png" ContentType="image/png"/>
  <Override PartName="/word/media/rId182.png" ContentType="image/png"/>
  <Override PartName="/word/media/rId191.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2026-08-26</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3"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6"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p>
      <w:pPr>
        <w:pStyle w:val="BodyText"/>
      </w:pPr>
      <w:r>
        <w:t xml:space="preserve">The assay limits censor measurements outside its quantifiable range.</w:t>
      </w:r>
      <w:r>
        <w:t xml:space="preserve"> </w:t>
      </w:r>
      <w:r>
        <w:t xml:space="preserve">The</w:t>
      </w:r>
      <w:r>
        <w:t xml:space="preserve"> </w:t>
      </w:r>
      <w:r>
        <w:rPr>
          <w:rStyle w:val="VerbatimChar"/>
        </w:rPr>
        <w:t xml:space="preserve">y.low</w:t>
      </w:r>
      <w:r>
        <w:t xml:space="preserve"> </w:t>
      </w:r>
      <w:r>
        <w:t xml:space="preserve">value is the lower limit of detection,</w:t>
      </w:r>
      <w:r>
        <w:t xml:space="preserve"> </w:t>
      </w:r>
      <m:oMath>
        <m:r>
          <m:t>L</m:t>
        </m:r>
      </m:oMath>
      <w:r>
        <w:t xml:space="preserve">,</w:t>
      </w:r>
      <w:r>
        <w:t xml:space="preserve"> </w:t>
      </w:r>
      <w:r>
        <w:t xml:space="preserve">and</w:t>
      </w:r>
      <w:r>
        <w:t xml:space="preserve"> </w:t>
      </w:r>
      <w:r>
        <w:rPr>
          <w:rStyle w:val="VerbatimChar"/>
        </w:rPr>
        <w:t xml:space="preserve">y.high</w:t>
      </w:r>
      <w:r>
        <w:t xml:space="preserve"> </w:t>
      </w:r>
      <w:r>
        <w:t xml:space="preserve">is the upper limit,</w:t>
      </w:r>
      <w:r>
        <w:t xml:space="preserve"> </w:t>
      </w:r>
      <m:oMath>
        <m:r>
          <m:t>U</m:t>
        </m:r>
      </m:oMath>
      <w:r>
        <w:t xml:space="preserve">.</w:t>
      </w:r>
      <w:r>
        <w:t xml:space="preserve"> </w:t>
      </w:r>
      <w:r>
        <w:t xml:space="preserve">A result reported at or below</w:t>
      </w:r>
      <w:r>
        <w:t xml:space="preserve"> </w:t>
      </w:r>
      <m:oMath>
        <m:r>
          <m:t>L</m:t>
        </m:r>
      </m:oMath>
      <w:r>
        <w:t xml:space="preserve"> </w:t>
      </w:r>
      <w:r>
        <w:t xml:space="preserve">establishes only that the response lies in the lower interval.</w:t>
      </w:r>
      <w:r>
        <w:t xml:space="preserve"> </w:t>
      </w:r>
      <w:r>
        <w:t xml:space="preserve">A result reported at or above</w:t>
      </w:r>
      <w:r>
        <w:t xml:space="preserve"> </w:t>
      </w:r>
      <m:oMath>
        <m:r>
          <m:t>U</m:t>
        </m:r>
      </m:oMath>
      <w:r>
        <w:t xml:space="preserve"> </w:t>
      </w:r>
      <w:r>
        <w:t xml:space="preserve">establishes only that it lies in the upper interval.</w:t>
      </w:r>
    </w:p>
    <w:p>
      <w:pPr>
        <w:pStyle w:val="BodyText"/>
      </w:pPr>
      <w:r>
        <w:t xml:space="preserve">Let</w:t>
      </w:r>
      <w:r>
        <w:t xml:space="preserve"> </w:t>
      </w:r>
      <m:oMath>
        <m:sSub>
          <m:e>
            <m:r>
              <m:t>f</m:t>
            </m:r>
          </m:e>
          <m:sub>
            <m:r>
              <m:t>λ</m:t>
            </m:r>
          </m:sub>
        </m:sSub>
        <m:r>
          <m:rPr>
            <m:sty m:val="p"/>
          </m:rPr>
          <m:t>(</m:t>
        </m:r>
        <m:r>
          <m:t>y</m:t>
        </m:r>
        <m:r>
          <m:rPr>
            <m:sty m:val="p"/>
          </m:rPr>
          <m:t>∣</m:t>
        </m:r>
        <m:r>
          <m:t>a</m:t>
        </m:r>
        <m:r>
          <m:rPr>
            <m:sty m:val="p"/>
          </m:rPr>
          <m:t>)</m:t>
        </m:r>
      </m:oMath>
      <w:r>
        <w:t xml:space="preserve"> </w:t>
      </w:r>
      <w:r>
        <w:t xml:space="preserve">and</w:t>
      </w:r>
      <w:r>
        <w:t xml:space="preserve"> </w:t>
      </w:r>
      <m:oMath>
        <m:sSub>
          <m:e>
            <m:r>
              <m:t>F</m:t>
            </m:r>
          </m:e>
          <m:sub>
            <m:r>
              <m:t>λ</m:t>
            </m:r>
          </m:sub>
        </m:sSub>
        <m:r>
          <m:rPr>
            <m:sty m:val="p"/>
          </m:rPr>
          <m:t>(</m:t>
        </m:r>
        <m:r>
          <m:t>y</m:t>
        </m:r>
        <m:r>
          <m:rPr>
            <m:sty m:val="p"/>
          </m:rPr>
          <m:t>∣</m:t>
        </m:r>
        <m:r>
          <m:t>a</m:t>
        </m:r>
        <m:r>
          <m:rPr>
            <m:sty m:val="p"/>
          </m:rPr>
          <m:t>)</m:t>
        </m:r>
      </m:oMath>
      <w:r>
        <w:t xml:space="preserve"> </w:t>
      </w:r>
      <w:r>
        <w:t xml:space="preserve">be the model-implied density and cumulative distribution</w:t>
      </w:r>
      <w:r>
        <w:t xml:space="preserve"> </w:t>
      </w:r>
      <w:r>
        <w:t xml:space="preserve">for a participant of age</w:t>
      </w:r>
      <w:r>
        <w:t xml:space="preserve"> </w:t>
      </w:r>
      <m:oMath>
        <m:r>
          <m:t>a</m:t>
        </m:r>
      </m:oMath>
      <w:r>
        <w:t xml:space="preserve">,</w:t>
      </w:r>
      <w:r>
        <w:t xml:space="preserve"> </w:t>
      </w:r>
      <w:r>
        <w:t xml:space="preserve">including the antibody-kinetics distribution and both noise sources.</w:t>
      </w:r>
      <w:r>
        <w:t xml:space="preserve"> </w:t>
      </w:r>
      <w:r>
        <w:t xml:space="preserve">The intended noise-consistent likelihood contribution is</w:t>
      </w:r>
    </w:p>
    <w:p>
      <w:pPr>
        <w:pStyle w:val="BodyText"/>
      </w:pPr>
      <m:oMathPara>
        <m:oMathParaPr>
          <m:jc m:val="center"/>
        </m:oMathParaPr>
        <m:oMath>
          <m:sSub>
            <m:e>
              <m:r>
                <m:rPr>
                  <m:scr m:val="script"/>
                  <m:sty m:val="p"/>
                </m:rPr>
                <m:t>L</m:t>
              </m:r>
            </m:e>
            <m:sub>
              <m:r>
                <m:t>i</m:t>
              </m:r>
            </m:sub>
          </m:sSub>
          <m:r>
            <m:rPr>
              <m:sty m:val="p"/>
            </m:rPr>
            <m:t>(</m:t>
          </m:r>
          <m:r>
            <m:t>λ</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λ</m:t>
                        </m:r>
                      </m:sub>
                    </m:sSub>
                    <m:r>
                      <m:rPr>
                        <m:sty m:val="p"/>
                      </m:rPr>
                      <m:t>(</m:t>
                    </m:r>
                    <m:r>
                      <m:t>L</m:t>
                    </m:r>
                    <m:r>
                      <m:rPr>
                        <m:sty m:val="p"/>
                      </m:rPr>
                      <m:t>∣</m:t>
                    </m:r>
                    <m:sSub>
                      <m:e>
                        <m:r>
                          <m:t>a</m:t>
                        </m:r>
                      </m:e>
                      <m:sub>
                        <m:r>
                          <m:t>i</m:t>
                        </m:r>
                      </m:sub>
                    </m:sSub>
                    <m:r>
                      <m:rPr>
                        <m:sty m:val="p"/>
                      </m:rPr>
                      <m:t>)</m:t>
                    </m:r>
                    <m:r>
                      <m:rPr>
                        <m:sty m:val="p"/>
                      </m:rPr>
                      <m:t>,</m:t>
                    </m:r>
                  </m:e>
                  <m:e>
                    <m:sSub>
                      <m:e>
                        <m:r>
                          <m:t>y</m:t>
                        </m:r>
                      </m:e>
                      <m:sub>
                        <m:r>
                          <m:t>i</m:t>
                        </m:r>
                      </m:sub>
                    </m:sSub>
                    <m:r>
                      <m:rPr>
                        <m:sty m:val="p"/>
                      </m:rPr>
                      <m:t>≤</m:t>
                    </m:r>
                    <m:r>
                      <m:t>L</m:t>
                    </m:r>
                    <m:r>
                      <m:rPr>
                        <m:sty m:val="p"/>
                      </m:rPr>
                      <m:t>,</m:t>
                    </m:r>
                  </m:e>
                </m:mr>
                <m:mr>
                  <m:e>
                    <m:sSub>
                      <m:e>
                        <m:r>
                          <m:t>f</m:t>
                        </m:r>
                      </m:e>
                      <m:sub>
                        <m:r>
                          <m:t>λ</m:t>
                        </m:r>
                      </m:sub>
                    </m:sSub>
                    <m:r>
                      <m:rPr>
                        <m:sty m:val="p"/>
                      </m:rPr>
                      <m:t>(</m:t>
                    </m:r>
                    <m:sSub>
                      <m:e>
                        <m:r>
                          <m:t>y</m:t>
                        </m:r>
                      </m:e>
                      <m:sub>
                        <m:r>
                          <m:t>i</m:t>
                        </m:r>
                      </m:sub>
                    </m:sSub>
                    <m:r>
                      <m:rPr>
                        <m:sty m:val="p"/>
                      </m:rPr>
                      <m:t>∣</m:t>
                    </m:r>
                    <m:sSub>
                      <m:e>
                        <m:r>
                          <m:t>a</m:t>
                        </m:r>
                      </m:e>
                      <m:sub>
                        <m:r>
                          <m:t>i</m:t>
                        </m:r>
                      </m:sub>
                    </m:sSub>
                    <m:r>
                      <m:rPr>
                        <m:sty m:val="p"/>
                      </m:rPr>
                      <m:t>)</m:t>
                    </m:r>
                    <m:r>
                      <m:rPr>
                        <m:sty m:val="p"/>
                      </m:rPr>
                      <m:t>,</m:t>
                    </m:r>
                  </m:e>
                  <m:e>
                    <m:r>
                      <m:t>L</m:t>
                    </m:r>
                    <m:r>
                      <m:rPr>
                        <m:sty m:val="p"/>
                      </m:rPr>
                      <m:t>&lt;</m:t>
                    </m:r>
                    <m:sSub>
                      <m:e>
                        <m:r>
                          <m:t>y</m:t>
                        </m:r>
                      </m:e>
                      <m:sub>
                        <m:r>
                          <m:t>i</m:t>
                        </m:r>
                      </m:sub>
                    </m:sSub>
                    <m:r>
                      <m:rPr>
                        <m:sty m:val="p"/>
                      </m:rPr>
                      <m:t>&lt;</m:t>
                    </m:r>
                    <m:r>
                      <m:t>U</m:t>
                    </m:r>
                    <m:r>
                      <m:rPr>
                        <m:sty m:val="p"/>
                      </m:rPr>
                      <m:t>,</m:t>
                    </m:r>
                  </m:e>
                </m:mr>
                <m:mr>
                  <m:e>
                    <m:r>
                      <m:t>1</m:t>
                    </m:r>
                    <m:r>
                      <m:rPr>
                        <m:sty m:val="p"/>
                      </m:rPr>
                      <m:t>−</m:t>
                    </m:r>
                    <m:sSub>
                      <m:e>
                        <m:r>
                          <m:t>F</m:t>
                        </m:r>
                      </m:e>
                      <m:sub>
                        <m:r>
                          <m:t>λ</m:t>
                        </m:r>
                      </m:sub>
                    </m:sSub>
                    <m:r>
                      <m:rPr>
                        <m:sty m:val="p"/>
                      </m:rPr>
                      <m:t>(</m:t>
                    </m:r>
                    <m:r>
                      <m:t>U</m:t>
                    </m:r>
                    <m:r>
                      <m:rPr>
                        <m:sty m:val="p"/>
                      </m:rPr>
                      <m:t>∣</m:t>
                    </m:r>
                    <m:sSub>
                      <m:e>
                        <m:r>
                          <m:t>a</m:t>
                        </m:r>
                      </m:e>
                      <m:sub>
                        <m:r>
                          <m:t>i</m:t>
                        </m:r>
                      </m:sub>
                    </m:sSub>
                    <m:r>
                      <m:rPr>
                        <m:sty m:val="p"/>
                      </m:rPr>
                      <m:t>)</m:t>
                    </m:r>
                    <m:r>
                      <m:rPr>
                        <m:sty m:val="p"/>
                      </m:rPr>
                      <m:t>,</m:t>
                    </m:r>
                  </m:e>
                  <m:e>
                    <m:sSub>
                      <m:e>
                        <m:r>
                          <m:t>y</m:t>
                        </m:r>
                      </m:e>
                      <m:sub>
                        <m:r>
                          <m:t>i</m:t>
                        </m:r>
                      </m:sub>
                    </m:sSub>
                    <m:r>
                      <m:rPr>
                        <m:sty m:val="p"/>
                      </m:rPr>
                      <m:t>≥</m:t>
                    </m:r>
                    <m:r>
                      <m:t>U</m:t>
                    </m:r>
                    <m:r>
                      <m:rPr>
                        <m:sty m:val="p"/>
                      </m:rPr>
                      <m:t>.</m:t>
                    </m:r>
                  </m:e>
                </m:mr>
              </m:m>
            </m:e>
          </m:d>
        </m:oMath>
      </m:oMathPara>
    </w:p>
    <w:p>
      <w:pPr>
        <w:pStyle w:val="FirstParagraph"/>
      </w:pPr>
      <w:r>
        <w:t xml:space="preserve">Thus, a threshold-reported result contributes</w:t>
      </w:r>
      <w:r>
        <w:t xml:space="preserve"> </w:t>
      </w:r>
      <w:r>
        <w:t xml:space="preserve">the probability of its entire censoring interval,</w:t>
      </w:r>
      <w:r>
        <w:t xml:space="preserve"> </w:t>
      </w:r>
      <w:r>
        <w:t xml:space="preserve">rather than the density at an arbitrarily substituted boundary value.</w:t>
      </w:r>
    </w:p>
    <w:p>
      <w:pPr>
        <w:pStyle w:val="BodyText"/>
      </w:pPr>
      <w:r>
        <w:t xml:space="preserve">As implemented in</w:t>
      </w:r>
      <w:r>
        <w:t xml:space="preserve"> </w:t>
      </w:r>
      <w:r>
        <w:rPr>
          <w:rStyle w:val="VerbatimChar"/>
        </w:rPr>
        <w:t xml:space="preserve">serocalculator</w:t>
      </w:r>
      <w:r>
        <w:t xml:space="preserve"> </w:t>
      </w:r>
      <w:r>
        <w:t xml:space="preserve">1.4.1.9042</w:t>
      </w:r>
      <w:r>
        <w:t xml:space="preserve"> </w:t>
      </w:r>
      <w:r>
        <w:t xml:space="preserve">(verified 2026-08-25 on the package source),</w:t>
      </w:r>
      <w:r>
        <w:t xml:space="preserve"> </w:t>
      </w:r>
      <w:r>
        <w:t xml:space="preserve">measurement noise is included for uncensored and lower-censored observations</w:t>
      </w:r>
      <w:r>
        <w:t xml:space="preserve"> </w:t>
      </w:r>
      <w:r>
        <w:t xml:space="preserve">but is inadvertently omitted from the upper-censored contribution.</w:t>
      </w:r>
      <w:r>
        <w:t xml:space="preserve"> </w:t>
      </w:r>
      <w:r>
        <w:t xml:space="preserve">Issue</w:t>
      </w:r>
      <w:r>
        <w:t xml:space="preserve"> </w:t>
      </w:r>
      <w:hyperlink r:id="rId145">
        <w:r>
          <w:rPr>
            <w:rStyle w:val="Hyperlink"/>
          </w:rPr>
          <w:t xml:space="preserve">#664</w:t>
        </w:r>
      </w:hyperlink>
      <w:r>
        <w:t xml:space="preserve"> </w:t>
      </w:r>
      <w:r>
        <w:t xml:space="preserve">tracks the correction needed to make that branch conform to the equation above.</w:t>
      </w:r>
    </w:p>
    <w:bookmarkEnd w:id="146"/>
    <w:bookmarkStart w:id="151"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50" w:name="fig-sim-distribution"/>
          <w:p>
            <w:pPr>
              <w:pStyle w:val="Compact"/>
              <w:jc w:val="center"/>
            </w:pPr>
            <w:r>
              <w:drawing>
                <wp:inline>
                  <wp:extent cx="4620126" cy="3696101"/>
                  <wp:effectExtent b="0" l="0" r="0" t="0"/>
                  <wp:docPr descr="" title="" id="148" name="Picture"/>
                  <a:graphic>
                    <a:graphicData uri="http://schemas.openxmlformats.org/drawingml/2006/picture">
                      <pic:pic>
                        <pic:nvPicPr>
                          <pic:cNvPr descr="methodology_files/figure-docx/fig-sim-distribution-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50"/>
        </w:tc>
      </w:tr>
    </w:tbl>
    <w:bookmarkEnd w:id="151"/>
    <w:bookmarkStart w:id="156"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5" w:name="fig-est-single-loglik"/>
          <w:p>
            <w:pPr>
              <w:pStyle w:val="Compact"/>
              <w:jc w:val="center"/>
            </w:pPr>
            <w:r>
              <w:drawing>
                <wp:inline>
                  <wp:extent cx="4620126" cy="3696101"/>
                  <wp:effectExtent b="0" l="0" r="0" t="0"/>
                  <wp:docPr descr="" title="" id="153" name="Picture"/>
                  <a:graphic>
                    <a:graphicData uri="http://schemas.openxmlformats.org/drawingml/2006/picture">
                      <pic:pic>
                        <pic:nvPicPr>
                          <pic:cNvPr descr="methodology_files/figure-docx/fig-est-single-loglik-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5"/>
        </w:tc>
      </w:tr>
    </w:tbl>
    <w:bookmarkEnd w:id="156"/>
    <w:bookmarkStart w:id="157"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7"/>
    <w:bookmarkStart w:id="162" w:name="interactive-shiny-app"/>
    <w:p>
      <w:pPr>
        <w:pStyle w:val="Heading2"/>
      </w:pPr>
      <w:r>
        <w:t xml:space="preserve">7.7 Interactive Shiny app</w:t>
      </w:r>
    </w:p>
    <w:p>
      <w:pPr>
        <w:pStyle w:val="FirstParagraph"/>
      </w:pPr>
      <w:r>
        <w:t xml:space="preserve">A point-and-click interface is available at</w:t>
      </w:r>
      <w:r>
        <w:t xml:space="preserve"> </w:t>
      </w:r>
      <w:hyperlink r:id="rId158">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60" name="Picture"/>
            <a:graphic>
              <a:graphicData uri="http://schemas.openxmlformats.org/drawingml/2006/picture">
                <pic:pic>
                  <pic:nvPicPr>
                    <pic:cNvPr descr="../man/figures/shiny-serocalculator.png" id="161" name="Picture"/>
                    <pic:cNvPicPr>
                      <a:picLocks noChangeArrowheads="1" noChangeAspect="1"/>
                    </pic:cNvPicPr>
                  </pic:nvPicPr>
                  <pic:blipFill>
                    <a:blip r:embed="rId159"/>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2"/>
    <w:bookmarkEnd w:id="163"/>
    <w:bookmarkStart w:id="196" w:name="sec-validation"/>
    <w:p>
      <w:pPr>
        <w:pStyle w:val="Heading1"/>
      </w:pPr>
      <w:r>
        <w:t xml:space="preserve">8. Validation: recovering known incidence rates</w:t>
      </w:r>
    </w:p>
    <w:bookmarkStart w:id="168"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7" w:name="fig-sim-multi-distribution"/>
          <w:p>
            <w:pPr>
              <w:pStyle w:val="Compact"/>
              <w:jc w:val="center"/>
            </w:pPr>
            <w:r>
              <w:drawing>
                <wp:inline>
                  <wp:extent cx="4620126" cy="4620126"/>
                  <wp:effectExtent b="0" l="0" r="0" t="0"/>
                  <wp:docPr descr="" title="" id="165" name="Picture"/>
                  <a:graphic>
                    <a:graphicData uri="http://schemas.openxmlformats.org/drawingml/2006/picture">
                      <pic:pic>
                        <pic:nvPicPr>
                          <pic:cNvPr descr="methodology_files/figure-docx/fig-sim-multi-distribution-1.png" id="166" name="Picture"/>
                          <pic:cNvPicPr>
                            <a:picLocks noChangeArrowheads="1" noChangeAspect="1"/>
                          </pic:cNvPicPr>
                        </pic:nvPicPr>
                        <pic:blipFill>
                          <a:blip r:embed="rId164"/>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7"/>
        </w:tc>
      </w:tr>
    </w:tbl>
    <w:bookmarkEnd w:id="168"/>
    <w:bookmarkStart w:id="170"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9"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9"/>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70"/>
    <w:bookmarkStart w:id="175"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4" w:name="fig-cluster-logliks"/>
          <w:p>
            <w:pPr>
              <w:pStyle w:val="Compact"/>
              <w:jc w:val="center"/>
            </w:pPr>
            <w:r>
              <w:drawing>
                <wp:inline>
                  <wp:extent cx="4620126" cy="6468176"/>
                  <wp:effectExtent b="0" l="0" r="0" t="0"/>
                  <wp:docPr descr="" title="" id="172" name="Picture"/>
                  <a:graphic>
                    <a:graphicData uri="http://schemas.openxmlformats.org/drawingml/2006/picture">
                      <pic:pic>
                        <pic:nvPicPr>
                          <pic:cNvPr descr="methodology_files/figure-docx/fig-cluster-logliks-1.png" id="173" name="Picture"/>
                          <pic:cNvPicPr>
                            <a:picLocks noChangeArrowheads="1" noChangeAspect="1"/>
                          </pic:cNvPicPr>
                        </pic:nvPicPr>
                        <pic:blipFill>
                          <a:blip r:embed="rId17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4"/>
        </w:tc>
      </w:tr>
    </w:tbl>
    <w:bookmarkEnd w:id="175"/>
    <w:bookmarkStart w:id="181"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6">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80" w:name="fig-problem-strata"/>
          <w:p>
            <w:pPr>
              <w:pStyle w:val="Compact"/>
              <w:jc w:val="center"/>
            </w:pPr>
            <w:r>
              <w:drawing>
                <wp:inline>
                  <wp:extent cx="4620126" cy="6468176"/>
                  <wp:effectExtent b="0" l="0" r="0" t="0"/>
                  <wp:docPr descr="" title="" id="178" name="Picture"/>
                  <a:graphic>
                    <a:graphicData uri="http://schemas.openxmlformats.org/drawingml/2006/picture">
                      <pic:pic>
                        <pic:nvPicPr>
                          <pic:cNvPr descr="methodology_files/figure-docx/fig-problem-strata-1.png" id="179" name="Picture"/>
                          <pic:cNvPicPr>
                            <a:picLocks noChangeArrowheads="1" noChangeAspect="1"/>
                          </pic:cNvPicPr>
                        </pic:nvPicPr>
                        <pic:blipFill>
                          <a:blip r:embed="rId17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80"/>
        </w:tc>
      </w:tr>
    </w:tbl>
    <w:bookmarkEnd w:id="181"/>
    <w:bookmarkStart w:id="190"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5" w:name="fig-sim-recovery"/>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sim-recovery-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5"/>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9" w:name="fig-empirical-se"/>
          <w:p>
            <w:pPr>
              <w:pStyle w:val="Compact"/>
              <w:jc w:val="center"/>
            </w:pPr>
            <w:r>
              <w:drawing>
                <wp:inline>
                  <wp:extent cx="4620126" cy="3696101"/>
                  <wp:effectExtent b="0" l="0" r="0" t="0"/>
                  <wp:docPr descr="" title="" id="187" name="Picture"/>
                  <a:graphic>
                    <a:graphicData uri="http://schemas.openxmlformats.org/drawingml/2006/picture">
                      <pic:pic>
                        <pic:nvPicPr>
                          <pic:cNvPr descr="methodology_files/figure-docx/fig-empirical-se-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9"/>
        </w:tc>
      </w:tr>
    </w:tbl>
    <w:bookmarkEnd w:id="190"/>
    <w:bookmarkStart w:id="195"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4" w:name="fig-sim-recovery-renew"/>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sim-recovery-renew-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4"/>
        </w:tc>
      </w:tr>
    </w:tbl>
    <w:bookmarkEnd w:id="195"/>
    <w:bookmarkEnd w:id="196"/>
    <w:bookmarkStart w:id="201" w:name="ongoing-and-future-work"/>
    <w:p>
      <w:pPr>
        <w:pStyle w:val="Heading1"/>
      </w:pPr>
      <w:r>
        <w:t xml:space="preserve">9. Ongoing and future work</w:t>
      </w:r>
    </w:p>
    <w:bookmarkStart w:id="198"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8">
        <w:r>
          <w:rPr>
            <w:rStyle w:val="Hyperlink"/>
          </w:rPr>
          <w:t xml:space="preserve">serocalculator Shiny app</w:t>
        </w:r>
      </w:hyperlink>
      <w:r>
        <w:t xml:space="preserve">,</w:t>
      </w:r>
      <w:r>
        <w:t xml:space="preserve"> </w:t>
      </w:r>
      <w:hyperlink r:id="rId197">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8"/>
    <w:bookmarkStart w:id="20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9">
        <w:r>
          <w:rPr>
            <w:rStyle w:val="Hyperlink"/>
          </w:rPr>
          <w:t xml:space="preserve">UCD-SERG/shigella#13</w:t>
        </w:r>
      </w:hyperlink>
      <w:r>
        <w:t xml:space="preserve">).</w:t>
      </w:r>
    </w:p>
    <w:bookmarkEnd w:id="200"/>
    <w:bookmarkEnd w:id="201"/>
    <w:bookmarkStart w:id="218" w:name="references"/>
    <w:p>
      <w:pPr>
        <w:pStyle w:val="Heading1"/>
      </w:pPr>
      <w:r>
        <w:t xml:space="preserve">References</w:t>
      </w:r>
    </w:p>
    <w:bookmarkStart w:id="217" w:name="refs"/>
    <w:bookmarkStart w:id="20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2">
        <w:r>
          <w:rPr>
            <w:rStyle w:val="Hyperlink"/>
          </w:rPr>
          <w:t xml:space="preserve">https://doi.org/10.1016/S2666-5247(22)00114-8</w:t>
        </w:r>
      </w:hyperlink>
      <w:r>
        <w:t xml:space="preserve">.</w:t>
      </w:r>
    </w:p>
    <w:bookmarkEnd w:id="203"/>
    <w:bookmarkStart w:id="20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4">
        <w:r>
          <w:rPr>
            <w:rStyle w:val="Hyperlink"/>
          </w:rPr>
          <w:t xml:space="preserve">https://doi.org/10.1016/j.epidem.2024.100806</w:t>
        </w:r>
      </w:hyperlink>
      <w:r>
        <w:t xml:space="preserve">.</w:t>
      </w:r>
    </w:p>
    <w:bookmarkEnd w:id="205"/>
    <w:bookmarkStart w:id="206"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6"/>
    <w:bookmarkStart w:id="208"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7">
        <w:r>
          <w:rPr>
            <w:rStyle w:val="Hyperlink"/>
          </w:rPr>
          <w:t xml:space="preserve">https://doi.org/10.1093/biomet/73.1.13</w:t>
        </w:r>
      </w:hyperlink>
      <w:r>
        <w:t xml:space="preserve">.</w:t>
      </w:r>
    </w:p>
    <w:bookmarkEnd w:id="208"/>
    <w:bookmarkStart w:id="21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9">
        <w:r>
          <w:rPr>
            <w:rStyle w:val="Hyperlink"/>
          </w:rPr>
          <w:t xml:space="preserve">https://doi.org/10.1159/000286345</w:t>
        </w:r>
      </w:hyperlink>
      <w:r>
        <w:t xml:space="preserve">.</w:t>
      </w:r>
    </w:p>
    <w:bookmarkEnd w:id="210"/>
    <w:bookmarkStart w:id="21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1">
        <w:r>
          <w:rPr>
            <w:rStyle w:val="Hyperlink"/>
          </w:rPr>
          <w:t xml:space="preserve">https://doi.org/10.1002/sim.8578</w:t>
        </w:r>
      </w:hyperlink>
      <w:r>
        <w:t xml:space="preserve">.</w:t>
      </w:r>
    </w:p>
    <w:bookmarkEnd w:id="212"/>
    <w:bookmarkStart w:id="21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3">
        <w:r>
          <w:rPr>
            <w:rStyle w:val="Hyperlink"/>
          </w:rPr>
          <w:t xml:space="preserve">https://doi.org/10.1016/j.epidem.2016.04.001</w:t>
        </w:r>
      </w:hyperlink>
      <w:r>
        <w:t xml:space="preserve">.</w:t>
      </w:r>
    </w:p>
    <w:bookmarkEnd w:id="214"/>
    <w:bookmarkStart w:id="21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5"/>
    <w:bookmarkStart w:id="216"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6"/>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9" Target="media/rId159.png" /><Relationship Type="http://schemas.openxmlformats.org/officeDocument/2006/relationships/image" Id="rId171" Target="media/rId171.png" /><Relationship Type="http://schemas.openxmlformats.org/officeDocument/2006/relationships/image" Id="rId110" Target="media/rId110.png" /><Relationship Type="http://schemas.openxmlformats.org/officeDocument/2006/relationships/image" Id="rId186" Target="media/rId186.png" /><Relationship Type="http://schemas.openxmlformats.org/officeDocument/2006/relationships/image" Id="rId152" Target="media/rId152.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7" Target="media/rId177.png" /><Relationship Type="http://schemas.openxmlformats.org/officeDocument/2006/relationships/image" Id="rId97" Target="media/rId97.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91" Target="media/rId191.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1" Target="https://doi.org/10.1002/sim.8578" TargetMode="External" /><Relationship Type="http://schemas.openxmlformats.org/officeDocument/2006/relationships/hyperlink" Id="rId202" Target="https://doi.org/10.1016/S2666-5247(22)00114-8" TargetMode="External" /><Relationship Type="http://schemas.openxmlformats.org/officeDocument/2006/relationships/hyperlink" Id="rId213" Target="https://doi.org/10.1016/j.epidem.2016.04.001" TargetMode="External" /><Relationship Type="http://schemas.openxmlformats.org/officeDocument/2006/relationships/hyperlink" Id="rId204" Target="https://doi.org/10.1016/j.epidem.2024.100806" TargetMode="External" /><Relationship Type="http://schemas.openxmlformats.org/officeDocument/2006/relationships/hyperlink" Id="rId207" Target="https://doi.org/10.1093/biomet/73.1.13" TargetMode="External" /><Relationship Type="http://schemas.openxmlformats.org/officeDocument/2006/relationships/hyperlink" Id="rId209"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6"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45" Target="https://github.com/UCD-SERG/serocalculator/issues/664"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9" Target="https://github.com/UCD-SERG/shigella/pull/13" TargetMode="External" /><Relationship Type="http://schemas.openxmlformats.org/officeDocument/2006/relationships/hyperlink" Id="rId197"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8"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1" Target="https://doi.org/10.1002/sim.8578" TargetMode="External" /><Relationship Type="http://schemas.openxmlformats.org/officeDocument/2006/relationships/hyperlink" Id="rId202" Target="https://doi.org/10.1016/S2666-5247(22)00114-8" TargetMode="External" /><Relationship Type="http://schemas.openxmlformats.org/officeDocument/2006/relationships/hyperlink" Id="rId213" Target="https://doi.org/10.1016/j.epidem.2016.04.001" TargetMode="External" /><Relationship Type="http://schemas.openxmlformats.org/officeDocument/2006/relationships/hyperlink" Id="rId204" Target="https://doi.org/10.1016/j.epidem.2024.100806" TargetMode="External" /><Relationship Type="http://schemas.openxmlformats.org/officeDocument/2006/relationships/hyperlink" Id="rId207" Target="https://doi.org/10.1093/biomet/73.1.13" TargetMode="External" /><Relationship Type="http://schemas.openxmlformats.org/officeDocument/2006/relationships/hyperlink" Id="rId209"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6"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45" Target="https://github.com/UCD-SERG/serocalculator/issues/664"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9" Target="https://github.com/UCD-SERG/shigella/pull/13" TargetMode="External" /><Relationship Type="http://schemas.openxmlformats.org/officeDocument/2006/relationships/hyperlink" Id="rId197"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8"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2026-08-26T03:43:15Z</dcterms:created>
  <dcterms:modified xsi:type="dcterms:W3CDTF">2026-08-26T03:43:15Z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