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6.jpg" ContentType="image/jpeg"/>
  <Override PartName="/word/media/rId21.jpg" ContentType="image/jpeg"/>
  <Override PartName="/word/media/rId99.png" ContentType="image/png"/>
  <Override PartName="/word/media/rId103.png" ContentType="image/png"/>
  <Override PartName="/word/media/rId86.svg" ContentType="image/svg+xml"/>
  <Override PartName="/word/media/rId112.png" ContentType="image/png"/>
  <Override PartName="/word/media/rId124.png" ContentType="image/png"/>
  <Override PartName="/word/media/rId130.png" ContentType="image/png"/>
  <Override PartName="/word/media/rId51.png" ContentType="image/png"/>
  <Override PartName="/word/media/rId94.png" ContentType="image/png"/>
  <Override PartName="/word/media/rId81.png" ContentType="image/png"/>
  <Override PartName="/word/media/rId28.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Invalid Date</w:t>
      </w:r>
    </w:p>
    <w:bookmarkStart w:id="27" w:name="infectious-disease-epidemiology"/>
    <w:p>
      <w:pPr>
        <w:pStyle w:val="Heading1"/>
      </w:pPr>
      <w:r>
        <w:t xml:space="preserve">1. Infectious disease epidemiology</w:t>
      </w:r>
    </w:p>
    <w:bookmarkStart w:id="15"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FirstParagraph"/>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r>
        <w:t xml:space="preserve"> </w:t>
      </w: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bookmarkEnd w:id="15"/>
    <w:bookmarkStart w:id="20"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7" name="Picture"/>
            <a:graphic>
              <a:graphicData uri="http://schemas.openxmlformats.org/drawingml/2006/picture">
                <pic:pic>
                  <pic:nvPicPr>
                    <pic:cNvPr descr="../man/figures/Shigella_stool.jpg" id="18" name="Picture"/>
                    <pic:cNvPicPr>
                      <a:picLocks noChangeArrowheads="1" noChangeAspect="1"/>
                    </pic:cNvPicPr>
                  </pic:nvPicPr>
                  <pic:blipFill>
                    <a:blip r:embed="rId16"/>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19">
        <w:r>
          <w:rPr>
            <w:rStyle w:val="Hyperlink"/>
          </w:rPr>
          <w:t xml:space="preserve">Wikimedia Commons</w:t>
        </w:r>
      </w:hyperlink>
      <w:r>
        <w:t xml:space="preserve">.</w:t>
      </w:r>
    </w:p>
    <w:bookmarkEnd w:id="20"/>
    <w:bookmarkStart w:id="26"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2" name="Picture"/>
            <a:graphic>
              <a:graphicData uri="http://schemas.openxmlformats.org/drawingml/2006/picture">
                <pic:pic>
                  <pic:nvPicPr>
                    <pic:cNvPr descr="../man/figures/Trombicula-larva-stylostome.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4">
        <w:r>
          <w:rPr>
            <w:rStyle w:val="Hyperlink"/>
          </w:rPr>
          <w:t xml:space="preserve">Wikimedia Commons</w:t>
        </w:r>
      </w:hyperlink>
      <w:r>
        <w:t xml:space="preserve">,</w:t>
      </w:r>
      <w:r>
        <w:t xml:space="preserve"> </w:t>
      </w:r>
      <w:hyperlink r:id="rId25">
        <w:r>
          <w:rPr>
            <w:rStyle w:val="Hyperlink"/>
          </w:rPr>
          <w:t xml:space="preserve">CC BY-SA 3.0</w:t>
        </w:r>
      </w:hyperlink>
      <w:r>
        <w:t xml:space="preserve">.</w:t>
      </w:r>
    </w:p>
    <w:bookmarkEnd w:id="26"/>
    <w:bookmarkEnd w:id="27"/>
    <w:bookmarkStart w:id="39" w:name="why-estimate-incidence-from-serosurveys"/>
    <w:p>
      <w:pPr>
        <w:pStyle w:val="Heading1"/>
      </w:pPr>
      <w:r>
        <w:t xml:space="preserve">2. Why estimate incidence from serosurveys?</w:t>
      </w:r>
    </w:p>
    <w:bookmarkStart w:id="31"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29" name="Picture"/>
            <a:graphic>
              <a:graphicData uri="http://schemas.openxmlformats.org/drawingml/2006/picture">
                <pic:pic>
                  <pic:nvPicPr>
                    <pic:cNvPr descr="methodology_files/figure-docx/unnamed-chunk-2-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1"/>
    <w:bookmarkStart w:id="32"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2"/>
    <w:bookmarkStart w:id="35" w:name="defining-incidence"/>
    <w:p>
      <w:pPr>
        <w:pStyle w:val="Heading2"/>
      </w:pPr>
      <w:r>
        <w:t xml:space="preserve">2.3 Defining incidence</w:t>
      </w:r>
    </w:p>
    <w:bookmarkStart w:id="33"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3"/>
    <w:bookmarkStart w:id="34"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4"/>
    <w:bookmarkEnd w:id="35"/>
    <w:bookmarkStart w:id="36"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6"/>
    <w:bookmarkStart w:id="37"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7"/>
    <w:bookmarkStart w:id="38"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8"/>
    <w:bookmarkEnd w:id="39"/>
    <w:bookmarkStart w:id="43" w:name="X692dd3848eaa2be35c7162f2cc08762f080ab63"/>
    <w:p>
      <w:pPr>
        <w:pStyle w:val="Heading1"/>
      </w:pPr>
      <w:r>
        <w:t xml:space="preserve">3. Study designs for estimating incidence rates</w:t>
      </w:r>
    </w:p>
    <w:bookmarkStart w:id="40"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0"/>
    <w:bookmarkStart w:id="41"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1"/>
    <w:bookmarkStart w:id="42"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overview</w:t>
      </w:r>
    </w:p>
    <w:bookmarkEnd w:id="42"/>
    <w:bookmarkEnd w:id="43"/>
    <w:bookmarkStart w:id="76" w:name="Xbe5ebe555b3ef679e4d759bfe9ee88c74ef3ef7"/>
    <w:p>
      <w:pPr>
        <w:pStyle w:val="Heading1"/>
      </w:pPr>
      <w:r>
        <w:t xml:space="preserve">4. Estimating incidence from cross-sectional serosurveys</w:t>
      </w:r>
    </w:p>
    <w:bookmarkStart w:id="44"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4"/>
    <w:bookmarkStart w:id="45"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5"/>
    <w:bookmarkStart w:id="46"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6"/>
    <w:bookmarkStart w:id="48"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7">
        <w:r>
          <w:rPr>
            <w:rStyle w:val="Hyperlink"/>
          </w:rPr>
          <w:t xml:space="preserve">on our to-do list</w:t>
        </w:r>
      </w:hyperlink>
      <w:r>
        <w:t xml:space="preserve">).</w:t>
      </w:r>
    </w:p>
    <w:bookmarkEnd w:id="48"/>
    <w:bookmarkStart w:id="49"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truncated by age</w:t>
      </w:r>
      <w:r>
        <w:t xml:space="preserve"> </w:t>
      </w:r>
      <w:r>
        <w:t xml:space="preserve">at observation (</w:t>
      </w:r>
      <m:oMath>
        <m:r>
          <m:t>a</m:t>
        </m:r>
      </m:oMath>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49"/>
    <w:bookmarkStart w:id="50"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λ</m:t>
              </m:r>
            </m:e>
          </m:d>
          <m:r>
            <m:t>​</m:t>
          </m:r>
          <m:r>
            <m:rPr>
              <m:sty m:val="p"/>
            </m:rPr>
            <m:t>−</m:t>
          </m:r>
          <m:r>
            <m:t>λ</m:t>
          </m:r>
          <m:sSub>
            <m:e>
              <m:r>
                <m:t>t</m:t>
              </m:r>
            </m:e>
            <m:sub>
              <m:r>
                <m:t>i</m:t>
              </m:r>
            </m:sub>
          </m:sSub>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sSup>
            <m:e>
              <m:d>
                <m:dPr>
                  <m:begChr m:val="("/>
                  <m:sepChr m:val=""/>
                  <m:endChr m:val=")"/>
                  <m:grow/>
                </m:dPr>
                <m:e>
                  <m:r>
                    <m:t>λ</m:t>
                  </m:r>
                </m:e>
              </m:d>
            </m:e>
            <m:sup>
              <m:r>
                <m:rPr>
                  <m:sty m:val="p"/>
                </m:rPr>
                <m:t>−</m:t>
              </m:r>
              <m:r>
                <m:t>1</m:t>
              </m:r>
            </m:sup>
          </m:sSup>
          <m:r>
            <m:t>​</m:t>
          </m:r>
          <m:r>
            <m:rPr>
              <m:sty m:val="p"/>
            </m:rPr>
            <m:t>−</m:t>
          </m:r>
          <m:sSub>
            <m:e>
              <m:r>
                <m:t>t</m:t>
              </m:r>
            </m:e>
            <m:sub>
              <m:r>
                <m:t>i</m:t>
              </m:r>
            </m:sub>
          </m:sSub>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0"/>
    <w:bookmarkStart w:id="55"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4" w:name="fig-ex-lik-curves"/>
          <w:p>
            <w:pPr>
              <w:pStyle w:val="Compact"/>
              <w:jc w:val="center"/>
            </w:pPr>
            <w:r>
              <w:drawing>
                <wp:inline>
                  <wp:extent cx="4620126" cy="3696101"/>
                  <wp:effectExtent b="0" l="0" r="0" t="0"/>
                  <wp:docPr descr="" title="" id="52" name="Picture"/>
                  <a:graphic>
                    <a:graphicData uri="http://schemas.openxmlformats.org/drawingml/2006/picture">
                      <pic:pic>
                        <pic:nvPicPr>
                          <pic:cNvPr descr="methodology_files/figure-docx/fig-ex-lik-curves-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4"/>
        </w:tc>
      </w:tr>
    </w:tbl>
    <w:bookmarkEnd w:id="55"/>
    <w:bookmarkStart w:id="56" w:name="standard-errors"/>
    <w:p>
      <w:pPr>
        <w:pStyle w:val="Heading2"/>
      </w:pPr>
      <w:r>
        <w:t xml:space="preserve">4.8 Standard errors</w:t>
      </w:r>
    </w:p>
    <w:p>
      <w:pPr>
        <w:pStyle w:val="FirstParagraph"/>
      </w:pPr>
      <w:r>
        <w:t xml:space="preserve">The standard error of the estimate is approximately equal to</w:t>
      </w:r>
      <w:r>
        <w:t xml:space="preserve"> </w:t>
      </w:r>
      <w:r>
        <w:t xml:space="preserve">the inverse of the curvature (2nd derivative, aka Hessian)</w:t>
      </w:r>
      <w:r>
        <w:t xml:space="preserve"> </w:t>
      </w:r>
      <w:r>
        <w:t xml:space="preserve">of the log-likelihood function, at the maximum:</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6"/>
    <w:bookmarkStart w:id="57"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7"/>
    <w:bookmarkStart w:id="58"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8"/>
    <w:bookmarkStart w:id="67"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2" w:name="fig-sim-case-data"/>
          <w:p>
            <w:pPr>
              <w:jc w:val="center"/>
            </w:pPr>
            <w:r>
              <w:drawing>
                <wp:inline>
                  <wp:extent cx="4620126" cy="3696101"/>
                  <wp:effectExtent b="0" l="0" r="0" t="0"/>
                  <wp:docPr descr="" title="" id="60" name="Picture"/>
                  <a:graphic>
                    <a:graphicData uri="http://schemas.openxmlformats.org/drawingml/2006/picture">
                      <pic:pic>
                        <pic:nvPicPr>
                          <pic:cNvPr descr="methodology_files/figure-docx/unnamed-chunk-4-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2"/>
        </w:tc>
      </w:tr>
    </w:tbl>
    <w:p/>
    <w:tbl>
      <w:tblPr>
        <w:tblStyle w:val="Table"/>
        <w:tblW w:type="pct" w:w="5000"/>
        <w:tblLayout w:type="fixed"/>
        <w:tblLook w:firstRow="0" w:lastRow="0" w:firstColumn="0" w:lastColumn="0" w:noHBand="0" w:noVBand="0" w:val="0000"/>
      </w:tblPr>
      <w:tblGrid>
        <w:gridCol w:w="7920"/>
      </w:tblGrid>
      <w:tr>
        <w:tc>
          <w:tcPr/>
          <w:bookmarkStart w:id="66" w:name="fig-decay"/>
          <w:p>
            <w:pPr>
              <w:jc w:val="center"/>
            </w:pPr>
            <w:r>
              <w:drawing>
                <wp:inline>
                  <wp:extent cx="4620126" cy="3696101"/>
                  <wp:effectExtent b="0" l="0" r="0" t="0"/>
                  <wp:docPr descr="" title="" id="64" name="Picture"/>
                  <a:graphic>
                    <a:graphicData uri="http://schemas.openxmlformats.org/drawingml/2006/picture">
                      <pic:pic>
                        <pic:nvPicPr>
                          <pic:cNvPr descr="methodology_files/figure-docx/unnamed-chunk-5-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6"/>
        </w:tc>
      </w:tr>
    </w:tbl>
    <w:bookmarkEnd w:id="67"/>
    <w:bookmarkStart w:id="68"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8"/>
    <w:bookmarkStart w:id="69"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69"/>
    <w:bookmarkStart w:id="70"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0"/>
    <w:bookmarkStart w:id="75"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1"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1"/>
    <w:bookmarkStart w:id="72"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2"/>
    <w:bookmarkStart w:id="73"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3"/>
    <w:bookmarkStart w:id="74"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4"/>
    <w:bookmarkEnd w:id="75"/>
    <w:bookmarkEnd w:id="76"/>
    <w:bookmarkStart w:id="10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7"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7"/>
    <w:bookmarkStart w:id="78"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8"/>
    <w:bookmarkStart w:id="79"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79"/>
    <w:bookmarkStart w:id="80"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0"/>
    <w:bookmarkStart w:id="89"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4" w:name="fig-response-graph"/>
          <w:p>
            <w:pPr>
              <w:pStyle w:val="Compact"/>
              <w:jc w:val="center"/>
            </w:pPr>
            <w:r>
              <w:drawing>
                <wp:inline>
                  <wp:extent cx="4620126" cy="3696101"/>
                  <wp:effectExtent b="0" l="0" r="0" t="0"/>
                  <wp:docPr descr="" title="" id="82" name="Picture"/>
                  <a:graphic>
                    <a:graphicData uri="http://schemas.openxmlformats.org/drawingml/2006/picture">
                      <pic:pic>
                        <pic:nvPicPr>
                          <pic:cNvPr descr="methodology_files/figure-docx/fig-response-graph-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4"/>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5">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7" name="Picture"/>
            <a:graphic>
              <a:graphicData uri="http://schemas.openxmlformats.org/drawingml/2006/picture">
                <pic:pic>
                  <pic:nvPicPr>
                    <pic:cNvPr descr="../man/figures/qr_akm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89"/>
    <w:bookmarkStart w:id="90"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0"/>
    <w:bookmarkStart w:id="91"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1"/>
    <w:bookmarkStart w:id="92"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2"/>
    <w:bookmarkStart w:id="93"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3"/>
    <w:bookmarkStart w:id="98" w:name="multiple-biomarkers"/>
    <w:p>
      <w:pPr>
        <w:pStyle w:val="Heading2"/>
      </w:pPr>
      <w:r>
        <w:t xml:space="preserve">5.10 Multiple biomarkers</w:t>
      </w:r>
    </w:p>
    <w:tbl>
      <w:tblPr>
        <w:tblStyle w:val="Table"/>
        <w:tblW w:type="pct" w:w="5000"/>
        <w:tblLayout w:type="fixed"/>
        <w:tblLook w:firstRow="0" w:lastRow="0" w:firstColumn="0" w:lastColumn="0" w:noHBand="0" w:noVBand="0" w:val="0000"/>
      </w:tblPr>
      <w:tblGrid>
        <w:gridCol w:w="7920"/>
      </w:tblGrid>
      <w:tr>
        <w:tc>
          <w:tcPr/>
          <w:bookmarkStart w:id="97" w:name="fig-loglik"/>
          <w:p>
            <w:pPr>
              <w:pStyle w:val="Compact"/>
              <w:jc w:val="center"/>
            </w:pPr>
            <w:r>
              <w:drawing>
                <wp:inline>
                  <wp:extent cx="4620126" cy="3696101"/>
                  <wp:effectExtent b="0" l="0" r="0" t="0"/>
                  <wp:docPr descr="" title="" id="95" name="Picture"/>
                  <a:graphic>
                    <a:graphicData uri="http://schemas.openxmlformats.org/drawingml/2006/picture">
                      <pic:pic>
                        <pic:nvPicPr>
                          <pic:cNvPr descr="methodology_files/figure-docx/fig-loglik-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Example log(likelihood) curves</w:t>
            </w:r>
          </w:p>
          <w:bookmarkEnd w:id="97"/>
        </w:tc>
      </w:tr>
    </w:tbl>
    <w:bookmarkEnd w:id="98"/>
    <w:bookmarkStart w:id="102"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0" name="Picture"/>
            <a:graphic>
              <a:graphicData uri="http://schemas.openxmlformats.org/drawingml/2006/picture">
                <pic:pic>
                  <pic:nvPicPr>
                    <pic:cNvPr descr="../man/figures/kinetics-variation-1.png" id="101" name="Picture"/>
                    <pic:cNvPicPr>
                      <a:picLocks noChangeArrowheads="1" noChangeAspect="1"/>
                    </pic:cNvPicPr>
                  </pic:nvPicPr>
                  <pic:blipFill>
                    <a:blip r:embed="rId9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2"/>
    <w:bookmarkStart w:id="106"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4" name="Picture"/>
            <a:graphic>
              <a:graphicData uri="http://schemas.openxmlformats.org/drawingml/2006/picture">
                <pic:pic>
                  <pic:nvPicPr>
                    <pic:cNvPr descr="../man/figures/kinetics-variation-2.png" id="105" name="Picture"/>
                    <pic:cNvPicPr>
                      <a:picLocks noChangeArrowheads="1" noChangeAspect="1"/>
                    </pic:cNvPicPr>
                  </pic:nvPicPr>
                  <pic:blipFill>
                    <a:blip r:embed="rId10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6"/>
    <w:bookmarkEnd w:id="107"/>
    <w:bookmarkStart w:id="119" w:name="estimating-the-curves-with-serodynamics"/>
    <w:p>
      <w:pPr>
        <w:pStyle w:val="Heading1"/>
      </w:pPr>
      <w:r>
        <w:t xml:space="preserve">6. Estimating the curves with</w:t>
      </w:r>
      <w:r>
        <w:t xml:space="preserve"> </w:t>
      </w:r>
      <w:r>
        <w:rPr>
          <w:rStyle w:val="VerbatimChar"/>
        </w:rPr>
        <w:t xml:space="preserve">serodynamics</w:t>
      </w:r>
    </w:p>
    <w:bookmarkStart w:id="10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8"/>
    <w:bookmarkStart w:id="11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0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0"/>
    <w:bookmarkStart w:id="11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1"/>
    <w:bookmarkStart w:id="11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CaptionedFigure"/>
      </w:pPr>
      <w:r>
        <w:drawing>
          <wp:inline>
            <wp:extent cx="5334000" cy="3000375"/>
            <wp:effectExtent b="0" l="0" r="0" t="0"/>
            <wp:docPr descr="Posterior densities of the five kinetic parameters from the cached nepal_sees_jags_output fit (HlyE IgG, Typhi), by MCMC chain." title="" id="113" name="Picture"/>
            <a:graphic>
              <a:graphicData uri="http://schemas.openxmlformats.org/drawingml/2006/picture">
                <pic:pic>
                  <pic:nvPicPr>
                    <pic:cNvPr descr="../man/figures/serodynamics-cached-fit.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5"/>
    <w:bookmarkStart w:id="116"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6"/>
    <w:bookmarkStart w:id="11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7"/>
    <w:bookmarkStart w:id="11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8"/>
    <w:bookmarkEnd w:id="119"/>
    <w:bookmarkStart w:id="128" w:name="using-serocalculator"/>
    <w:p>
      <w:pPr>
        <w:pStyle w:val="Heading1"/>
      </w:pPr>
      <w:r>
        <w:t xml:space="preserve">7. Using</w:t>
      </w:r>
      <w:r>
        <w:t xml:space="preserve"> </w:t>
      </w:r>
      <w:r>
        <w:rPr>
          <w:rStyle w:val="VerbatimChar"/>
        </w:rPr>
        <w:t xml:space="preserve">serocalculator</w:t>
      </w:r>
    </w:p>
    <w:bookmarkStart w:id="12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0">
        <w:r>
          <w:rPr>
            <w:rStyle w:val="VerbatimChar"/>
          </w:rPr>
          <w:t xml:space="preserve">serocalculator</w:t>
        </w:r>
      </w:hyperlink>
      <w:r>
        <w:t xml:space="preserve"> </w:t>
      </w:r>
      <w:r>
        <w:t xml:space="preserve">R package.</w:t>
      </w:r>
    </w:p>
    <w:bookmarkEnd w:id="121"/>
    <w:bookmarkStart w:id="122" w:name="estimating-seroincidence"/>
    <w:p>
      <w:pPr>
        <w:pStyle w:val="Heading2"/>
      </w:pPr>
      <w:r>
        <w:t xml:space="preserve">7.2 Estimating seroincidence</w:t>
      </w:r>
    </w:p>
    <w:bookmarkEnd w:id="122"/>
    <w:bookmarkStart w:id="127" w:name="interactive-shiny-app"/>
    <w:p>
      <w:pPr>
        <w:pStyle w:val="Heading2"/>
      </w:pPr>
      <w:r>
        <w:t xml:space="preserve">7.3 Interactive Shiny app</w:t>
      </w:r>
    </w:p>
    <w:p>
      <w:pPr>
        <w:pStyle w:val="FirstParagraph"/>
      </w:pPr>
      <w:r>
        <w:t xml:space="preserve">A point-and-click interface is available at</w:t>
      </w:r>
      <w:r>
        <w:t xml:space="preserve"> </w:t>
      </w:r>
      <w:hyperlink r:id="rId123">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5" name="Picture"/>
            <a:graphic>
              <a:graphicData uri="http://schemas.openxmlformats.org/drawingml/2006/picture">
                <pic:pic>
                  <pic:nvPicPr>
                    <pic:cNvPr descr="../man/figures/shiny-serocalculator.png" id="126" name="Picture"/>
                    <pic:cNvPicPr>
                      <a:picLocks noChangeArrowheads="1" noChangeAspect="1"/>
                    </pic:cNvPicPr>
                  </pic:nvPicPr>
                  <pic:blipFill>
                    <a:blip r:embed="rId124"/>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7"/>
    <w:bookmarkEnd w:id="128"/>
    <w:bookmarkStart w:id="151" w:name="X950effd5ffba89669b8964fc48817b69e54f5c8"/>
    <w:p>
      <w:pPr>
        <w:pStyle w:val="Heading1"/>
      </w:pPr>
      <w:r>
        <w:t xml:space="preserve">8. Validation: recovering known incidence rates</w:t>
      </w:r>
    </w:p>
    <w:bookmarkStart w:id="129"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bookmarkEnd w:id="129"/>
    <w:bookmarkStart w:id="133"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1" name="Picture"/>
            <a:graphic>
              <a:graphicData uri="http://schemas.openxmlformats.org/drawingml/2006/picture">
                <pic:pic>
                  <pic:nvPicPr>
                    <pic:cNvPr descr="../man/figures/sim-recovery.png" id="132" name="Picture"/>
                    <pic:cNvPicPr>
                      <a:picLocks noChangeArrowheads="1" noChangeAspect="1"/>
                    </pic:cNvPicPr>
                  </pic:nvPicPr>
                  <pic:blipFill>
                    <a:blip r:embed="rId1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3"/>
    <w:bookmarkStart w:id="135" w:name="in-progress-work"/>
    <w:p>
      <w:pPr>
        <w:pStyle w:val="Heading2"/>
      </w:pPr>
      <w:r>
        <w:t xml:space="preserve">8.3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3">
        <w:r>
          <w:rPr>
            <w:rStyle w:val="Hyperlink"/>
          </w:rPr>
          <w:t xml:space="preserve">serocalculator Shiny app</w:t>
        </w:r>
      </w:hyperlink>
      <w:r>
        <w:t xml:space="preserve">,</w:t>
      </w:r>
      <w:r>
        <w:t xml:space="preserve"> </w:t>
      </w:r>
      <w:hyperlink r:id="rId134">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5"/>
    <w:bookmarkStart w:id="137" w:name="X3ac2ed3a5325d857e7d247169867e838a0dd832"/>
    <w:p>
      <w:pPr>
        <w:pStyle w:val="Heading2"/>
      </w:pPr>
      <w:r>
        <w:t xml:space="preserve">8.4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6">
        <w:r>
          <w:rPr>
            <w:rStyle w:val="Hyperlink"/>
          </w:rPr>
          <w:t xml:space="preserve">UCD-SERG/shigella#13</w:t>
        </w:r>
      </w:hyperlink>
      <w:r>
        <w:t xml:space="preserve">).</w:t>
      </w:r>
    </w:p>
    <w:bookmarkEnd w:id="137"/>
    <w:bookmarkStart w:id="150" w:name="references"/>
    <w:p>
      <w:pPr>
        <w:pStyle w:val="Heading2"/>
      </w:pPr>
      <w:r>
        <w:t xml:space="preserve">References</w:t>
      </w:r>
    </w:p>
    <w:bookmarkStart w:id="149" w:name="refs"/>
    <w:bookmarkStart w:id="13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38">
        <w:r>
          <w:rPr>
            <w:rStyle w:val="Hyperlink"/>
          </w:rPr>
          <w:t xml:space="preserve">https://doi.org/10.1016/S2666-5247(22)00114-8</w:t>
        </w:r>
      </w:hyperlink>
      <w:r>
        <w:t xml:space="preserve">.</w:t>
      </w:r>
    </w:p>
    <w:bookmarkEnd w:id="139"/>
    <w:bookmarkStart w:id="141"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0">
        <w:r>
          <w:rPr>
            <w:rStyle w:val="Hyperlink"/>
          </w:rPr>
          <w:t xml:space="preserve">https://doi.org/10.1016/j.epidem.2024.100806</w:t>
        </w:r>
      </w:hyperlink>
      <w:r>
        <w:t xml:space="preserve">.</w:t>
      </w:r>
    </w:p>
    <w:bookmarkEnd w:id="141"/>
    <w:bookmarkStart w:id="143"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2">
        <w:r>
          <w:rPr>
            <w:rStyle w:val="Hyperlink"/>
          </w:rPr>
          <w:t xml:space="preserve">https://doi.org/10.1159/000286345</w:t>
        </w:r>
      </w:hyperlink>
      <w:r>
        <w:t xml:space="preserve">.</w:t>
      </w:r>
    </w:p>
    <w:bookmarkEnd w:id="143"/>
    <w:bookmarkStart w:id="145"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4">
        <w:r>
          <w:rPr>
            <w:rStyle w:val="Hyperlink"/>
          </w:rPr>
          <w:t xml:space="preserve">https://doi.org/10.1002/sim.8578</w:t>
        </w:r>
      </w:hyperlink>
      <w:r>
        <w:t xml:space="preserve">.</w:t>
      </w:r>
    </w:p>
    <w:bookmarkEnd w:id="145"/>
    <w:bookmarkStart w:id="147"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6">
        <w:r>
          <w:rPr>
            <w:rStyle w:val="Hyperlink"/>
          </w:rPr>
          <w:t xml:space="preserve">https://doi.org/10.1016/j.epidem.2016.04.001</w:t>
        </w:r>
      </w:hyperlink>
      <w:r>
        <w:t xml:space="preserve">.</w:t>
      </w:r>
    </w:p>
    <w:bookmarkEnd w:id="147"/>
    <w:bookmarkStart w:id="148"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86" Target="media/rId86.sv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51" Target="media/rId51.png"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2026-07-25T00:29:42Z</dcterms:created>
  <dcterms:modified xsi:type="dcterms:W3CDTF">2026-07-25T00:29:42Z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