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9.png" ContentType="image/png"/>
  <Override PartName="/word/media/rId135.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antibody response curves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4"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Start w:id="123" w:name="posterior-predictive-variance-over-time"/>
    <w:p>
      <w:pPr>
        <w:pStyle w:val="Heading2"/>
      </w:pPr>
      <w:r>
        <w:t xml:space="preserve">6.8 Posterior predictive variance over time</w:t>
      </w:r>
    </w:p>
    <w:p>
      <w:pPr>
        <w:pStyle w:val="FirstParagraph"/>
      </w:pPr>
      <w:r>
        <w:t xml:space="preserve">Posterior predictive variance — computed across the full Monte Carlo sample of kinetic parameter sets at each time point — is highest during the acute phase (approximately days 0–150) and decreases monotonically thereafter. This convergence occurs because the power-law decay rate is concentration-dependent: individuals with high peaks wane faster than those with lower peaks, causing trajectories to converge rather than diverge over time. The marginal likelihood approach therefore does not misspecify observation error in the waning phase.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Load posterior curve parameter samples (local example data; no internet required)</w:t>
      </w:r>
      <w:r>
        <w:br/>
      </w:r>
      <w:r>
        <w:rPr>
          <w:rStyle w:val="NormalTok"/>
        </w:rPr>
        <w:t xml:space="preserve">curves </w:t>
      </w:r>
      <w:r>
        <w:rPr>
          <w:rStyle w:val="OtherTok"/>
        </w:rPr>
        <w:t xml:space="preserve">&lt;-</w:t>
      </w:r>
      <w:r>
        <w:rPr>
          <w:rStyle w:val="NormalTok"/>
        </w:rPr>
        <w:t xml:space="preserve"> </w:t>
      </w:r>
      <w:r>
        <w:rPr>
          <w:rStyle w:val="FunctionTok"/>
        </w:rPr>
        <w:t xml:space="preserve">load_sr_params</w:t>
      </w:r>
      <w:r>
        <w:rPr>
          <w:rStyle w:val="NormalTok"/>
        </w:rPr>
        <w:t xml:space="preserve">(</w:t>
      </w:r>
      <w:r>
        <w:rPr>
          <w:rStyle w:val="FunctionTok"/>
        </w:rPr>
        <w:t xml:space="preserve">serocalculator_example</w:t>
      </w:r>
      <w:r>
        <w:rPr>
          <w:rStyle w:val="NormalTok"/>
        </w:rPr>
        <w:t xml:space="preserve">(</w:t>
      </w:r>
      <w:r>
        <w:rPr>
          <w:rStyle w:val="StringTok"/>
        </w:rPr>
        <w:t xml:space="preserve">"example_curve_params.rds"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Time grid</w:t>
      </w:r>
      <w:r>
        <w:br/>
      </w:r>
      <w:r>
        <w:rPr>
          <w:rStyle w:val="NormalTok"/>
        </w:rPr>
        <w:t xml:space="preserve">time_grid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730</w:t>
      </w:r>
      <w:r>
        <w:rPr>
          <w:rStyle w:val="NormalTok"/>
        </w:rPr>
        <w:t xml:space="preserve">, </w:t>
      </w:r>
      <w:r>
        <w:rPr>
          <w:rStyle w:val="AttributeTok"/>
        </w:rPr>
        <w:t xml:space="preserve">by =</w:t>
      </w:r>
      <w:r>
        <w:rPr>
          <w:rStyle w:val="NormalTok"/>
        </w:rPr>
        <w:t xml:space="preserve"> </w:t>
      </w:r>
      <w:r>
        <w:rPr>
          <w:rStyle w:val="DecValTok"/>
        </w:rPr>
        <w:t xml:space="preserve">7</w:t>
      </w:r>
      <w:r>
        <w:rPr>
          <w:rStyle w:val="NormalTok"/>
        </w:rPr>
        <w:t xml:space="preserve">)</w:t>
      </w:r>
      <w:r>
        <w:br/>
      </w:r>
      <w:r>
        <w:br/>
      </w:r>
      <w:r>
        <w:rPr>
          <w:rStyle w:val="CommentTok"/>
        </w:rPr>
        <w:t xml:space="preserve"># Loop over all antigen-isotypes</w:t>
      </w:r>
      <w:r>
        <w:br/>
      </w:r>
      <w:r>
        <w:rPr>
          <w:rStyle w:val="NormalTok"/>
        </w:rPr>
        <w:t xml:space="preserve">all_summaries </w:t>
      </w:r>
      <w:r>
        <w:rPr>
          <w:rStyle w:val="OtherTok"/>
        </w:rPr>
        <w:t xml:space="preserve">&lt;-</w:t>
      </w:r>
      <w:r>
        <w:rPr>
          <w:rStyle w:val="NormalTok"/>
        </w:rPr>
        <w:t xml:space="preserve"> curves </w:t>
      </w:r>
      <w:r>
        <w:rPr>
          <w:rStyle w:val="SpecialCharTok"/>
        </w:rPr>
        <w:t xml:space="preserve">|&gt;</w:t>
      </w:r>
      <w:r>
        <w:br/>
      </w:r>
      <w:r>
        <w:rPr>
          <w:rStyle w:val="NormalTok"/>
        </w:rPr>
        <w:t xml:space="preserve">  </w:t>
      </w:r>
      <w:r>
        <w:rPr>
          <w:rStyle w:val="FunctionTok"/>
        </w:rPr>
        <w:t xml:space="preserve">distinct</w:t>
      </w:r>
      <w:r>
        <w:rPr>
          <w:rStyle w:val="NormalTok"/>
        </w:rPr>
        <w:t xml:space="preserve">(antigen_iso) </w:t>
      </w:r>
      <w:r>
        <w:rPr>
          <w:rStyle w:val="SpecialCharTok"/>
        </w:rPr>
        <w:t xml:space="preserve">|&gt;</w:t>
      </w:r>
      <w:r>
        <w:br/>
      </w:r>
      <w:r>
        <w:rPr>
          <w:rStyle w:val="NormalTok"/>
        </w:rPr>
        <w:t xml:space="preserve">  </w:t>
      </w:r>
      <w:r>
        <w:rPr>
          <w:rStyle w:val="FunctionTok"/>
        </w:rPr>
        <w:t xml:space="preserve">pull</w:t>
      </w:r>
      <w:r>
        <w:rPr>
          <w:rStyle w:val="NormalTok"/>
        </w:rPr>
        <w:t xml:space="preserve">(antigen_iso) </w:t>
      </w:r>
      <w:r>
        <w:rPr>
          <w:rStyle w:val="SpecialCharTok"/>
        </w:rPr>
        <w:t xml:space="preserve">|&gt;</w:t>
      </w:r>
      <w:r>
        <w:br/>
      </w:r>
      <w:r>
        <w:rPr>
          <w:rStyle w:val="NormalTok"/>
        </w:rPr>
        <w:t xml:space="preserve">  </w:t>
      </w:r>
      <w:r>
        <w:rPr>
          <w:rStyle w:val="FunctionTok"/>
        </w:rPr>
        <w:t xml:space="preserve">lapply</w:t>
      </w:r>
      <w:r>
        <w:rPr>
          <w:rStyle w:val="NormalTok"/>
        </w:rPr>
        <w:t xml:space="preserve">(</w:t>
      </w:r>
      <w:r>
        <w:rPr>
          <w:rStyle w:val="ControlFlowTok"/>
        </w:rPr>
        <w:t xml:space="preserve">function</w:t>
      </w:r>
      <w:r>
        <w:rPr>
          <w:rStyle w:val="NormalTok"/>
        </w:rPr>
        <w:t xml:space="preserve">(ab) {</w:t>
      </w:r>
      <w:r>
        <w:br/>
      </w:r>
      <w:r>
        <w:rPr>
          <w:rStyle w:val="NormalTok"/>
        </w:rPr>
        <w:t xml:space="preserve">    curves_ab </w:t>
      </w:r>
      <w:r>
        <w:rPr>
          <w:rStyle w:val="OtherTok"/>
        </w:rPr>
        <w:t xml:space="preserve">&lt;-</w:t>
      </w:r>
      <w:r>
        <w:rPr>
          <w:rStyle w:val="NormalTok"/>
        </w:rPr>
        <w:t xml:space="preserve"> curves </w:t>
      </w:r>
      <w:r>
        <w:rPr>
          <w:rStyle w:val="SpecialCharTok"/>
        </w:rPr>
        <w:t xml:space="preserve">|&gt;</w:t>
      </w:r>
      <w:r>
        <w:rPr>
          <w:rStyle w:val="NormalTok"/>
        </w:rPr>
        <w:t xml:space="preserve"> </w:t>
      </w:r>
      <w:r>
        <w:rPr>
          <w:rStyle w:val="FunctionTok"/>
        </w:rPr>
        <w:t xml:space="preserve">filter</w:t>
      </w:r>
      <w:r>
        <w:rPr>
          <w:rStyle w:val="NormalTok"/>
        </w:rPr>
        <w:t xml:space="preserve">(antigen_iso </w:t>
      </w:r>
      <w:r>
        <w:rPr>
          <w:rStyle w:val="SpecialCharTok"/>
        </w:rPr>
        <w:t xml:space="preserve">==</w:t>
      </w:r>
      <w:r>
        <w:rPr>
          <w:rStyle w:val="NormalTok"/>
        </w:rPr>
        <w:t xml:space="preserve"> ab)</w:t>
      </w:r>
      <w:r>
        <w:br/>
      </w:r>
      <w:r>
        <w:br/>
      </w:r>
      <w:r>
        <w:rPr>
          <w:rStyle w:val="NormalTok"/>
        </w:rPr>
        <w:t xml:space="preserve">    </w:t>
      </w:r>
      <w:r>
        <w:rPr>
          <w:rStyle w:val="CommentTok"/>
        </w:rPr>
        <w:t xml:space="preserve"># Reuse the package's own two-phase kinetics function instead of</w:t>
      </w:r>
      <w:r>
        <w:br/>
      </w:r>
      <w:r>
        <w:rPr>
          <w:rStyle w:val="NormalTok"/>
        </w:rPr>
        <w:t xml:space="preserve">    </w:t>
      </w:r>
      <w:r>
        <w:rPr>
          <w:rStyle w:val="CommentTok"/>
        </w:rPr>
        <w:t xml:space="preserve"># reimplementing it; suppressWarnings() avoids NaN warnings from the</w:t>
      </w:r>
      <w:r>
        <w:br/>
      </w:r>
      <w:r>
        <w:rPr>
          <w:rStyle w:val="NormalTok"/>
        </w:rPr>
        <w:t xml:space="preserve">    </w:t>
      </w:r>
      <w:r>
        <w:rPr>
          <w:rStyle w:val="CommentTok"/>
        </w:rPr>
        <w:t xml:space="preserve"># phase-2 formula being evaluated (and discarded) for early time points.</w:t>
      </w:r>
      <w:r>
        <w:br/>
      </w:r>
      <w:r>
        <w:rPr>
          <w:rStyle w:val="NormalTok"/>
        </w:rPr>
        <w:t xml:space="preserve">    pred_matrix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(y0, y1, t1, alpha, r) {</w:t>
      </w:r>
      <w:r>
        <w:br/>
      </w:r>
      <w:r>
        <w:rPr>
          <w:rStyle w:val="NormalTok"/>
        </w:rPr>
        <w:t xml:space="preserve">        </w:t>
      </w:r>
      <w:r>
        <w:rPr>
          <w:rStyle w:val="FunctionTok"/>
        </w:rPr>
        <w:t xml:space="preserve">suppressWarnings</w:t>
      </w:r>
      <w:r>
        <w:rPr>
          <w:rStyle w:val="NormalTok"/>
        </w:rPr>
        <w:t xml:space="preserve">(</w:t>
      </w:r>
      <w:r>
        <w:br/>
      </w:r>
      <w:r>
        <w:rPr>
          <w:rStyle w:val="NormalTok"/>
        </w:rPr>
        <w:t xml:space="preserve">          serocalculator</w:t>
      </w:r>
      <w:r>
        <w:rPr>
          <w:rStyle w:val="SpecialCharTok"/>
        </w:rPr>
        <w:t xml:space="preserve">:::</w:t>
      </w:r>
      <w:r>
        <w:rPr>
          <w:rStyle w:val="FunctionTok"/>
        </w:rPr>
        <w:t xml:space="preserve">ab0</w:t>
      </w:r>
      <w:r>
        <w:rPr>
          <w:rStyle w:val="NormalTok"/>
        </w:rPr>
        <w:t xml:space="preserve">(</w:t>
      </w:r>
      <w:r>
        <w:br/>
      </w:r>
      <w:r>
        <w:rPr>
          <w:rStyle w:val="NormalTok"/>
        </w:rPr>
        <w:t xml:space="preserve">            </w:t>
      </w:r>
      <w:r>
        <w:rPr>
          <w:rStyle w:val="AttributeTok"/>
        </w:rPr>
        <w:t xml:space="preserve">t =</w:t>
      </w:r>
      <w:r>
        <w:rPr>
          <w:rStyle w:val="NormalTok"/>
        </w:rPr>
        <w:t xml:space="preserve"> time_grid,</w:t>
      </w:r>
      <w:r>
        <w:br/>
      </w:r>
      <w:r>
        <w:rPr>
          <w:rStyle w:val="NormalTok"/>
        </w:rPr>
        <w:t xml:space="preserve">            </w:t>
      </w:r>
      <w:r>
        <w:rPr>
          <w:rStyle w:val="AttributeTok"/>
        </w:rPr>
        <w:t xml:space="preserve">curve_params =</w:t>
      </w:r>
      <w:r>
        <w:rPr>
          <w:rStyle w:val="NormalTok"/>
        </w:rPr>
        <w:t xml:space="preserve"> </w:t>
      </w:r>
      <w:r>
        <w:rPr>
          <w:rStyle w:val="FunctionTok"/>
        </w:rPr>
        <w:t xml:space="preserve">list</w:t>
      </w:r>
      <w:r>
        <w:rPr>
          <w:rStyle w:val="NormalTok"/>
        </w:rPr>
        <w:t xml:space="preserve">(</w:t>
      </w:r>
      <w:r>
        <w:rPr>
          <w:rStyle w:val="AttributeTok"/>
        </w:rPr>
        <w:t xml:space="preserve">y0 =</w:t>
      </w:r>
      <w:r>
        <w:rPr>
          <w:rStyle w:val="NormalTok"/>
        </w:rPr>
        <w:t xml:space="preserve"> y0, </w:t>
      </w:r>
      <w:r>
        <w:rPr>
          <w:rStyle w:val="AttributeTok"/>
        </w:rPr>
        <w:t xml:space="preserve">y1 =</w:t>
      </w:r>
      <w:r>
        <w:rPr>
          <w:rStyle w:val="NormalTok"/>
        </w:rPr>
        <w:t xml:space="preserve"> y1, </w:t>
      </w:r>
      <w:r>
        <w:rPr>
          <w:rStyle w:val="AttributeTok"/>
        </w:rPr>
        <w:t xml:space="preserve">t1 =</w:t>
      </w:r>
      <w:r>
        <w:rPr>
          <w:rStyle w:val="NormalTok"/>
        </w:rPr>
        <w:t xml:space="preserve"> t1, </w:t>
      </w:r>
      <w:r>
        <w:rPr>
          <w:rStyle w:val="AttributeTok"/>
        </w:rPr>
        <w:t xml:space="preserve">alpha =</w:t>
      </w:r>
      <w:r>
        <w:rPr>
          <w:rStyle w:val="NormalTok"/>
        </w:rPr>
        <w:t xml:space="preserve"> alpha, </w:t>
      </w:r>
      <w:r>
        <w:rPr>
          <w:rStyle w:val="AttributeTok"/>
        </w:rPr>
        <w:t xml:space="preserve">r =</w:t>
      </w:r>
      <w:r>
        <w:rPr>
          <w:rStyle w:val="NormalTok"/>
        </w:rPr>
        <w:t xml:space="preserve"> 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AttributeTok"/>
        </w:rPr>
        <w:t xml:space="preserve">y0    =</w:t>
      </w:r>
      <w:r>
        <w:rPr>
          <w:rStyle w:val="NormalTok"/>
        </w:rPr>
        <w:t xml:space="preserve"> curves_ab</w:t>
      </w:r>
      <w:r>
        <w:rPr>
          <w:rStyle w:val="SpecialCharTok"/>
        </w:rPr>
        <w:t xml:space="preserve">$</w:t>
      </w:r>
      <w:r>
        <w:rPr>
          <w:rStyle w:val="NormalTok"/>
        </w:rPr>
        <w:t xml:space="preserve">y0,</w:t>
      </w:r>
      <w:r>
        <w:br/>
      </w:r>
      <w:r>
        <w:rPr>
          <w:rStyle w:val="NormalTok"/>
        </w:rPr>
        <w:t xml:space="preserve">      </w:t>
      </w:r>
      <w:r>
        <w:rPr>
          <w:rStyle w:val="AttributeTok"/>
        </w:rPr>
        <w:t xml:space="preserve">y1    =</w:t>
      </w:r>
      <w:r>
        <w:rPr>
          <w:rStyle w:val="NormalTok"/>
        </w:rPr>
        <w:t xml:space="preserve"> curves_ab</w:t>
      </w:r>
      <w:r>
        <w:rPr>
          <w:rStyle w:val="SpecialCharTok"/>
        </w:rPr>
        <w:t xml:space="preserve">$</w:t>
      </w:r>
      <w:r>
        <w:rPr>
          <w:rStyle w:val="NormalTok"/>
        </w:rPr>
        <w:t xml:space="preserve">y1,</w:t>
      </w:r>
      <w:r>
        <w:br/>
      </w:r>
      <w:r>
        <w:rPr>
          <w:rStyle w:val="NormalTok"/>
        </w:rPr>
        <w:t xml:space="preserve">      </w:t>
      </w:r>
      <w:r>
        <w:rPr>
          <w:rStyle w:val="AttributeTok"/>
        </w:rPr>
        <w:t xml:space="preserve">t1    =</w:t>
      </w:r>
      <w:r>
        <w:rPr>
          <w:rStyle w:val="NormalTok"/>
        </w:rPr>
        <w:t xml:space="preserve"> curves_ab</w:t>
      </w:r>
      <w:r>
        <w:rPr>
          <w:rStyle w:val="SpecialCharTok"/>
        </w:rPr>
        <w:t xml:space="preserve">$</w:t>
      </w:r>
      <w:r>
        <w:rPr>
          <w:rStyle w:val="NormalTok"/>
        </w:rPr>
        <w:t xml:space="preserve">t1,</w:t>
      </w:r>
      <w:r>
        <w:br/>
      </w:r>
      <w:r>
        <w:rPr>
          <w:rStyle w:val="NormalTok"/>
        </w:rPr>
        <w:t xml:space="preserve">      </w:t>
      </w:r>
      <w:r>
        <w:rPr>
          <w:rStyle w:val="AttributeTok"/>
        </w:rPr>
        <w:t xml:space="preserve">alpha =</w:t>
      </w:r>
      <w:r>
        <w:rPr>
          <w:rStyle w:val="NormalTok"/>
        </w:rPr>
        <w:t xml:space="preserve"> curves_ab</w:t>
      </w:r>
      <w:r>
        <w:rPr>
          <w:rStyle w:val="SpecialCharTok"/>
        </w:rPr>
        <w:t xml:space="preserve">$</w:t>
      </w:r>
      <w:r>
        <w:rPr>
          <w:rStyle w:val="NormalTok"/>
        </w:rPr>
        <w:t xml:space="preserve">alpha,</w:t>
      </w:r>
      <w:r>
        <w:br/>
      </w:r>
      <w:r>
        <w:rPr>
          <w:rStyle w:val="NormalTok"/>
        </w:rPr>
        <w:t xml:space="preserve">      </w:t>
      </w:r>
      <w:r>
        <w:rPr>
          <w:rStyle w:val="AttributeTok"/>
        </w:rPr>
        <w:t xml:space="preserve">r     =</w:t>
      </w:r>
      <w:r>
        <w:rPr>
          <w:rStyle w:val="NormalTok"/>
        </w:rPr>
        <w:t xml:space="preserve"> curves_ab</w:t>
      </w:r>
      <w:r>
        <w:rPr>
          <w:rStyle w:val="SpecialCharTok"/>
        </w:rPr>
        <w:t xml:space="preserve">$</w:t>
      </w:r>
      <w:r>
        <w:rPr>
          <w:rStyle w:val="NormalTok"/>
        </w:rPr>
        <w:t xml:space="preserve">r,</w:t>
      </w:r>
      <w:r>
        <w:br/>
      </w:r>
      <w:r>
        <w:rPr>
          <w:rStyle w:val="NormalTok"/>
        </w:rPr>
        <w:t xml:space="preserve">      </w:t>
      </w:r>
      <w:r>
        <w:rPr>
          <w:rStyle w:val="AttributeTok"/>
        </w:rPr>
        <w:t xml:space="preserve">SIMPLIFY =</w:t>
      </w:r>
      <w:r>
        <w:rPr>
          <w:rStyle w:val="NormalTok"/>
        </w:rPr>
        <w:t xml:space="preserve"> </w:t>
      </w:r>
      <w:r>
        <w:rPr>
          <w:rStyle w:val="StringTok"/>
        </w:rPr>
        <w:t xml:space="preserve">"array"</w:t>
      </w:r>
      <w:r>
        <w:br/>
      </w:r>
      <w:r>
        <w:rPr>
          <w:rStyle w:val="NormalTok"/>
        </w:rPr>
        <w:t xml:space="preserve">    )</w:t>
      </w:r>
      <w:r>
        <w:br/>
      </w:r>
      <w:r>
        <w:rPr>
          <w:rStyle w:val="NormalTok"/>
        </w:rPr>
        <w:t xml:space="preserve">    pred_matrix </w:t>
      </w:r>
      <w:r>
        <w:rPr>
          <w:rStyle w:val="OtherTok"/>
        </w:rPr>
        <w:t xml:space="preserve">&lt;-</w:t>
      </w:r>
      <w:r>
        <w:rPr>
          <w:rStyle w:val="NormalTok"/>
        </w:rPr>
        <w:t xml:space="preserve"> </w:t>
      </w:r>
      <w:r>
        <w:rPr>
          <w:rStyle w:val="FunctionTok"/>
        </w:rPr>
        <w:t xml:space="preserve">matrix</w:t>
      </w:r>
      <w:r>
        <w:rPr>
          <w:rStyle w:val="NormalTok"/>
        </w:rPr>
        <w:t xml:space="preserve">(pred_matrix, </w:t>
      </w:r>
      <w:r>
        <w:rPr>
          <w:rStyle w:val="AttributeTok"/>
        </w:rPr>
        <w:t xml:space="preserve">nrow =</w:t>
      </w:r>
      <w:r>
        <w:rPr>
          <w:rStyle w:val="NormalTok"/>
        </w:rPr>
        <w:t xml:space="preserve"> </w:t>
      </w:r>
      <w:r>
        <w:rPr>
          <w:rStyle w:val="FunctionTok"/>
        </w:rPr>
        <w:t xml:space="preserve">length</w:t>
      </w:r>
      <w:r>
        <w:rPr>
          <w:rStyle w:val="NormalTok"/>
        </w:rPr>
        <w:t xml:space="preserve">(time_grid))</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ab,</w:t>
      </w:r>
      <w:r>
        <w:br/>
      </w:r>
      <w:r>
        <w:rPr>
          <w:rStyle w:val="NormalTok"/>
        </w:rPr>
        <w:t xml:space="preserve">      </w:t>
      </w:r>
      <w:r>
        <w:rPr>
          <w:rStyle w:val="AttributeTok"/>
        </w:rPr>
        <w:t xml:space="preserve">time        =</w:t>
      </w:r>
      <w:r>
        <w:rPr>
          <w:rStyle w:val="NormalTok"/>
        </w:rPr>
        <w:t xml:space="preserve"> time_grid,</w:t>
      </w:r>
      <w:r>
        <w:br/>
      </w:r>
      <w:r>
        <w:rPr>
          <w:rStyle w:val="NormalTok"/>
        </w:rPr>
        <w:t xml:space="preserve">      </w:t>
      </w:r>
      <w:r>
        <w:rPr>
          <w:rStyle w:val="AttributeTok"/>
        </w:rPr>
        <w:t xml:space="preserve">mean_ab     =</w:t>
      </w:r>
      <w:r>
        <w:rPr>
          <w:rStyle w:val="NormalTok"/>
        </w:rPr>
        <w:t xml:space="preserve"> </w:t>
      </w:r>
      <w:r>
        <w:rPr>
          <w:rStyle w:val="FunctionTok"/>
        </w:rPr>
        <w:t xml:space="preserve">rowMeans</w:t>
      </w:r>
      <w:r>
        <w:rPr>
          <w:rStyle w:val="NormalTok"/>
        </w:rPr>
        <w:t xml:space="preserve">(pred_matrix),</w:t>
      </w:r>
      <w:r>
        <w:br/>
      </w:r>
      <w:r>
        <w:rPr>
          <w:rStyle w:val="NormalTok"/>
        </w:rPr>
        <w:t xml:space="preserve">      </w:t>
      </w:r>
      <w:r>
        <w:rPr>
          <w:rStyle w:val="AttributeTok"/>
        </w:rPr>
        <w:t xml:space="preserve">var_ab      =</w:t>
      </w:r>
      <w:r>
        <w:rPr>
          <w:rStyle w:val="NormalTok"/>
        </w:rPr>
        <w:t xml:space="preserve"> </w:t>
      </w:r>
      <w:r>
        <w:rPr>
          <w:rStyle w:val="FunctionTok"/>
        </w:rPr>
        <w:t xml:space="preserve">apply</w:t>
      </w:r>
      <w:r>
        <w:rPr>
          <w:rStyle w:val="NormalTok"/>
        </w:rPr>
        <w:t xml:space="preserve">(pred_matrix, </w:t>
      </w:r>
      <w:r>
        <w:rPr>
          <w:rStyle w:val="DecValTok"/>
        </w:rPr>
        <w:t xml:space="preserve">1</w:t>
      </w:r>
      <w:r>
        <w:rPr>
          <w:rStyle w:val="NormalTok"/>
        </w:rPr>
        <w:t xml:space="preserve">, var),</w:t>
      </w:r>
      <w:r>
        <w:br/>
      </w:r>
      <w:r>
        <w:rPr>
          <w:rStyle w:val="NormalTok"/>
        </w:rPr>
        <w:t xml:space="preserve">      </w:t>
      </w:r>
      <w:r>
        <w:rPr>
          <w:rStyle w:val="AttributeTok"/>
        </w:rPr>
        <w:t xml:space="preserve">sd_ab       =</w:t>
      </w:r>
      <w:r>
        <w:rPr>
          <w:rStyle w:val="NormalTok"/>
        </w:rPr>
        <w:t xml:space="preserve"> </w:t>
      </w:r>
      <w:r>
        <w:rPr>
          <w:rStyle w:val="FunctionTok"/>
        </w:rPr>
        <w:t xml:space="preserve">apply</w:t>
      </w:r>
      <w:r>
        <w:rPr>
          <w:rStyle w:val="NormalTok"/>
        </w:rPr>
        <w:t xml:space="preserve">(pred_matrix, </w:t>
      </w:r>
      <w:r>
        <w:rPr>
          <w:rStyle w:val="DecValTok"/>
        </w:rPr>
        <w:t xml:space="preserve">1</w:t>
      </w:r>
      <w:r>
        <w:rPr>
          <w:rStyle w:val="NormalTok"/>
        </w:rPr>
        <w:t xml:space="preserve">, sd)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br/>
      </w:r>
      <w:r>
        <w:rPr>
          <w:rStyle w:val="CommentTok"/>
        </w:rPr>
        <w:t xml:space="preserve"># Plot 1: variance over time, faceted by antigen-isotype, log scale</w:t>
      </w:r>
      <w:r>
        <w:br/>
      </w:r>
      <w:r>
        <w:rPr>
          <w:rStyle w:val="FunctionTok"/>
        </w:rPr>
        <w:t xml:space="preserve">ggplot</w:t>
      </w:r>
      <w:r>
        <w:rPr>
          <w:rStyle w:val="NormalTok"/>
        </w:rPr>
        <w:t xml:space="preserve">(all_summaries, </w:t>
      </w:r>
      <w:r>
        <w:rPr>
          <w:rStyle w:val="FunctionTok"/>
        </w:rPr>
        <w:t xml:space="preserve">aes</w:t>
      </w:r>
      <w:r>
        <w:rPr>
          <w:rStyle w:val="NormalTok"/>
        </w:rPr>
        <w:t xml:space="preserve">(</w:t>
      </w:r>
      <w:r>
        <w:rPr>
          <w:rStyle w:val="AttributeTok"/>
        </w:rPr>
        <w:t xml:space="preserve">x =</w:t>
      </w:r>
      <w:r>
        <w:rPr>
          <w:rStyle w:val="NormalTok"/>
        </w:rPr>
        <w:t xml:space="preserve"> time, </w:t>
      </w:r>
      <w:r>
        <w:rPr>
          <w:rStyle w:val="AttributeTok"/>
        </w:rPr>
        <w:t xml:space="preserve">y =</w:t>
      </w:r>
      <w:r>
        <w:rPr>
          <w:rStyle w:val="NormalTok"/>
        </w:rPr>
        <w:t xml:space="preserve"> var_ab))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scale_y_log10</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antigen_iso,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"Days since infection"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"Variance of predicted antibody level (log scale)"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"Posterior predictive variance over time since infection"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21" name="Picture"/>
            <a:graphic>
              <a:graphicData uri="http://schemas.openxmlformats.org/drawingml/2006/picture">
                <pic:pic>
                  <pic:nvPicPr>
                    <pic:cNvPr descr="methodology_files/figure-docx/unnamed-chunk-9-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End w:id="123"/>
    <w:bookmarkEnd w:id="124"/>
    <w:bookmarkStart w:id="133" w:name="using-serocalculator"/>
    <w:p>
      <w:pPr>
        <w:pStyle w:val="Heading1"/>
      </w:pPr>
      <w:r>
        <w:t xml:space="preserve">7. Using</w:t>
      </w:r>
      <w:r>
        <w:t xml:space="preserve"> </w:t>
      </w:r>
      <w:r>
        <w:rPr>
          <w:rStyle w:val="VerbatimChar"/>
        </w:rPr>
        <w:t xml:space="preserve">serocalculator</w:t>
      </w:r>
    </w:p>
    <w:bookmarkStart w:id="126"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5">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6"/>
    <w:bookmarkStart w:id="127"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7"/>
    <w:bookmarkStart w:id="132" w:name="interactive-shiny-app"/>
    <w:p>
      <w:pPr>
        <w:pStyle w:val="Heading2"/>
      </w:pPr>
      <w:r>
        <w:t xml:space="preserve">7.3 Interactive Shiny app</w:t>
      </w:r>
    </w:p>
    <w:p>
      <w:pPr>
        <w:pStyle w:val="FirstParagraph"/>
      </w:pPr>
      <w:r>
        <w:t xml:space="preserve">A point-and-click interface is available at</w:t>
      </w:r>
      <w:r>
        <w:t xml:space="preserve"> </w:t>
      </w:r>
      <w:hyperlink r:id="rId128">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30" name="Picture"/>
            <a:graphic>
              <a:graphicData uri="http://schemas.openxmlformats.org/drawingml/2006/picture">
                <pic:pic>
                  <pic:nvPicPr>
                    <pic:cNvPr descr="../man/figures/shiny-serocalculator.png" id="131" name="Picture"/>
                    <pic:cNvPicPr>
                      <a:picLocks noChangeArrowheads="1" noChangeAspect="1"/>
                    </pic:cNvPicPr>
                  </pic:nvPicPr>
                  <pic:blipFill>
                    <a:blip r:embed="rId129"/>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32"/>
    <w:bookmarkEnd w:id="133"/>
    <w:bookmarkStart w:id="139" w:name="X950effd5ffba89669b8964fc48817b69e54f5c8"/>
    <w:p>
      <w:pPr>
        <w:pStyle w:val="Heading1"/>
      </w:pPr>
      <w:r>
        <w:t xml:space="preserve">8. Validation: recovering known incidence rates</w:t>
      </w:r>
    </w:p>
    <w:bookmarkStart w:id="134"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4"/>
    <w:bookmarkStart w:id="138"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6" name="Picture"/>
            <a:graphic>
              <a:graphicData uri="http://schemas.openxmlformats.org/drawingml/2006/picture">
                <pic:pic>
                  <pic:nvPicPr>
                    <pic:cNvPr descr="../man/figures/sim-recovery.png" id="137" name="Picture"/>
                    <pic:cNvPicPr>
                      <a:picLocks noChangeArrowheads="1" noChangeAspect="1"/>
                    </pic:cNvPicPr>
                  </pic:nvPicPr>
                  <pic:blipFill>
                    <a:blip r:embed="rId13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8"/>
    <w:bookmarkEnd w:id="139"/>
    <w:bookmarkStart w:id="145" w:name="ongoing-and-future-work"/>
    <w:p>
      <w:pPr>
        <w:pStyle w:val="Heading1"/>
      </w:pPr>
      <w:r>
        <w:t xml:space="preserve">9. Ongoing and future work</w:t>
      </w:r>
    </w:p>
    <w:bookmarkStart w:id="141"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8">
        <w:r>
          <w:rPr>
            <w:rStyle w:val="Hyperlink"/>
          </w:rPr>
          <w:t xml:space="preserve">serocalculator Shiny app</w:t>
        </w:r>
      </w:hyperlink>
      <w:r>
        <w:t xml:space="preserve">,</w:t>
      </w:r>
      <w:r>
        <w:t xml:space="preserve"> </w:t>
      </w:r>
      <w:hyperlink r:id="rId140">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41"/>
    <w:bookmarkStart w:id="14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42">
        <w:r>
          <w:rPr>
            <w:rStyle w:val="Hyperlink"/>
          </w:rPr>
          <w:t xml:space="preserve">UCD-SERG/shigella#13</w:t>
        </w:r>
      </w:hyperlink>
      <w:r>
        <w:t xml:space="preserve">).</w:t>
      </w:r>
    </w:p>
    <w:bookmarkEnd w:id="143"/>
    <w:bookmarkStart w:id="144" w:name="conclusion"/>
    <w:p>
      <w:pPr>
        <w:pStyle w:val="Heading2"/>
      </w:pPr>
      <w:r>
        <w:t xml:space="preserve">9.3 Conclusion</w:t>
      </w:r>
    </w:p>
    <w:p>
      <w:pPr>
        <w:pStyle w:val="FirstParagraph"/>
      </w:pPr>
      <w:r>
        <w:t xml:space="preserve">By pairing cross-sectional quantitative antibody responses with modeled antibody decay curves, accounting for individual-level heterogeneity, multiple antigen isotypes, and both measurement noise and biological variability, serocalculator provides a standardized approach to estimating population-level seroincidence from cross-sectional serosurveys.</w:t>
      </w:r>
    </w:p>
    <w:bookmarkEnd w:id="144"/>
    <w:bookmarkEnd w:id="145"/>
    <w:bookmarkStart w:id="158" w:name="references"/>
    <w:p>
      <w:pPr>
        <w:pStyle w:val="Heading1"/>
      </w:pPr>
      <w:r>
        <w:t xml:space="preserve">References</w:t>
      </w:r>
    </w:p>
    <w:bookmarkStart w:id="157" w:name="refs"/>
    <w:bookmarkStart w:id="14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6">
        <w:r>
          <w:rPr>
            <w:rStyle w:val="Hyperlink"/>
          </w:rPr>
          <w:t xml:space="preserve">https://doi.org/10.1016/S2666-5247(22)00114-8</w:t>
        </w:r>
      </w:hyperlink>
      <w:r>
        <w:t xml:space="preserve">.</w:t>
      </w:r>
    </w:p>
    <w:bookmarkEnd w:id="147"/>
    <w:bookmarkStart w:id="14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8">
        <w:r>
          <w:rPr>
            <w:rStyle w:val="Hyperlink"/>
          </w:rPr>
          <w:t xml:space="preserve">https://doi.org/10.1016/j.epidem.2024.100806</w:t>
        </w:r>
      </w:hyperlink>
      <w:r>
        <w:t xml:space="preserve">.</w:t>
      </w:r>
    </w:p>
    <w:bookmarkEnd w:id="149"/>
    <w:bookmarkStart w:id="15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50">
        <w:r>
          <w:rPr>
            <w:rStyle w:val="Hyperlink"/>
          </w:rPr>
          <w:t xml:space="preserve">https://doi.org/10.1159/000286345</w:t>
        </w:r>
      </w:hyperlink>
      <w:r>
        <w:t xml:space="preserve">.</w:t>
      </w:r>
    </w:p>
    <w:bookmarkEnd w:id="151"/>
    <w:bookmarkStart w:id="15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52">
        <w:r>
          <w:rPr>
            <w:rStyle w:val="Hyperlink"/>
          </w:rPr>
          <w:t xml:space="preserve">https://doi.org/10.1002/sim.8578</w:t>
        </w:r>
      </w:hyperlink>
      <w:r>
        <w:t xml:space="preserve">.</w:t>
      </w:r>
    </w:p>
    <w:bookmarkEnd w:id="153"/>
    <w:bookmarkStart w:id="15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4">
        <w:r>
          <w:rPr>
            <w:rStyle w:val="Hyperlink"/>
          </w:rPr>
          <w:t xml:space="preserve">https://doi.org/10.1016/j.epidem.2016.04.001</w:t>
        </w:r>
      </w:hyperlink>
      <w:r>
        <w:t xml:space="preserve">.</w:t>
      </w:r>
    </w:p>
    <w:bookmarkEnd w:id="155"/>
    <w:bookmarkStart w:id="15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6"/>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120" Target="media/rId120.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52" Target="https://doi.org/10.1002/sim.8578" TargetMode="External" /><Relationship Type="http://schemas.openxmlformats.org/officeDocument/2006/relationships/hyperlink" Id="rId146" Target="https://doi.org/10.1016/S2666-5247(22)00114-8" TargetMode="External" /><Relationship Type="http://schemas.openxmlformats.org/officeDocument/2006/relationships/hyperlink" Id="rId154" Target="https://doi.org/10.1016/j.epidem.2016.04.001" TargetMode="External" /><Relationship Type="http://schemas.openxmlformats.org/officeDocument/2006/relationships/hyperlink" Id="rId148" Target="https://doi.org/10.1016/j.epidem.2024.100806" TargetMode="External" /><Relationship Type="http://schemas.openxmlformats.org/officeDocument/2006/relationships/hyperlink" Id="rId150" Target="https://doi.org/10.1159/000286345" TargetMode="External" /><Relationship Type="http://schemas.openxmlformats.org/officeDocument/2006/relationships/hyperlink" Id="rId125"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42" Target="https://github.com/UCD-SERG/shigella/pull/13" TargetMode="External" /><Relationship Type="http://schemas.openxmlformats.org/officeDocument/2006/relationships/hyperlink" Id="rId14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8"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52" Target="https://doi.org/10.1002/sim.8578" TargetMode="External" /><Relationship Type="http://schemas.openxmlformats.org/officeDocument/2006/relationships/hyperlink" Id="rId146" Target="https://doi.org/10.1016/S2666-5247(22)00114-8" TargetMode="External" /><Relationship Type="http://schemas.openxmlformats.org/officeDocument/2006/relationships/hyperlink" Id="rId154" Target="https://doi.org/10.1016/j.epidem.2016.04.001" TargetMode="External" /><Relationship Type="http://schemas.openxmlformats.org/officeDocument/2006/relationships/hyperlink" Id="rId148" Target="https://doi.org/10.1016/j.epidem.2024.100806" TargetMode="External" /><Relationship Type="http://schemas.openxmlformats.org/officeDocument/2006/relationships/hyperlink" Id="rId150" Target="https://doi.org/10.1159/000286345" TargetMode="External" /><Relationship Type="http://schemas.openxmlformats.org/officeDocument/2006/relationships/hyperlink" Id="rId125"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42" Target="https://github.com/UCD-SERG/shigella/pull/13" TargetMode="External" /><Relationship Type="http://schemas.openxmlformats.org/officeDocument/2006/relationships/hyperlink" Id="rId14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8"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2026-07-28T08:03:28Z</dcterms:created>
  <dcterms:modified xsi:type="dcterms:W3CDTF">2026-07-28T08:03:28Z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