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21.png" ContentType="image/png"/>
  <Override PartName="/word/media/rId125.png" ContentType="image/png"/>
  <Override PartName="/word/media/rId102.svg" ContentType="image/svg+xml"/>
  <Override PartName="/word/media/rId134.png" ContentType="image/png"/>
  <Override PartName="/word/media/rId159.png" ContentType="image/png"/>
  <Override PartName="/word/media/rId171.png" ContentType="image/png"/>
  <Override PartName="/word/media/rId110.png" ContentType="image/png"/>
  <Override PartName="/word/media/rId186.png" ContentType="image/png"/>
  <Override PartName="/word/media/rId152.png" ContentType="image/png"/>
  <Override PartName="/word/media/rId60.png" ContentType="image/png"/>
  <Override PartName="/word/media/rId192.png" ContentType="image/png"/>
  <Override PartName="/word/media/rId116.png" ContentType="image/png"/>
  <Override PartName="/word/media/rId177.png" ContentType="image/png"/>
  <Override PartName="/word/media/rId97.png" ContentType="image/png"/>
  <Override PartName="/word/media/rId147.png" ContentType="image/png"/>
  <Override PartName="/word/media/rId164.png" ContentType="image/png"/>
  <Override PartName="/word/media/rId182.png" ContentType="image/png"/>
  <Override PartName="/word/media/rId197.png" ContentType="image/png"/>
  <Override PartName="/word/media/rId29.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2026-09-09</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92"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and that identity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2"/>
    <w:bookmarkStart w:id="57"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three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w:t>
            </w:r>
          </w:p>
          <w:bookmarkStart w:id="53" w:name="def-likelihood"/>
          <w:p>
            <w:pPr>
              <w:pStyle w:val="BodyText"/>
            </w:pPr>
            <w:r>
              <w:rPr>
                <w:b/>
                <w:bCs/>
              </w:rPr>
              <w:t xml:space="preserve">Definition 3 (Likelihood)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(Log-likelihood)</w:t>
            </w:r>
          </w:p>
          <w:bookmarkStart w:id="54" w:name="def-log-likelihood"/>
          <w:p>
            <w:pPr>
              <w:pStyle w:val="BodyText"/>
            </w:pPr>
            <w:r>
              <w:rPr>
                <w:b/>
                <w:bCs/>
              </w:rPr>
              <w:t xml:space="preserve">Definition 4 (Log-likelihood)</w:t>
            </w:r>
            <w:r>
              <w:t xml:space="preserve"> </w:t>
            </w:r>
            <w:r>
              <w:t xml:space="preserve">The</w:t>
            </w:r>
            <w:r>
              <w:t xml:space="preserve"> </w:t>
            </w:r>
            <w:r>
              <w:rPr>
                <w:b/>
                <w:bCs/>
              </w:rPr>
              <w:t xml:space="preserve">log-likelihood</w:t>
            </w:r>
            <w:r>
              <w:t xml:space="preserve"> </w:t>
            </w:r>
            <w:r>
              <w:t xml:space="preserve">is the log of the likelihood (</w:t>
            </w:r>
            <w:hyperlink w:anchor="def-likelihood">
              <w:r>
                <w:rPr>
                  <w:rStyle w:val="Hyperlink"/>
                </w:rPr>
                <w:t xml:space="preserve">Definition 3</w:t>
              </w:r>
            </w:hyperlink>
            <w:r>
              <w:t xml:space="preserve">):</w:t>
            </w:r>
          </w:p>
          <w:p>
            <w:pPr>
              <w:pStyle w:val="BodyText"/>
            </w:pPr>
            <m:oMathPara>
              <m:oMathParaPr>
                <m:jc m:val="center"/>
              </m:oMathParaP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m:oMathPara>
          </w:p>
          <w:bookmarkEnd w:id="54"/>
        </w:tc>
      </w:tr>
    </w:tbl>
    <w:p>
      <w:pPr>
        <w:pStyle w:val="FirstParagraph"/>
      </w:pPr>
      <w:r>
        <w:t xml:space="preserve">The log-likelihood is maximized at the same</w:t>
      </w:r>
      <w:r>
        <w:t xml:space="preserve"> </w:t>
      </w:r>
      <m:oMath>
        <m:r>
          <m:t>λ</m:t>
        </m:r>
      </m:oMath>
      <w:r>
        <w:t xml:space="preserve"> </w:t>
      </w:r>
      <w:r>
        <w:t xml:space="preserve">as the likelihood,</w:t>
      </w:r>
      <w:r>
        <w:t xml:space="preserve"> </w:t>
      </w:r>
      <w:r>
        <w:t xml:space="preserve">and is easier to work with because the logarithm turns products into sums</w:t>
      </w:r>
      <w:r>
        <w:t xml:space="preserve"> </w:t>
      </w:r>
      <w:r>
        <w:t xml:space="preserve">(</w:t>
      </w:r>
      <w:hyperlink r:id="rId55">
        <w:r>
          <w:rPr>
            <w:rStyle w:val="Hyperlink"/>
          </w:rPr>
          <w:t xml:space="preserve">the logarithm-of-a-product theorem</w:t>
        </w:r>
      </w:hyperlink>
      <w:r>
        <w:t xml:space="preserve"> </w:t>
      </w:r>
      <w:r>
        <w:t xml:space="preserve">in</w:t>
      </w:r>
      <w:r>
        <w:t xml:space="preserve"> </w:t>
      </w:r>
      <w:r>
        <w:rPr>
          <w:i/>
          <w:iCs/>
        </w:rPr>
        <w:t xml:space="preserve">Regression Models for Epidemiology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6" w:name="def-score"/>
          <w:p>
            <w:pPr>
              <w:pStyle w:val="BodyText"/>
            </w:pPr>
            <w:r>
              <w:rPr>
                <w:b/>
                <w:bCs/>
              </w:rPr>
              <w:t xml:space="preserve">Definition 5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6"/>
        </w:tc>
      </w:tr>
    </w:tbl>
    <w:bookmarkEnd w:id="57"/>
    <w:bookmarkStart w:id="59"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5</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8"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5</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8"/>
        </w:tc>
      </w:tr>
    </w:tbl>
    <w:bookmarkEnd w:id="59"/>
    <w:bookmarkStart w:id="64"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3" w:name="fig-ex-lik-curves"/>
          <w:p>
            <w:pPr>
              <w:pStyle w:val="Compact"/>
              <w:jc w:val="center"/>
            </w:pPr>
            <w:r>
              <w:drawing>
                <wp:inline>
                  <wp:extent cx="4620126" cy="3696101"/>
                  <wp:effectExtent b="0" l="0" r="0" t="0"/>
                  <wp:docPr descr="" title="" id="61" name="Picture"/>
                  <a:graphic>
                    <a:graphicData uri="http://schemas.openxmlformats.org/drawingml/2006/picture">
                      <pic:pic>
                        <pic:nvPicPr>
                          <pic:cNvPr descr="methodology_files/figure-docx/fig-ex-lik-curve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3"/>
        </w:tc>
      </w:tr>
    </w:tbl>
    <w:bookmarkEnd w:id="64"/>
    <w:bookmarkStart w:id="68" w:name="sec-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5" w:name="def-hessian"/>
          <w:p>
            <w:pPr>
              <w:pStyle w:val="BodyText"/>
            </w:pPr>
            <w:r>
              <w:rPr>
                <w:b/>
                <w:bCs/>
              </w:rPr>
              <w:t xml:space="preserve">Definition 6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6" w:name="def-observed-information"/>
          <w:p>
            <w:pPr>
              <w:pStyle w:val="BodyText"/>
            </w:pPr>
            <w:r>
              <w:rPr>
                <w:b/>
                <w:bCs/>
              </w:rPr>
              <w:t xml:space="preserve">Definition 7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6</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7"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7</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7"/>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8"/>
    <w:bookmarkStart w:id="70"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9"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5</w:t>
              </w:r>
            </w:hyperlink>
            <w:r>
              <w:t xml:space="preserve">) and Hessian (</w:t>
            </w:r>
            <w:hyperlink w:anchor="def-hessian">
              <w:r>
                <w:rPr>
                  <w:rStyle w:val="Hyperlink"/>
                </w:rPr>
                <w:t xml:space="preserve">Definition 6</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7</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9"/>
          <w:p/>
        </w:tc>
      </w:tr>
    </w:tbl>
    <w:bookmarkEnd w:id="70"/>
    <w:bookmarkStart w:id="71"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71"/>
    <w:bookmarkStart w:id="80"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5" w:name="fig-sim-case-data"/>
          <w:p>
            <w:pPr>
              <w:jc w:val="center"/>
            </w:pPr>
            <w:r>
              <w:drawing>
                <wp:inline>
                  <wp:extent cx="4620126" cy="3696101"/>
                  <wp:effectExtent b="0" l="0" r="0" t="0"/>
                  <wp:docPr descr="" title="" id="73" name="Picture"/>
                  <a:graphic>
                    <a:graphicData uri="http://schemas.openxmlformats.org/drawingml/2006/picture">
                      <pic:pic>
                        <pic:nvPicPr>
                          <pic:cNvPr descr="methodology_files/figure-docx/unnamed-chunk-4-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5"/>
        </w:tc>
      </w:tr>
    </w:tbl>
    <w:p/>
    <w:tbl>
      <w:tblPr>
        <w:tblStyle w:val="Table"/>
        <w:tblW w:type="pct" w:w="5000"/>
        <w:tblLayout w:type="fixed"/>
        <w:tblLook w:firstRow="0" w:lastRow="0" w:firstColumn="0" w:lastColumn="0" w:noHBand="0" w:noVBand="0" w:val="0000"/>
      </w:tblPr>
      <w:tblGrid>
        <w:gridCol w:w="7920"/>
      </w:tblGrid>
      <w:tr>
        <w:tc>
          <w:tcPr/>
          <w:bookmarkStart w:id="79" w:name="fig-decay"/>
          <w:p>
            <w:pPr>
              <w:jc w:val="center"/>
            </w:pPr>
            <w:r>
              <w:drawing>
                <wp:inline>
                  <wp:extent cx="4620126" cy="3696101"/>
                  <wp:effectExtent b="0" l="0" r="0" t="0"/>
                  <wp:docPr descr="" title="" id="77" name="Picture"/>
                  <a:graphic>
                    <a:graphicData uri="http://schemas.openxmlformats.org/drawingml/2006/picture">
                      <pic:pic>
                        <pic:nvPicPr>
                          <pic:cNvPr descr="methodology_files/figure-docx/unnamed-chunk-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9"/>
        </w:tc>
      </w:tr>
    </w:tbl>
    <w:bookmarkEnd w:id="80"/>
    <w:bookmarkStart w:id="82"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81"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over both parts, the integral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81"/>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2"/>
    <w:bookmarkStart w:id="84"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3" w:name="prp-full-sample-likelihood"/>
          <w:p>
            <w:pPr>
              <w:pStyle w:val="BodyText"/>
            </w:pPr>
            <w:r>
              <w:rPr>
                <w:b/>
                <w:bCs/>
              </w:rPr>
              <w:t xml:space="preserve">Proposition 4 (Full-sample likelihood, assuming independent participants)</w:t>
            </w:r>
            <w:r>
              <w:t xml:space="preserve"> </w:t>
            </w:r>
            <w:r>
              <w:t xml:space="preserve">Write</w:t>
            </w:r>
            <w:r>
              <w:t xml:space="preserve"> </w:t>
            </w:r>
            <m:oMath>
              <m:sSub>
                <m:e>
                  <m:r>
                    <m:rPr>
                      <m:scr m:val="script"/>
                      <m:sty m:val="p"/>
                    </m:rPr>
                    <m:t>L</m:t>
                  </m:r>
                </m:e>
                <m:sub>
                  <m:r>
                    <m:t>i</m:t>
                  </m:r>
                </m:sub>
              </m:sSub>
            </m:oMath>
            <w:r>
              <w:t xml:space="preserve"> </w:t>
            </w:r>
            <w:r>
              <w:t xml:space="preserve">and</w:t>
            </w:r>
            <w:r>
              <w:t xml:space="preserve"> </w:t>
            </w:r>
            <m:oMath>
              <m:sSub>
                <m:e>
                  <m:r>
                    <m:t>ℓ</m:t>
                  </m:r>
                </m:e>
                <m:sub>
                  <m:r>
                    <m:t>i</m:t>
                  </m:r>
                </m:sub>
              </m:sSub>
            </m:oMath>
            <w:r>
              <w:t xml:space="preserve"> </w:t>
            </w:r>
            <w:r>
              <w:t xml:space="preserve">for participant</w:t>
            </w:r>
            <w:r>
              <w:t xml:space="preserve"> </w:t>
            </w:r>
            <m:oMath>
              <m:r>
                <m:t>i</m:t>
              </m:r>
            </m:oMath>
            <w:r>
              <w:t xml:space="preserve">’s own likelihood and</w:t>
            </w:r>
            <w:r>
              <w:t xml:space="preserve"> </w:t>
            </w:r>
            <w:r>
              <w:t xml:space="preserve">log-likelihood, which is</w:t>
            </w:r>
            <w:r>
              <w:t xml:space="preserve"> </w:t>
            </w:r>
            <w:hyperlink w:anchor="prp-marginal-likelihood">
              <w:r>
                <w:rPr>
                  <w:rStyle w:val="Hyperlink"/>
                </w:rPr>
                <w:t xml:space="preserve">Proposition 3</w:t>
              </w:r>
            </w:hyperlink>
            <w:r>
              <w:t xml:space="preserve"> </w:t>
            </w:r>
            <w:r>
              <w:t xml:space="preserve">evaluated at</w:t>
            </w:r>
            <w:r>
              <w:t xml:space="preserve"> </w:t>
            </w:r>
            <m:oMath>
              <m:r>
                <m:t>y</m:t>
              </m:r>
              <m:r>
                <m:rPr>
                  <m:sty m:val="p"/>
                </m:rPr>
                <m:t>=</m:t>
              </m:r>
              <m:sSub>
                <m:e>
                  <m:r>
                    <m:t>y</m:t>
                  </m:r>
                </m:e>
                <m:sub>
                  <m:r>
                    <m:t>i</m:t>
                  </m:r>
                </m:sub>
              </m:sSub>
            </m:oMath>
            <w:r>
              <w:t xml:space="preserve">:</w:t>
            </w:r>
          </w:p>
          <w:p>
            <w:pPr>
              <w:pStyle w:val="BodyText"/>
            </w:pPr>
            <m:oMathPara>
              <m:oMathParaPr>
                <m:jc m:val="center"/>
              </m:oMathParaPr>
              <m:oMath>
                <m:eqArr>
                  <m:e>
                    <m:sSub>
                      <m:e>
                        <m:r>
                          <m:rPr>
                            <m:scr m:val="script"/>
                            <m:sty m:val="p"/>
                          </m:rPr>
                          <m:t>L</m:t>
                        </m:r>
                      </m:e>
                      <m:sub>
                        <m:r>
                          <m:t>i</m:t>
                        </m:r>
                      </m:sub>
                    </m:sSub>
                    <m:r>
                      <m:rPr>
                        <m:sty m:val="p"/>
                      </m:rPr>
                      <m:t>(</m:t>
                    </m:r>
                    <m:r>
                      <m:t>λ</m:t>
                    </m:r>
                    <m:r>
                      <m:rPr>
                        <m:sty m:val="p"/>
                      </m:rPr>
                      <m:t>)</m:t>
                    </m:r>
                    <m:r>
                      <m:t>&amp;</m:t>
                    </m:r>
                    <m:r>
                      <m:rPr>
                        <m:sty m:val="p"/>
                      </m:rPr>
                      <m:t>=</m:t>
                    </m:r>
                    <m:r>
                      <m:rPr>
                        <m:sty m:val="p"/>
                      </m:rPr>
                      <m:t>p</m:t>
                    </m:r>
                    <m:r>
                      <m:rPr>
                        <m:sty m:val="p"/>
                      </m:rPr>
                      <m:t>(</m:t>
                    </m:r>
                    <m:r>
                      <m:t>Y</m:t>
                    </m:r>
                    <m:r>
                      <m:rPr>
                        <m:sty m:val="p"/>
                      </m:rPr>
                      <m:t>=</m:t>
                    </m:r>
                    <m:sSub>
                      <m:e>
                        <m:r>
                          <m:t>y</m:t>
                        </m:r>
                      </m:e>
                      <m:sub>
                        <m:r>
                          <m:t>i</m:t>
                        </m:r>
                      </m:sub>
                    </m:sSub>
                    <m:r>
                      <m:rPr>
                        <m:sty m:val="p"/>
                      </m:rPr>
                      <m:t>)</m:t>
                    </m:r>
                  </m:e>
                  <m:e>
                    <m:sSub>
                      <m:e>
                        <m:r>
                          <m:t>ℓ</m:t>
                        </m:r>
                      </m:e>
                      <m:sub>
                        <m:r>
                          <m:t>i</m:t>
                        </m:r>
                      </m:sub>
                    </m:sSub>
                    <m:r>
                      <m:rPr>
                        <m:sty m:val="p"/>
                      </m:rPr>
                      <m:t>(</m:t>
                    </m:r>
                    <m:r>
                      <m:t>λ</m:t>
                    </m:r>
                    <m:r>
                      <m:rPr>
                        <m:sty m:val="p"/>
                      </m:rPr>
                      <m:t>)</m:t>
                    </m:r>
                    <m:r>
                      <m:t>&amp;</m:t>
                    </m:r>
                    <m:r>
                      <m:rPr>
                        <m:sty m:val="p"/>
                      </m:rPr>
                      <m:t>=</m:t>
                    </m:r>
                    <m:r>
                      <m:rPr>
                        <m:sty m:val="p"/>
                      </m:rPr>
                      <m:t>log</m:t>
                    </m:r>
                    <m:r>
                      <m:t>​</m:t>
                    </m:r>
                    <m:d>
                      <m:dPr>
                        <m:begChr m:val="{"/>
                        <m:sepChr m:val=""/>
                        <m:endChr m:val="}"/>
                        <m:grow/>
                      </m:dPr>
                      <m:e>
                        <m:sSub>
                          <m:e>
                            <m:r>
                              <m:rPr>
                                <m:scr m:val="script"/>
                                <m:sty m:val="p"/>
                              </m:rPr>
                              <m:t>L</m:t>
                            </m:r>
                          </m:e>
                          <m:sub>
                            <m:r>
                              <m:t>i</m:t>
                            </m:r>
                          </m:sub>
                        </m:sSub>
                        <m:r>
                          <m:rPr>
                            <m:sty m:val="p"/>
                          </m:rPr>
                          <m:t>(</m:t>
                        </m:r>
                        <m:r>
                          <m:t>λ</m:t>
                        </m:r>
                        <m:r>
                          <m:rPr>
                            <m:sty m:val="p"/>
                          </m:rPr>
                          <m:t>)</m:t>
                        </m:r>
                      </m:e>
                    </m:d>
                    <m:r>
                      <m:t>​</m:t>
                    </m:r>
                  </m:e>
                </m:eqArr>
              </m:oMath>
            </m:oMathPara>
          </w:p>
          <w:p>
            <w:pPr>
              <w:pStyle w:val="FirstParagraph"/>
            </w:pP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is their product:</w:t>
            </w:r>
          </w:p>
          <w:p>
            <w:pPr>
              <w:pStyle w:val="BodyText"/>
            </w:pPr>
            <m:oMathPara>
              <m:oMathParaPr>
                <m:jc m:val="center"/>
              </m:oMathParaPr>
              <m:oMath>
                <m:r>
                  <m:rPr>
                    <m:scr m:val="script"/>
                    <m:sty m:val="p"/>
                  </m:rPr>
                  <m:t>L</m:t>
                </m:r>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oMath>
            </m:oMathPara>
          </w:p>
          <w:bookmarkEnd w:id="83"/>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4"/>
    <w:bookmarkStart w:id="85" w:name="finding-the-mle-numerically"/>
    <w:p>
      <w:pPr>
        <w:pStyle w:val="Heading2"/>
      </w:pPr>
      <w:r>
        <w:t xml:space="preserve">4.15 Finding the MLE numerically</w:t>
      </w:r>
    </w:p>
    <w:p>
      <w:pPr>
        <w:pStyle w:val="FirstParagraph"/>
      </w:pPr>
      <w:r>
        <w:t xml:space="preserve">Taking logs turns that product into a sum:</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λ</m:t>
              </m:r>
              <m:r>
                <m:rPr>
                  <m:sty m:val="p"/>
                </m:rPr>
                <m:t>)</m:t>
              </m:r>
            </m:e>
          </m:eqArr>
        </m:oMath>
      </m:oMathPara>
    </w:p>
    <w:p>
      <w:pPr>
        <w:pStyle w:val="FirstParagraph"/>
      </w:pPr>
      <w:r>
        <w:t xml:space="preserve">Each</w:t>
      </w:r>
      <w:r>
        <w:t xml:space="preserve"> </w:t>
      </w:r>
      <m:oMath>
        <m:sSub>
          <m:e>
            <m:r>
              <m:t>ℓ</m:t>
            </m:r>
          </m:e>
          <m:sub>
            <m:r>
              <m:t>i</m:t>
            </m:r>
          </m:sub>
        </m:sSub>
      </m:oMath>
      <w:r>
        <w:t xml:space="preserve"> </w:t>
      </w:r>
      <w:r>
        <w:t xml:space="preserve">is the log of an integral (</w:t>
      </w:r>
      <w:hyperlink w:anchor="prp-marginal-likelihood">
        <w:r>
          <w:rPr>
            <w:rStyle w:val="Hyperlink"/>
          </w:rPr>
          <w:t xml:space="preserve">Proposition 3</w:t>
        </w:r>
      </w:hyperlink>
      <w:r>
        <w:t xml:space="preserve">),</w:t>
      </w:r>
      <w:r>
        <w:t xml:space="preserve"> </w:t>
      </w:r>
      <w:r>
        <w:t xml:space="preserve">so the derivative of this sum doesn’t come out cleanly,</w:t>
      </w:r>
      <w:r>
        <w:t xml:space="preserve"> </w:t>
      </w:r>
      <w:r>
        <w:t xml:space="preserve">and we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6</w:t>
        </w:r>
      </w:hyperlink>
      <w:r>
        <w:t xml:space="preserve">) at the maximum, and</w:t>
      </w:r>
      <w:r>
        <w:t xml:space="preserve"> </w:t>
      </w:r>
      <w:hyperlink w:anchor="thm-mle-asymptotic-variance">
        <w:r>
          <w:rPr>
            <w:rStyle w:val="Hyperlink"/>
          </w:rPr>
          <w:t xml:space="preserve">Theorem 1</w:t>
        </w:r>
      </w:hyperlink>
      <w:r>
        <w:t xml:space="preserve"> </w:t>
      </w:r>
      <w:r>
        <w:t xml:space="preserve">turns that Hessian into a standard error.</w:t>
      </w:r>
    </w:p>
    <w:bookmarkEnd w:id="85"/>
    <w:bookmarkStart w:id="91" w:name="sec-cluster-robust"/>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6"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6"/>
    <w:bookmarkStart w:id="88"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7" w:name="def-cluster-robust-variance"/>
          <w:p>
            <w:pPr>
              <w:pStyle w:val="BodyText"/>
            </w:pPr>
            <w:r>
              <w:rPr>
                <w:b/>
                <w:bCs/>
              </w:rPr>
              <w:t xml:space="preserve">Definition 8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and 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6</w:t>
              </w:r>
            </w:hyperlink>
            <w:r>
              <w:t xml:space="preserve">) at the</w:t>
            </w:r>
            <w:r>
              <w:t xml:space="preserve"> </w:t>
            </w:r>
            <w:r>
              <w:t xml:space="preserve">MLE.</w:t>
            </w:r>
            <w:r>
              <w:t xml:space="preserve"> </w:t>
            </w:r>
            <w:r>
              <w:t xml:space="preserve">Write</w:t>
            </w:r>
            <w:r>
              <w:t xml:space="preserve"> </w:t>
            </w:r>
            <m:oMath>
              <m:sSub>
                <m:e>
                  <m:r>
                    <m:t>U</m:t>
                  </m:r>
                </m:e>
                <m:sub>
                  <m:r>
                    <m:t>i</m:t>
                  </m:r>
                </m:sub>
              </m:sSub>
            </m:oMath>
            <w:r>
              <w:t xml:space="preserve"> </w:t>
            </w:r>
            <w:r>
              <w:t xml:space="preserve">for observation</w:t>
            </w:r>
            <w:r>
              <w:t xml:space="preserve"> </w:t>
            </w:r>
            <m:oMath>
              <m:r>
                <m:t>i</m:t>
              </m:r>
            </m:oMath>
            <w:r>
              <w:t xml:space="preserve">’s score contribution (</w:t>
            </w:r>
            <w:hyperlink w:anchor="def-score">
              <w:r>
                <w:rPr>
                  <w:rStyle w:val="Hyperlink"/>
                </w:rPr>
                <w:t xml:space="preserve">Definition 5</w:t>
              </w:r>
            </w:hyperlink>
            <w:r>
              <w:t xml:space="preserve">) — the</w:t>
            </w:r>
            <w:r>
              <w:t xml:space="preserve"> </w:t>
            </w:r>
            <w:r>
              <w:t xml:space="preserve">gradient of its own log-likelihood</w:t>
            </w:r>
            <w:r>
              <w:t xml:space="preserve"> </w:t>
            </w:r>
            <m:oMath>
              <m:sSub>
                <m:e>
                  <m:r>
                    <m:t>ℓ</m:t>
                  </m:r>
                </m:e>
                <m:sub>
                  <m:r>
                    <m:t>i</m:t>
                  </m:r>
                </m:sub>
              </m:sSub>
            </m:oMath>
            <w:r>
              <w:t xml:space="preserve"> </w:t>
            </w:r>
            <w:r>
              <w:t xml:space="preserve">(</w:t>
            </w:r>
            <w:hyperlink w:anchor="prp-full-sample-likelihood">
              <w:r>
                <w:rPr>
                  <w:rStyle w:val="Hyperlink"/>
                </w:rPr>
                <w:t xml:space="preserve">Proposition 4</w:t>
              </w:r>
            </w:hyperlink>
            <w:r>
              <w:t xml:space="preserve">)</w:t>
            </w:r>
            <w:r>
              <w:t xml:space="preserve"> </w:t>
            </w:r>
            <w:r>
              <w:t xml:space="preserve">— and</w:t>
            </w:r>
            <w:r>
              <w:t xml:space="preserve"> </w:t>
            </w:r>
            <m:oMath>
              <m:sSub>
                <m:e>
                  <m:r>
                    <m:t>U</m:t>
                  </m:r>
                </m:e>
                <m:sub>
                  <m:r>
                    <m:t>c</m:t>
                  </m:r>
                </m:sub>
              </m:sSub>
            </m:oMath>
            <w:r>
              <w:t xml:space="preserve"> </w:t>
            </w:r>
            <w:r>
              <w:t xml:space="preserve">for the total over the observations in cluster</w:t>
            </w:r>
            <w:r>
              <w:t xml:space="preserve"> </w:t>
            </w:r>
            <m:oMath>
              <m:r>
                <m:t>c</m:t>
              </m:r>
            </m:oMath>
            <w:r>
              <w:t xml:space="preserve">:</w:t>
            </w:r>
          </w:p>
          <w:p>
            <w:pPr>
              <w:pStyle w:val="BodyText"/>
            </w:pPr>
            <m:oMathPara>
              <m:oMathParaPr>
                <m:jc m:val="center"/>
              </m:oMathParaPr>
              <m:oMath>
                <m:eqArr>
                  <m:e>
                    <m:sSub>
                      <m:e>
                        <m:r>
                          <m:t>U</m:t>
                        </m:r>
                      </m:e>
                      <m:sub>
                        <m:r>
                          <m:t>i</m:t>
                        </m:r>
                      </m:sub>
                    </m:sSub>
                    <m:r>
                      <m:t>&amp;</m:t>
                    </m:r>
                    <m:r>
                      <m:rPr>
                        <m:sty m:val="p"/>
                      </m:rPr>
                      <m:t>=</m:t>
                    </m:r>
                    <m:sSub>
                      <m:e>
                        <m:r>
                          <m:rPr>
                            <m:sty m:val="p"/>
                          </m:rPr>
                          <m:t>∇</m:t>
                        </m:r>
                      </m:e>
                      <m:sub>
                        <m:r>
                          <m:t>λ</m:t>
                        </m:r>
                      </m:sub>
                    </m:sSub>
                    <m:sSub>
                      <m:e>
                        <m:r>
                          <m:t>ℓ</m:t>
                        </m:r>
                      </m:e>
                      <m:sub>
                        <m:r>
                          <m:t>i</m:t>
                        </m:r>
                      </m:sub>
                    </m:sSub>
                    <m:r>
                      <m:rPr>
                        <m:sty m:val="p"/>
                      </m:rPr>
                      <m:t>(</m:t>
                    </m:r>
                    <m:r>
                      <m:t>λ</m:t>
                    </m:r>
                    <m:r>
                      <m:rPr>
                        <m:sty m:val="p"/>
                      </m:rPr>
                      <m:t>)</m:t>
                    </m:r>
                  </m:e>
                  <m:e>
                    <m:sSub>
                      <m:e>
                        <m:r>
                          <m:t>U</m:t>
                        </m:r>
                      </m:e>
                      <m:sub>
                        <m:r>
                          <m:t>c</m:t>
                        </m:r>
                      </m:sub>
                    </m:sSub>
                    <m:r>
                      <m:t>&amp;</m:t>
                    </m:r>
                    <m:r>
                      <m:rPr>
                        <m:sty m:val="p"/>
                      </m:rPr>
                      <m:t>=</m:t>
                    </m:r>
                    <m:nary>
                      <m:naryPr>
                        <m:chr m:val="∑"/>
                        <m:limLoc m:val="undOvr"/>
                        <m:subHide m:val="off"/>
                        <m:supHide m:val="on"/>
                      </m:naryPr>
                      <m:sub>
                        <m:r>
                          <m:t>i</m:t>
                        </m:r>
                        <m:r>
                          <m:rPr>
                            <m:sty m:val="p"/>
                          </m:rPr>
                          <m:t>∈</m:t>
                        </m:r>
                        <m:r>
                          <m:t>c</m:t>
                        </m:r>
                      </m:sub>
                      <m:sup>
                        <m:r>
                          <m:t>​</m:t>
                        </m:r>
                      </m:sup>
                      <m:e>
                        <m:sSub>
                          <m:e>
                            <m:r>
                              <m:t>U</m:t>
                            </m:r>
                          </m:e>
                          <m:sub>
                            <m:r>
                              <m:t>i</m:t>
                            </m:r>
                          </m:sub>
                        </m:sSub>
                      </m:e>
                    </m:nary>
                  </m:e>
                </m:eqArr>
              </m:oMath>
            </m:oMathPara>
          </w:p>
          <w:p>
            <w:pPr>
              <w:pStyle w:val="FirstParagraph"/>
            </w:pPr>
            <w:r>
              <w:t xml:space="preserve">where</w:t>
            </w:r>
            <w:r>
              <w:t xml:space="preserve"> </w:t>
            </w:r>
            <m:oMath>
              <m:sSub>
                <m:e>
                  <m:r>
                    <m:rPr>
                      <m:sty m:val="p"/>
                    </m:rPr>
                    <m:t>∇</m:t>
                  </m:r>
                </m:e>
                <m:sub>
                  <m:r>
                    <m:t>λ</m:t>
                  </m:r>
                </m:sub>
              </m:sSub>
            </m:oMath>
            <w:r>
              <w:t xml:space="preserve"> </w:t>
            </w:r>
            <w:r>
              <w:t xml:space="preserve">denotes the gradient with respect to</w:t>
            </w:r>
            <w:r>
              <w:t xml:space="preserve"> </w:t>
            </w:r>
            <m:oMath>
              <m:r>
                <m:t>λ</m:t>
              </m:r>
            </m:oMath>
            <w:r>
              <w:t xml:space="preserve">.</w:t>
            </w:r>
            <w:r>
              <w:t xml:space="preserve"> </w:t>
            </w:r>
            <w:r>
              <w:t xml:space="preserve">These are gradients of the same</w:t>
            </w:r>
            <w:r>
              <w:t xml:space="preserve"> </w:t>
            </w:r>
            <m:oMath>
              <m:sSub>
                <m:e>
                  <m:r>
                    <m:t>ℓ</m:t>
                  </m:r>
                </m:e>
                <m:sub>
                  <m:r>
                    <m:t>i</m:t>
                  </m:r>
                </m:sub>
              </m:sSub>
            </m:oMath>
            <w:r>
              <w:t xml:space="preserve"> </w:t>
            </w:r>
            <w:r>
              <w:t xml:space="preserve">that</w:t>
            </w:r>
            <w:r>
              <w:t xml:space="preserve"> </w:t>
            </w:r>
            <w:hyperlink w:anchor="prp-full-sample-likelihood">
              <w:r>
                <w:rPr>
                  <w:rStyle w:val="Hyperlink"/>
                </w:rPr>
                <w:t xml:space="preserve">Proposition 4</w:t>
              </w:r>
            </w:hyperlink>
            <w:r>
              <w:t xml:space="preserve"> </w:t>
            </w:r>
            <w:r>
              <w:t xml:space="preserve">defines: the full-sample log-likelihood</w:t>
            </w:r>
            <w:r>
              <w:t xml:space="preserve"> </w:t>
            </w:r>
            <w:r>
              <w:t xml:space="preserve">sums</w:t>
            </w:r>
            <w:r>
              <w:t xml:space="preserve"> </w:t>
            </w:r>
            <m:oMath>
              <m:sSub>
                <m:e>
                  <m:r>
                    <m:t>ℓ</m:t>
                  </m:r>
                </m:e>
                <m:sub>
                  <m:r>
                    <m:t>i</m:t>
                  </m:r>
                </m:sub>
              </m:sSub>
            </m:oMath>
            <w:r>
              <w:t xml:space="preserve"> </w:t>
            </w:r>
            <w:r>
              <w:t xml:space="preserve">over every observation, and the sandwich accumulates</w:t>
            </w:r>
            <w:r>
              <w:t xml:space="preserve"> </w:t>
            </w:r>
            <w:r>
              <w:t xml:space="preserve">their gradients cluster by cluster.</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7"/>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7</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8"/>
    <w:bookmarkStart w:id="89" w:name="implementation-in-serocalculator"/>
    <w:p>
      <w:pPr>
        <w:pStyle w:val="Heading3"/>
      </w:pPr>
      <w:r>
        <w:t xml:space="preserve">4.16.3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89"/>
    <w:bookmarkStart w:id="90" w:name="effect-on-results"/>
    <w:p>
      <w:pPr>
        <w:pStyle w:val="Heading3"/>
      </w:pPr>
      <w:r>
        <w:t xml:space="preserve">4.16.4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90"/>
    <w:bookmarkEnd w:id="91"/>
    <w:bookmarkEnd w:id="92"/>
    <w:bookmarkStart w:id="129"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93"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93"/>
    <w:bookmarkStart w:id="94"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94"/>
    <w:bookmarkStart w:id="95"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95"/>
    <w:bookmarkStart w:id="96"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96"/>
    <w:bookmarkStart w:id="105"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00" w:name="fig-response-graph"/>
          <w:p>
            <w:pPr>
              <w:pStyle w:val="Compact"/>
              <w:jc w:val="center"/>
            </w:pPr>
            <w:r>
              <w:drawing>
                <wp:inline>
                  <wp:extent cx="4620126" cy="3696101"/>
                  <wp:effectExtent b="0" l="0" r="0" t="0"/>
                  <wp:docPr descr="" title="" id="98" name="Picture"/>
                  <a:graphic>
                    <a:graphicData uri="http://schemas.openxmlformats.org/drawingml/2006/picture">
                      <pic:pic>
                        <pic:nvPicPr>
                          <pic:cNvPr descr="methodology_files/figure-docx/fig-response-graph-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100"/>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101">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03" name="Picture"/>
            <a:graphic>
              <a:graphicData uri="http://schemas.openxmlformats.org/drawingml/2006/picture">
                <pic:pic>
                  <pic:nvPicPr>
                    <pic:cNvPr descr="../man/figures/qr_akm2.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05"/>
    <w:bookmarkStart w:id="106"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06"/>
    <w:bookmarkStart w:id="107"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07"/>
    <w:bookmarkStart w:id="108"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08"/>
    <w:bookmarkStart w:id="109"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09"/>
    <w:bookmarkStart w:id="114"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13" w:name="fig-curve-posterior"/>
          <w:p>
            <w:pPr>
              <w:pStyle w:val="Compact"/>
              <w:jc w:val="center"/>
            </w:pPr>
            <w:r>
              <w:drawing>
                <wp:inline>
                  <wp:extent cx="4620126" cy="3696101"/>
                  <wp:effectExtent b="0" l="0" r="0" t="0"/>
                  <wp:docPr descr="" title="" id="111" name="Picture"/>
                  <a:graphic>
                    <a:graphicData uri="http://schemas.openxmlformats.org/drawingml/2006/picture">
                      <pic:pic>
                        <pic:nvPicPr>
                          <pic:cNvPr descr="methodology_files/figure-docx/fig-curve-posterior-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13"/>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14"/>
    <w:bookmarkStart w:id="120" w:name="sec-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model treats biomarkers as</w:t>
      </w:r>
      <w:r>
        <w:t xml:space="preserve"> </w:t>
      </w:r>
      <w:r>
        <w:rPr>
          <w:b/>
          <w:bCs/>
        </w:rPr>
        <w:t xml:space="preserve">conditionally independent given the time since infection</w:t>
      </w:r>
      <w:r>
        <w:t xml:space="preserve">, so their response densities multiply</w:t>
      </w:r>
      <w:r>
        <w:t xml:space="preserve"> </w:t>
      </w:r>
      <w:r>
        <w:rPr>
          <w:i/>
          <w:iCs/>
        </w:rPr>
        <w:t xml:space="preserve">inside</w:t>
      </w:r>
      <w:r>
        <w:t xml:space="preserve"> </w:t>
      </w:r>
      <w:r>
        <w:t xml:space="preserve">each 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 likelihoods: the shared latent infection time</w:t>
      </w:r>
      <w:r>
        <w:t xml:space="preserve"> </w:t>
      </w:r>
      <m:oMath>
        <m:r>
          <m:t>t</m:t>
        </m:r>
      </m:oMath>
      <w:r>
        <w:t xml:space="preserve"> </w:t>
      </w:r>
      <w:r>
        <w:t xml:space="preserve">couples them.</w:t>
      </w:r>
    </w:p>
    <w:p>
      <w:pPr>
        <w:pStyle w:val="BodyText"/>
      </w:pPr>
      <w:r>
        <w:rPr>
          <w:rStyle w:val="VerbatimChar"/>
        </w:rPr>
        <w:t xml:space="preserve">serocalculator</w:t>
      </w:r>
      <w:r>
        <w:t xml:space="preserve"> </w:t>
      </w:r>
      <w:r>
        <w:t xml:space="preserve">offers two ways of combining biomarkers, selected by the</w:t>
      </w:r>
      <w:r>
        <w:t xml:space="preserve"> </w:t>
      </w:r>
      <w:r>
        <w:rPr>
          <w:rStyle w:val="VerbatimChar"/>
        </w:rPr>
        <w:t xml:space="preserve">method</w:t>
      </w:r>
      <w:r>
        <w:t xml:space="preserve"> </w:t>
      </w:r>
      <w:r>
        <w:t xml:space="preserve">argument of</w:t>
      </w:r>
      <w:r>
        <w:t xml:space="preserve"> </w:t>
      </w:r>
      <w:r>
        <w:rPr>
          <w:rStyle w:val="VerbatimChar"/>
        </w:rPr>
        <w:t xml:space="preserve">log_likelihood()</w:t>
      </w:r>
      <w:r>
        <w:t xml:space="preserve">,</w:t>
      </w:r>
      <w:r>
        <w:t xml:space="preserve"> </w:t>
      </w:r>
      <w:r>
        <w:rPr>
          <w:rStyle w:val="VerbatimChar"/>
        </w:rPr>
        <w:t xml:space="preserve">est_seroincidence()</w:t>
      </w:r>
      <w:r>
        <w:t xml:space="preserve"> </w:t>
      </w:r>
      <w:r>
        <w:t xml:space="preserve">and</w:t>
      </w:r>
      <w:r>
        <w:t xml:space="preserve"> </w:t>
      </w:r>
      <w:r>
        <w:rPr>
          <w:rStyle w:val="VerbatimChar"/>
        </w:rPr>
        <w:t xml:space="preserve">est_seroincidence_by()</w:t>
      </w:r>
      <w:r>
        <w:t xml:space="preserve">:</w:t>
      </w:r>
    </w:p>
    <w:p>
      <w:pPr>
        <w:pStyle w:val="Compact"/>
        <w:numPr>
          <w:ilvl w:val="0"/>
          <w:numId w:val="1031"/>
        </w:numPr>
      </w:pPr>
      <w:r>
        <w:rPr>
          <w:rStyle w:val="VerbatimChar"/>
        </w:rPr>
        <w:t xml:space="preserve">method = "composite"</w:t>
      </w:r>
      <w:r>
        <w:t xml:space="preserve"> </w:t>
      </w:r>
      <w:r>
        <w:t xml:space="preserve">(the default) evaluates the likelihood of each biomarker separately and</w:t>
      </w:r>
      <w:r>
        <w:t xml:space="preserve"> </w:t>
      </w:r>
      <w:r>
        <w:rPr>
          <w:b/>
          <w:bCs/>
        </w:rPr>
        <w:t xml:space="preserve">sums the log-likelihoods</w:t>
      </w:r>
      <w:r>
        <w:t xml:space="preserve">.</w:t>
      </w:r>
      <w:r>
        <w:t xml:space="preserve"> </w:t>
      </w:r>
      <w:r>
        <w:t xml:space="preserve">That is the product of the marginals, which treats the biomarkers as independent</w:t>
      </w:r>
      <w:r>
        <w:t xml:space="preserve"> </w:t>
      </w:r>
      <w:r>
        <w:rPr>
          <w:i/>
          <w:iCs/>
        </w:rPr>
        <w:t xml:space="preserve">unconditionally</w:t>
      </w:r>
      <w:r>
        <w:t xml:space="preserve">, each with its own latent infection time.</w:t>
      </w:r>
      <w:r>
        <w:t xml:space="preserve"> </w:t>
      </w:r>
      <w:r>
        <w:t xml:space="preserve">In the composite-likelihood literature this is an</w:t>
      </w:r>
      <w:r>
        <w:t xml:space="preserve"> </w:t>
      </w:r>
      <w:r>
        <w:rPr>
          <w:i/>
          <w:iCs/>
        </w:rPr>
        <w:t xml:space="preserve">independence likelihood</w:t>
      </w:r>
      <w:r>
        <w:t xml:space="preserve"> </w:t>
      </w:r>
      <w:r>
        <w:t xml:space="preserve">(Varin et al. 2011)</w:t>
      </w:r>
      <w:r>
        <w:t xml:space="preserve">: its point estimate is consistent, but its naive standard error assumes the biomarker readings are independent.</w:t>
      </w:r>
    </w:p>
    <w:p>
      <w:pPr>
        <w:pStyle w:val="Compact"/>
        <w:numPr>
          <w:ilvl w:val="0"/>
          <w:numId w:val="1031"/>
        </w:numPr>
      </w:pPr>
      <w:r>
        <w:rPr>
          <w:rStyle w:val="VerbatimChar"/>
        </w:rPr>
        <w:t xml:space="preserve">method = "joint"</w:t>
      </w:r>
      <w:r>
        <w:t xml:space="preserve"> </w:t>
      </w:r>
      <w:r>
        <w:t xml:space="preserve">evaluates the formula above: one integral per person over a</w:t>
      </w:r>
      <w:r>
        <w:t xml:space="preserve"> </w:t>
      </w:r>
      <w:r>
        <w:rPr>
          <w:b/>
          <w:bCs/>
        </w:rPr>
        <w:t xml:space="preserve">shared</w:t>
      </w:r>
      <w:r>
        <w:t xml:space="preserve"> </w:t>
      </w:r>
      <m:oMath>
        <m:r>
          <m:t>t</m:t>
        </m:r>
      </m:oMath>
      <w:r>
        <w:t xml:space="preserve">, with the per-biomarker densities multiplied inside it.</w:t>
      </w:r>
      <w:r>
        <w:t xml:space="preserve"> </w:t>
      </w:r>
      <w:r>
        <w:t xml:space="preserve">This needs the data to identify people (</w:t>
      </w:r>
      <w:r>
        <w:rPr>
          <w:rStyle w:val="VerbatimChar"/>
        </w:rPr>
        <w:t xml:space="preserve">ids_varname()</w:t>
      </w:r>
      <w:r>
        <w:t xml:space="preserve">), so that each person’s readings can be paired, and it pairs the posterior draws of the curve parameters across biomarkers too, so that a person’s biomarkers are evaluated under one coherent draw.</w:t>
      </w:r>
    </w:p>
    <w:p>
      <w:pPr>
        <w:pStyle w:val="FirstParagraph"/>
      </w:pPr>
      <w:r>
        <w:rPr>
          <w:rStyle w:val="VerbatimChar"/>
        </w:rPr>
        <w:t xml:space="preserve">log_likelihood()</w:t>
      </w:r>
      <w:r>
        <w:t xml:space="preserve"> </w:t>
      </w:r>
      <w:r>
        <w:t xml:space="preserve">evaluates the log-likelihood at a given</w:t>
      </w:r>
      <w:r>
        <w:t xml:space="preserve"> </w:t>
      </w:r>
      <m:oMath>
        <m:r>
          <m:t>λ</m:t>
        </m:r>
      </m:oMath>
      <w:r>
        <w:t xml:space="preserve">, which lets us see the difference numerically.</w:t>
      </w:r>
      <w:r>
        <w:t xml:space="preserve"> </w:t>
      </w:r>
      <w:r>
        <w:t xml:space="preserve">First, the default:</w:t>
      </w:r>
    </w:p>
    <w:p>
      <w:pPr>
        <w:pStyle w:val="SourceCode"/>
      </w:pPr>
      <w:r>
        <w:rPr>
          <w:rStyle w:val="VerbatimChar"/>
        </w:rPr>
        <w:t xml:space="preserve">      IgA       IgG       sum composite </w:t>
      </w:r>
      <w:r>
        <w:br/>
      </w:r>
      <w:r>
        <w:rPr>
          <w:rStyle w:val="VerbatimChar"/>
        </w:rPr>
        <w:t xml:space="preserve">-1186.318 -1201.146 -2387.464 -2387.464 </w:t>
      </w:r>
    </w:p>
    <w:p>
      <w:pPr>
        <w:pStyle w:val="FirstParagraph"/>
      </w:pPr>
      <w:r>
        <w:t xml:space="preserve">The two-biomarker value is</w:t>
      </w:r>
      <w:r>
        <w:t xml:space="preserve"> </w:t>
      </w:r>
      <w:r>
        <w:rPr>
          <w:b/>
          <w:bCs/>
        </w:rPr>
        <w:t xml:space="preserve">exactly</w:t>
      </w:r>
      <w:r>
        <w:t xml:space="preserve"> </w:t>
      </w:r>
      <w:r>
        <w:t xml:space="preserve">the sum of the separate ones, as summing log-likelihoods must give.</w:t>
      </w:r>
      <w:r>
        <w:t xml:space="preserve"> </w:t>
      </w:r>
      <w:r>
        <w:t xml:space="preserve">Under the shared-latent-time model it is not:</w:t>
      </w:r>
    </w:p>
    <w:p>
      <w:pPr>
        <w:pStyle w:val="SourceCode"/>
      </w:pPr>
      <w:r>
        <w:rPr>
          <w:rStyle w:val="VerbatimChar"/>
        </w:rPr>
        <w:t xml:space="preserve">      sum     joint </w:t>
      </w:r>
      <w:r>
        <w:br/>
      </w:r>
      <w:r>
        <w:rPr>
          <w:rStyle w:val="VerbatimChar"/>
        </w:rPr>
        <w:t xml:space="preserve">-2387.464 -2249.881 </w:t>
      </w:r>
    </w:p>
    <w:p>
      <w:pPr>
        <w:pStyle w:val="FirstParagraph"/>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 biomarker, and adds the results;</w:t>
      </w:r>
      <w:r>
        <w:t xml:space="preserve"> </w:t>
      </w:r>
      <w:r>
        <w:rPr>
          <w:rStyle w:val="VerbatimChar"/>
        </w:rPr>
        <w:t xml:space="preserve">method = "joint"</w:t>
      </w:r>
      <w:r>
        <w:t xml:space="preserve"> </w:t>
      </w:r>
      <w:r>
        <w:t xml:space="preserve">instead hands all of a person’s readings to</w:t>
      </w:r>
      <w:r>
        <w:t xml:space="preserve"> </w:t>
      </w:r>
      <w:r>
        <w:rPr>
          <w:rStyle w:val="VerbatimChar"/>
        </w:rPr>
        <w:t xml:space="preserve">f_dev_joint()</w:t>
      </w:r>
      <w:r>
        <w:t xml:space="preserve">, which integrates once over</w:t>
      </w:r>
      <w:r>
        <w:t xml:space="preserve"> </w:t>
      </w:r>
      <m:oMath>
        <m:r>
          <m:t>t</m:t>
        </m:r>
      </m:oMath>
      <w:r>
        <w:t xml:space="preserve"> </w:t>
      </w:r>
      <w:r>
        <w:t xml:space="preserve">in C (</w:t>
      </w:r>
      <w:r>
        <w:rPr>
          <w:rStyle w:val="VerbatimChar"/>
        </w:rPr>
        <w:t xml:space="preserve">src/serocalc_joint.c</w:t>
      </w:r>
      <w:r>
        <w:t xml:space="preserve">).</w:t>
      </w:r>
      <w:r>
        <w:t xml:space="preserve"> </w:t>
      </w:r>
      <w:r>
        <w:t xml:space="preserve">With a single biomarker the two agree, up to numerical integration.</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 independence</w:t>
      </w:r>
      <w:r>
        <w:t xml:space="preserve"> </w:t>
      </w:r>
      <w:r>
        <w:rPr>
          <w:i/>
          <w:iCs/>
        </w:rPr>
        <w:t xml:space="preserve">given</w:t>
      </w:r>
      <w:r>
        <w:t xml:space="preserve"> </w:t>
      </w:r>
      <m:oMath>
        <m:r>
          <m:t>t</m:t>
        </m:r>
      </m:oMath>
      <w:r>
        <w:t xml:space="preserve">;</w:t>
      </w:r>
      <w:r>
        <w:t xml:space="preserve"> </w:t>
      </w:r>
      <w:r>
        <w:rPr>
          <w:rStyle w:val="VerbatimChar"/>
        </w:rPr>
        <w:t xml:space="preserve">method = "joint"</w:t>
      </w:r>
      <w:r>
        <w:t xml:space="preserve"> </w:t>
      </w:r>
      <w:r>
        <w:t xml:space="preserve">is the model that work generalizes, and</w:t>
      </w:r>
      <w:r>
        <w:t xml:space="preserve"> </w:t>
      </w:r>
      <w:r>
        <w:rPr>
          <w:rStyle w:val="VerbatimChar"/>
        </w:rPr>
        <w:t xml:space="preserve">method = "composite"</w:t>
      </w:r>
      <w:r>
        <w:t xml:space="preserve"> </w:t>
      </w:r>
      <w:r>
        <w:t xml:space="preserve">is a different, stronger, independence assumption.)</w:t>
      </w:r>
    </w:p>
    <w:p>
      <w:pPr>
        <w:pStyle w:val="BodyText"/>
      </w:pPr>
      <w:r>
        <w:t xml:space="preserve">The two likelihoods call for different standard errors.</w:t>
      </w:r>
      <w:r>
        <w:t xml:space="preserve"> </w:t>
      </w:r>
      <w:r>
        <w:t xml:space="preserve">The joint likelihood is a genuine likelihood, so the Hessian-based standard error of</w:t>
      </w:r>
      <w:r>
        <w:t xml:space="preserve"> </w:t>
      </w:r>
      <w:hyperlink w:anchor="sec-standard-errors">
        <w:r>
          <w:rPr>
            <w:rStyle w:val="Hyperlink"/>
          </w:rPr>
          <w:t xml:space="preserve">Section 4.9</w:t>
        </w:r>
      </w:hyperlink>
      <w:r>
        <w:t xml:space="preserve"> </w:t>
      </w:r>
      <w:r>
        <w:t xml:space="preserve">applies to it directly.</w:t>
      </w:r>
      <w:r>
        <w:t xml:space="preserve"> </w:t>
      </w:r>
      <w:r>
        <w:t xml:space="preserve">The composite likelihood’s Hessian understates the variance whenever one person’s biomarker readings are correlated (they respond to the same infection), and the fix is the cluster-robust estimator of</w:t>
      </w:r>
      <w:r>
        <w:t xml:space="preserve"> </w:t>
      </w:r>
      <w:hyperlink w:anchor="sec-cluster-robust">
        <w:r>
          <w:rPr>
            <w:rStyle w:val="Hyperlink"/>
          </w:rPr>
          <w:t xml:space="preserve">Section 4.16</w:t>
        </w:r>
      </w:hyperlink>
      <w:r>
        <w:t xml:space="preserve"> </w:t>
      </w:r>
      <w:r>
        <w:t xml:space="preserve">with the</w:t>
      </w:r>
      <w:r>
        <w:t xml:space="preserve"> </w:t>
      </w:r>
      <w:r>
        <w:rPr>
          <w:i/>
          <w:iCs/>
        </w:rPr>
        <w:t xml:space="preserve">person</w:t>
      </w:r>
      <w:r>
        <w:t xml:space="preserve"> </w:t>
      </w:r>
      <w:r>
        <w:t xml:space="preserve">as the cluster,</w:t>
      </w:r>
      <w:r>
        <w:t xml:space="preserve"> </w:t>
      </w:r>
      <w:r>
        <w:rPr>
          <w:rStyle w:val="VerbatimChar"/>
        </w:rPr>
        <w:t xml:space="preserve">cluster_var = ids_varname(pop_data)</w:t>
      </w:r>
      <w:r>
        <w:t xml:space="preserve">.</w:t>
      </w:r>
      <w:r>
        <w:t xml:space="preserve"> </w:t>
      </w:r>
      <w:r>
        <w:t xml:space="preserve">On the Pakistan data, the two agree closely once the composite standard error is corrected:</w:t>
      </w:r>
    </w:p>
    <w:tbl>
      <w:tblPr>
        <w:tblStyle w:val="Table"/>
        <w:tblW w:type="pct" w:w="5000"/>
        <w:tblLayout w:type="fixed"/>
        <w:tblLook w:firstRow="0" w:lastRow="0" w:firstColumn="0" w:lastColumn="0" w:noHBand="0" w:noVBand="0" w:val="0000"/>
      </w:tblPr>
      <w:tblGrid>
        <w:gridCol w:w="7920"/>
      </w:tblGrid>
      <w:tr>
        <w:tc>
          <w:tcPr/>
          <w:bookmarkStart w:id="115" w:name="tbl-joint-vs-composite-sees"/>
          <w:p>
            <w:pPr>
              <w:jc w:val="center"/>
            </w:pPr>
            <w:pPr>
              <w:jc w:val="left"/>
              <w:spacing w:before="200"/>
              <w:pStyle w:val="ImageCaption"/>
            </w:pPr>
            <w:r>
              <w:t xml:space="preserve">Table 1: Incidence estimates for the Pakistan SEES data, combining HlyE IgA and IgG under the composite likelihood (with the naive and the person-clustered standard error) and under the joint likelihood.</w:t>
            </w:r>
          </w:p>
          <w:p>
            <w:pPr>
              <w:pStyle w:val="SourceCode"/>
              <w:jc w:val="center"/>
            </w:pPr>
            <w:r>
              <w:rPr>
                <w:rStyle w:val="VerbatimChar"/>
              </w:rPr>
              <w:t xml:space="preserve">Warning: 2 of 494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SourceCode"/>
              <w:jc w:val="center"/>
            </w:pPr>
            <w:r>
              <w:rPr>
                <w:rStyle w:val="VerbatimChar"/>
              </w:rPr>
              <w:t xml:space="preserve"># A tibble: 3 × 6</w:t>
            </w:r>
            <w:r>
              <w:br/>
            </w:r>
            <w:r>
              <w:rPr>
                <w:rStyle w:val="VerbatimChar"/>
              </w:rPr>
              <w:t xml:space="preserve">  estimator                      incidence.rate      SE CI.lwr CI.upr log.lik</w:t>
            </w:r>
            <w:r>
              <w:br/>
            </w:r>
            <w:r>
              <w:rPr>
                <w:rStyle w:val="VerbatimChar"/>
              </w:rPr>
              <w:t xml:space="preserve">  &lt;chr&gt;                                   &lt;dbl&gt;   &lt;dbl&gt;  &lt;dbl&gt;  &lt;dbl&gt;   &lt;dbl&gt;</w:t>
            </w:r>
            <w:r>
              <w:br/>
            </w:r>
            <w:r>
              <w:rPr>
                <w:rStyle w:val="VerbatimChar"/>
              </w:rPr>
              <w:t xml:space="preserve">1 composite, naive SE                     0.136 0.00695  0.123  0.150  -2371.</w:t>
            </w:r>
            <w:r>
              <w:br/>
            </w:r>
            <w:r>
              <w:rPr>
                <w:rStyle w:val="VerbatimChar"/>
              </w:rPr>
              <w:t xml:space="preserve">2 composite, person-clustered SE          0.136 0.00804  0.121  0.152  -2371.</w:t>
            </w:r>
            <w:r>
              <w:br/>
            </w:r>
            <w:r>
              <w:rPr>
                <w:rStyle w:val="VerbatimChar"/>
              </w:rPr>
              <w:t xml:space="preserve">3 joint                                   0.140 0.00857  0.125  0.158  -2236.</w:t>
            </w:r>
          </w:p>
          <w:bookmarkEnd w:id="115"/>
        </w:tc>
      </w:tr>
    </w:tbl>
    <w:p>
      <w:pPr>
        <w:pStyle w:val="FirstParagraph"/>
      </w:pPr>
      <w:r>
        <w:t xml:space="preserve">The joint estimate is a little higher and its log-likelihood is much higher, but the latter is not a like-for-like comparison: the two methods evaluate different functions of the data.</w:t>
      </w:r>
      <w:r>
        <w:t xml:space="preserve"> </w:t>
      </w:r>
      <w:r>
        <w:t xml:space="preserve">Which one is</w:t>
      </w:r>
      <w:r>
        <w:t xml:space="preserve"> </w:t>
      </w:r>
      <w:r>
        <w:rPr>
          <w:i/>
          <w:iCs/>
        </w:rPr>
        <w:t xml:space="preserve">better</w:t>
      </w:r>
      <w:r>
        <w:t xml:space="preserve"> </w:t>
      </w:r>
      <w:r>
        <w:t xml:space="preserve">has to be settled on data where the truth is known;</w:t>
      </w:r>
      <w:r>
        <w:t xml:space="preserve"> </w:t>
      </w:r>
      <w:hyperlink w:anchor="sec-joint-vs-composite-sim">
        <w:r>
          <w:rPr>
            <w:rStyle w:val="Hyperlink"/>
          </w:rPr>
          <w:t xml:space="preserve">Section 8.6</w:t>
        </w:r>
      </w:hyperlink>
      <w:r>
        <w:t xml:space="preserve"> </w:t>
      </w:r>
      <w:r>
        <w:t xml:space="preserve">does that on the simulated clusters, and the answer is not simply</w:t>
      </w:r>
      <w:r>
        <w:t xml:space="preserve"> </w:t>
      </w:r>
      <w:r>
        <w:t xml:space="preserve">“the joint one”</w:t>
      </w:r>
      <w:r>
        <w:t xml:space="preserve">.</w:t>
      </w:r>
    </w:p>
    <w:p>
      <w:pPr>
        <w:pStyle w:val="BodyText"/>
      </w:pPr>
      <w:r>
        <w:t xml:space="preserve">Using both biomarkers concentrates the log-likelihood around its maximum, and so shrinks the standard error, relative to either biomarker alone (</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9" w:name="fig-loglik"/>
          <w:p>
            <w:pPr>
              <w:pStyle w:val="Compact"/>
              <w:jc w:val="center"/>
            </w:pPr>
            <w:r>
              <w:drawing>
                <wp:inline>
                  <wp:extent cx="4620126" cy="3696101"/>
                  <wp:effectExtent b="0" l="0" r="0" t="0"/>
                  <wp:docPr descr="" title="" id="117" name="Picture"/>
                  <a:graphic>
                    <a:graphicData uri="http://schemas.openxmlformats.org/drawingml/2006/picture">
                      <pic:pic>
                        <pic:nvPicPr>
                          <pic:cNvPr descr="methodology_files/figure-docx/fig-loglik-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 (composite likelihood).</w:t>
            </w:r>
          </w:p>
          <w:bookmarkEnd w:id="119"/>
        </w:tc>
      </w:tr>
    </w:tbl>
    <w:bookmarkEnd w:id="120"/>
    <w:bookmarkStart w:id="124"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22" name="Picture"/>
            <a:graphic>
              <a:graphicData uri="http://schemas.openxmlformats.org/drawingml/2006/picture">
                <pic:pic>
                  <pic:nvPicPr>
                    <pic:cNvPr descr="../man/figures/kinetics-variation-1.png" id="123" name="Picture"/>
                    <pic:cNvPicPr>
                      <a:picLocks noChangeArrowheads="1" noChangeAspect="1"/>
                    </pic:cNvPicPr>
                  </pic:nvPicPr>
                  <pic:blipFill>
                    <a:blip r:embed="rId121"/>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24"/>
    <w:bookmarkStart w:id="128"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26" name="Picture"/>
            <a:graphic>
              <a:graphicData uri="http://schemas.openxmlformats.org/drawingml/2006/picture">
                <pic:pic>
                  <pic:nvPicPr>
                    <pic:cNvPr descr="../man/figures/kinetics-variation-2.png" id="127" name="Picture"/>
                    <pic:cNvPicPr>
                      <a:picLocks noChangeArrowheads="1" noChangeAspect="1"/>
                    </pic:cNvPicPr>
                  </pic:nvPicPr>
                  <pic:blipFill>
                    <a:blip r:embed="rId12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28"/>
    <w:bookmarkEnd w:id="129"/>
    <w:bookmarkStart w:id="141" w:name="estimating-the-curves-with-serodynamics"/>
    <w:p>
      <w:pPr>
        <w:pStyle w:val="Heading1"/>
      </w:pPr>
      <w:r>
        <w:t xml:space="preserve">6. Estimating the curves with</w:t>
      </w:r>
      <w:r>
        <w:t xml:space="preserve"> </w:t>
      </w:r>
      <w:r>
        <w:rPr>
          <w:rStyle w:val="VerbatimChar"/>
        </w:rPr>
        <w:t xml:space="preserve">serodynamics</w:t>
      </w:r>
    </w:p>
    <w:bookmarkStart w:id="130"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2"/>
        </w:numPr>
      </w:pPr>
      <w:r>
        <w:t xml:space="preserve">baseline antibody level (</w:t>
      </w:r>
      <m:oMath>
        <m:sSub>
          <m:e>
            <m:r>
              <m:t>y</m:t>
            </m:r>
          </m:e>
          <m:sub>
            <m:r>
              <m:t>0</m:t>
            </m:r>
          </m:sub>
        </m:sSub>
      </m:oMath>
      <w:r>
        <w:t xml:space="preserve">)</w:t>
      </w:r>
    </w:p>
    <w:p>
      <w:pPr>
        <w:pStyle w:val="Compact"/>
        <w:numPr>
          <w:ilvl w:val="0"/>
          <w:numId w:val="1032"/>
        </w:numPr>
      </w:pPr>
      <w:r>
        <w:t xml:space="preserve">peak concentration (</w:t>
      </w:r>
      <m:oMath>
        <m:sSub>
          <m:e>
            <m:r>
              <m:t>y</m:t>
            </m:r>
          </m:e>
          <m:sub>
            <m:r>
              <m:t>1</m:t>
            </m:r>
          </m:sub>
        </m:sSub>
      </m:oMath>
      <w:r>
        <w:t xml:space="preserve">)</w:t>
      </w:r>
    </w:p>
    <w:p>
      <w:pPr>
        <w:pStyle w:val="Compact"/>
        <w:numPr>
          <w:ilvl w:val="0"/>
          <w:numId w:val="1032"/>
        </w:numPr>
      </w:pPr>
      <w:r>
        <w:t xml:space="preserve">time to peak (</w:t>
      </w:r>
      <m:oMath>
        <m:sSub>
          <m:e>
            <m:r>
              <m:t>t</m:t>
            </m:r>
          </m:e>
          <m:sub>
            <m:r>
              <m:t>1</m:t>
            </m:r>
          </m:sub>
        </m:sSub>
      </m:oMath>
      <w:r>
        <w:t xml:space="preserve">)</w:t>
      </w:r>
    </w:p>
    <w:p>
      <w:pPr>
        <w:pStyle w:val="Compact"/>
        <w:numPr>
          <w:ilvl w:val="0"/>
          <w:numId w:val="1032"/>
        </w:numPr>
      </w:pPr>
      <w:r>
        <w:t xml:space="preserve">decay rate (</w:t>
      </w:r>
      <m:oMath>
        <m:r>
          <m:t>α</m:t>
        </m:r>
      </m:oMath>
      <w:r>
        <w:t xml:space="preserve">)</w:t>
      </w:r>
    </w:p>
    <w:p>
      <w:pPr>
        <w:pStyle w:val="Compact"/>
        <w:numPr>
          <w:ilvl w:val="0"/>
          <w:numId w:val="1032"/>
        </w:numPr>
      </w:pPr>
      <w:r>
        <w:t xml:space="preserve">decay shape (</w:t>
      </w:r>
      <m:oMath>
        <m:r>
          <m:t>r</m:t>
        </m:r>
      </m:oMath>
      <w:r>
        <w:t xml:space="preserve">)</w:t>
      </w:r>
    </w:p>
    <w:bookmarkEnd w:id="130"/>
    <w:bookmarkStart w:id="132"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31">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32"/>
    <w:bookmarkStart w:id="133"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33"/>
    <w:bookmarkStart w:id="137"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35" name="Picture"/>
            <a:graphic>
              <a:graphicData uri="http://schemas.openxmlformats.org/drawingml/2006/picture">
                <pic:pic>
                  <pic:nvPicPr>
                    <pic:cNvPr descr="../man/figures/serodynamics-cached-fi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37"/>
    <w:bookmarkStart w:id="138" w:name="two-packages-one-pipeline"/>
    <w:p>
      <w:pPr>
        <w:pStyle w:val="Heading2"/>
      </w:pPr>
      <w:r>
        <w:t xml:space="preserve">6.5 Two packages, one pipeline</w:t>
      </w:r>
    </w:p>
    <w:p>
      <w:pPr>
        <w:pStyle w:val="Compact"/>
        <w:numPr>
          <w:ilvl w:val="0"/>
          <w:numId w:val="1033"/>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3"/>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38"/>
    <w:bookmarkStart w:id="139"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4"/>
        </w:numPr>
      </w:pPr>
      <w:r>
        <w:rPr>
          <w:b/>
          <w:bCs/>
        </w:rPr>
        <w:t xml:space="preserve">estimation uncertainty</w:t>
      </w:r>
      <w:r>
        <w:t xml:space="preserve"> </w:t>
      </w:r>
      <w:r>
        <w:t xml:space="preserve">in the kinetics parameters, and</w:t>
      </w:r>
    </w:p>
    <w:p>
      <w:pPr>
        <w:pStyle w:val="Compact"/>
        <w:numPr>
          <w:ilvl w:val="0"/>
          <w:numId w:val="1034"/>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39"/>
    <w:bookmarkStart w:id="140"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5"/>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5"/>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40"/>
    <w:bookmarkEnd w:id="141"/>
    <w:bookmarkStart w:id="163" w:name="using-serocalculator"/>
    <w:p>
      <w:pPr>
        <w:pStyle w:val="Heading1"/>
      </w:pPr>
      <w:r>
        <w:t xml:space="preserve">7. Using</w:t>
      </w:r>
      <w:r>
        <w:t xml:space="preserve"> </w:t>
      </w:r>
      <w:r>
        <w:rPr>
          <w:rStyle w:val="VerbatimChar"/>
        </w:rPr>
        <w:t xml:space="preserve">serocalculator</w:t>
      </w:r>
    </w:p>
    <w:bookmarkStart w:id="143"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42">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43"/>
    <w:bookmarkStart w:id="144"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6"/>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6"/>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6"/>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44"/>
    <w:bookmarkStart w:id="146"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p>
      <w:pPr>
        <w:pStyle w:val="BodyText"/>
      </w:pPr>
      <w:r>
        <w:t xml:space="preserve">The assay limits censor measurements outside its quantifiable range.</w:t>
      </w:r>
      <w:r>
        <w:t xml:space="preserve"> </w:t>
      </w:r>
      <w:r>
        <w:t xml:space="preserve">The</w:t>
      </w:r>
      <w:r>
        <w:t xml:space="preserve"> </w:t>
      </w:r>
      <w:r>
        <w:rPr>
          <w:rStyle w:val="VerbatimChar"/>
        </w:rPr>
        <w:t xml:space="preserve">y.low</w:t>
      </w:r>
      <w:r>
        <w:t xml:space="preserve"> </w:t>
      </w:r>
      <w:r>
        <w:t xml:space="preserve">value is the lower limit of detection,</w:t>
      </w:r>
      <w:r>
        <w:t xml:space="preserve"> </w:t>
      </w:r>
      <m:oMath>
        <m:r>
          <m:t>L</m:t>
        </m:r>
      </m:oMath>
      <w:r>
        <w:t xml:space="preserve">,</w:t>
      </w:r>
      <w:r>
        <w:t xml:space="preserve"> </w:t>
      </w:r>
      <w:r>
        <w:t xml:space="preserve">and</w:t>
      </w:r>
      <w:r>
        <w:t xml:space="preserve"> </w:t>
      </w:r>
      <w:r>
        <w:rPr>
          <w:rStyle w:val="VerbatimChar"/>
        </w:rPr>
        <w:t xml:space="preserve">y.high</w:t>
      </w:r>
      <w:r>
        <w:t xml:space="preserve"> </w:t>
      </w:r>
      <w:r>
        <w:t xml:space="preserve">is the upper limit,</w:t>
      </w:r>
      <w:r>
        <w:t xml:space="preserve"> </w:t>
      </w:r>
      <m:oMath>
        <m:r>
          <m:t>U</m:t>
        </m:r>
      </m:oMath>
      <w:r>
        <w:t xml:space="preserve">.</w:t>
      </w:r>
      <w:r>
        <w:t xml:space="preserve"> </w:t>
      </w:r>
      <w:r>
        <w:t xml:space="preserve">A result reported at or below</w:t>
      </w:r>
      <w:r>
        <w:t xml:space="preserve"> </w:t>
      </w:r>
      <m:oMath>
        <m:r>
          <m:t>L</m:t>
        </m:r>
      </m:oMath>
      <w:r>
        <w:t xml:space="preserve"> </w:t>
      </w:r>
      <w:r>
        <w:t xml:space="preserve">establishes only that the response lies in the lower interval.</w:t>
      </w:r>
      <w:r>
        <w:t xml:space="preserve"> </w:t>
      </w:r>
      <w:r>
        <w:t xml:space="preserve">A result reported at or above</w:t>
      </w:r>
      <w:r>
        <w:t xml:space="preserve"> </w:t>
      </w:r>
      <m:oMath>
        <m:r>
          <m:t>U</m:t>
        </m:r>
      </m:oMath>
      <w:r>
        <w:t xml:space="preserve"> </w:t>
      </w:r>
      <w:r>
        <w:t xml:space="preserve">establishes only that it lies in the upper interval.</w:t>
      </w:r>
    </w:p>
    <w:p>
      <w:pPr>
        <w:pStyle w:val="BodyText"/>
      </w:pPr>
      <w:r>
        <w:t xml:space="preserve">Let</w:t>
      </w:r>
      <w:r>
        <w:t xml:space="preserve"> </w:t>
      </w:r>
      <m:oMath>
        <m:sSub>
          <m:e>
            <m:r>
              <m:t>f</m:t>
            </m:r>
          </m:e>
          <m:sub>
            <m:r>
              <m:t>λ</m:t>
            </m:r>
          </m:sub>
        </m:sSub>
        <m:r>
          <m:rPr>
            <m:sty m:val="p"/>
          </m:rPr>
          <m:t>(</m:t>
        </m:r>
        <m:r>
          <m:t>y</m:t>
        </m:r>
        <m:r>
          <m:rPr>
            <m:sty m:val="p"/>
          </m:rPr>
          <m:t>∣</m:t>
        </m:r>
        <m:r>
          <m:t>a</m:t>
        </m:r>
        <m:r>
          <m:rPr>
            <m:sty m:val="p"/>
          </m:rPr>
          <m:t>)</m:t>
        </m:r>
      </m:oMath>
      <w:r>
        <w:t xml:space="preserve"> </w:t>
      </w:r>
      <w:r>
        <w:t xml:space="preserve">and</w:t>
      </w:r>
      <w:r>
        <w:t xml:space="preserve"> </w:t>
      </w:r>
      <m:oMath>
        <m:sSub>
          <m:e>
            <m:r>
              <m:t>F</m:t>
            </m:r>
          </m:e>
          <m:sub>
            <m:r>
              <m:t>λ</m:t>
            </m:r>
          </m:sub>
        </m:sSub>
        <m:r>
          <m:rPr>
            <m:sty m:val="p"/>
          </m:rPr>
          <m:t>(</m:t>
        </m:r>
        <m:r>
          <m:t>y</m:t>
        </m:r>
        <m:r>
          <m:rPr>
            <m:sty m:val="p"/>
          </m:rPr>
          <m:t>∣</m:t>
        </m:r>
        <m:r>
          <m:t>a</m:t>
        </m:r>
        <m:r>
          <m:rPr>
            <m:sty m:val="p"/>
          </m:rPr>
          <m:t>)</m:t>
        </m:r>
      </m:oMath>
      <w:r>
        <w:t xml:space="preserve"> </w:t>
      </w:r>
      <w:r>
        <w:t xml:space="preserve">be the model-implied density and cumulative distribution</w:t>
      </w:r>
      <w:r>
        <w:t xml:space="preserve"> </w:t>
      </w:r>
      <w:r>
        <w:t xml:space="preserve">for a participant of age</w:t>
      </w:r>
      <w:r>
        <w:t xml:space="preserve"> </w:t>
      </w:r>
      <m:oMath>
        <m:r>
          <m:t>a</m:t>
        </m:r>
      </m:oMath>
      <w:r>
        <w:t xml:space="preserve">,</w:t>
      </w:r>
      <w:r>
        <w:t xml:space="preserve"> </w:t>
      </w:r>
      <w:r>
        <w:t xml:space="preserve">including the antibody-kinetics distribution and both noise sources.</w:t>
      </w:r>
      <w:r>
        <w:t xml:space="preserve"> </w:t>
      </w:r>
      <w:r>
        <w:t xml:space="preserve">The intended noise-consistent likelihood contribution is</w:t>
      </w:r>
    </w:p>
    <w:p>
      <w:pPr>
        <w:pStyle w:val="BodyText"/>
      </w:pPr>
      <m:oMathPara>
        <m:oMathParaPr>
          <m:jc m:val="center"/>
        </m:oMathParaPr>
        <m:oMath>
          <m:sSub>
            <m:e>
              <m:r>
                <m:rPr>
                  <m:scr m:val="script"/>
                  <m:sty m:val="p"/>
                </m:rPr>
                <m:t>L</m:t>
              </m:r>
            </m:e>
            <m:sub>
              <m:r>
                <m:t>i</m:t>
              </m:r>
            </m:sub>
          </m:sSub>
          <m:r>
            <m:rPr>
              <m:sty m:val="p"/>
            </m:rPr>
            <m:t>(</m:t>
          </m:r>
          <m:r>
            <m:t>λ</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F</m:t>
                        </m:r>
                      </m:e>
                      <m:sub>
                        <m:r>
                          <m:t>λ</m:t>
                        </m:r>
                      </m:sub>
                    </m:sSub>
                    <m:r>
                      <m:rPr>
                        <m:sty m:val="p"/>
                      </m:rPr>
                      <m:t>(</m:t>
                    </m:r>
                    <m:r>
                      <m:t>L</m:t>
                    </m:r>
                    <m:r>
                      <m:rPr>
                        <m:sty m:val="p"/>
                      </m:rPr>
                      <m:t>∣</m:t>
                    </m:r>
                    <m:sSub>
                      <m:e>
                        <m:r>
                          <m:t>a</m:t>
                        </m:r>
                      </m:e>
                      <m:sub>
                        <m:r>
                          <m:t>i</m:t>
                        </m:r>
                      </m:sub>
                    </m:sSub>
                    <m:r>
                      <m:rPr>
                        <m:sty m:val="p"/>
                      </m:rPr>
                      <m:t>)</m:t>
                    </m:r>
                    <m:r>
                      <m:rPr>
                        <m:sty m:val="p"/>
                      </m:rPr>
                      <m:t>,</m:t>
                    </m:r>
                  </m:e>
                  <m:e>
                    <m:sSub>
                      <m:e>
                        <m:r>
                          <m:t>y</m:t>
                        </m:r>
                      </m:e>
                      <m:sub>
                        <m:r>
                          <m:t>i</m:t>
                        </m:r>
                      </m:sub>
                    </m:sSub>
                    <m:r>
                      <m:rPr>
                        <m:sty m:val="p"/>
                      </m:rPr>
                      <m:t>≤</m:t>
                    </m:r>
                    <m:r>
                      <m:t>L</m:t>
                    </m:r>
                    <m:r>
                      <m:rPr>
                        <m:sty m:val="p"/>
                      </m:rPr>
                      <m:t>,</m:t>
                    </m:r>
                  </m:e>
                </m:mr>
                <m:mr>
                  <m:e>
                    <m:sSub>
                      <m:e>
                        <m:r>
                          <m:t>f</m:t>
                        </m:r>
                      </m:e>
                      <m:sub>
                        <m:r>
                          <m:t>λ</m:t>
                        </m:r>
                      </m:sub>
                    </m:sSub>
                    <m:r>
                      <m:rPr>
                        <m:sty m:val="p"/>
                      </m:rPr>
                      <m:t>(</m:t>
                    </m:r>
                    <m:sSub>
                      <m:e>
                        <m:r>
                          <m:t>y</m:t>
                        </m:r>
                      </m:e>
                      <m:sub>
                        <m:r>
                          <m:t>i</m:t>
                        </m:r>
                      </m:sub>
                    </m:sSub>
                    <m:r>
                      <m:rPr>
                        <m:sty m:val="p"/>
                      </m:rPr>
                      <m:t>∣</m:t>
                    </m:r>
                    <m:sSub>
                      <m:e>
                        <m:r>
                          <m:t>a</m:t>
                        </m:r>
                      </m:e>
                      <m:sub>
                        <m:r>
                          <m:t>i</m:t>
                        </m:r>
                      </m:sub>
                    </m:sSub>
                    <m:r>
                      <m:rPr>
                        <m:sty m:val="p"/>
                      </m:rPr>
                      <m:t>)</m:t>
                    </m:r>
                    <m:r>
                      <m:rPr>
                        <m:sty m:val="p"/>
                      </m:rPr>
                      <m:t>,</m:t>
                    </m:r>
                  </m:e>
                  <m:e>
                    <m:r>
                      <m:t>L</m:t>
                    </m:r>
                    <m:r>
                      <m:rPr>
                        <m:sty m:val="p"/>
                      </m:rPr>
                      <m:t>&lt;</m:t>
                    </m:r>
                    <m:sSub>
                      <m:e>
                        <m:r>
                          <m:t>y</m:t>
                        </m:r>
                      </m:e>
                      <m:sub>
                        <m:r>
                          <m:t>i</m:t>
                        </m:r>
                      </m:sub>
                    </m:sSub>
                    <m:r>
                      <m:rPr>
                        <m:sty m:val="p"/>
                      </m:rPr>
                      <m:t>&lt;</m:t>
                    </m:r>
                    <m:r>
                      <m:t>U</m:t>
                    </m:r>
                    <m:r>
                      <m:rPr>
                        <m:sty m:val="p"/>
                      </m:rPr>
                      <m:t>,</m:t>
                    </m:r>
                  </m:e>
                </m:mr>
                <m:mr>
                  <m:e>
                    <m:r>
                      <m:t>1</m:t>
                    </m:r>
                    <m:r>
                      <m:rPr>
                        <m:sty m:val="p"/>
                      </m:rPr>
                      <m:t>−</m:t>
                    </m:r>
                    <m:sSub>
                      <m:e>
                        <m:r>
                          <m:t>F</m:t>
                        </m:r>
                      </m:e>
                      <m:sub>
                        <m:r>
                          <m:t>λ</m:t>
                        </m:r>
                      </m:sub>
                    </m:sSub>
                    <m:r>
                      <m:rPr>
                        <m:sty m:val="p"/>
                      </m:rPr>
                      <m:t>(</m:t>
                    </m:r>
                    <m:r>
                      <m:t>U</m:t>
                    </m:r>
                    <m:r>
                      <m:rPr>
                        <m:sty m:val="p"/>
                      </m:rPr>
                      <m:t>∣</m:t>
                    </m:r>
                    <m:sSub>
                      <m:e>
                        <m:r>
                          <m:t>a</m:t>
                        </m:r>
                      </m:e>
                      <m:sub>
                        <m:r>
                          <m:t>i</m:t>
                        </m:r>
                      </m:sub>
                    </m:sSub>
                    <m:r>
                      <m:rPr>
                        <m:sty m:val="p"/>
                      </m:rPr>
                      <m:t>)</m:t>
                    </m:r>
                    <m:r>
                      <m:rPr>
                        <m:sty m:val="p"/>
                      </m:rPr>
                      <m:t>,</m:t>
                    </m:r>
                  </m:e>
                  <m:e>
                    <m:sSub>
                      <m:e>
                        <m:r>
                          <m:t>y</m:t>
                        </m:r>
                      </m:e>
                      <m:sub>
                        <m:r>
                          <m:t>i</m:t>
                        </m:r>
                      </m:sub>
                    </m:sSub>
                    <m:r>
                      <m:rPr>
                        <m:sty m:val="p"/>
                      </m:rPr>
                      <m:t>≥</m:t>
                    </m:r>
                    <m:r>
                      <m:t>U</m:t>
                    </m:r>
                    <m:r>
                      <m:rPr>
                        <m:sty m:val="p"/>
                      </m:rPr>
                      <m:t>.</m:t>
                    </m:r>
                  </m:e>
                </m:mr>
              </m:m>
            </m:e>
          </m:d>
        </m:oMath>
      </m:oMathPara>
    </w:p>
    <w:p>
      <w:pPr>
        <w:pStyle w:val="FirstParagraph"/>
      </w:pPr>
      <w:r>
        <w:t xml:space="preserve">Thus, a threshold-reported result contributes</w:t>
      </w:r>
      <w:r>
        <w:t xml:space="preserve"> </w:t>
      </w:r>
      <w:r>
        <w:t xml:space="preserve">the probability of its entire censoring interval,</w:t>
      </w:r>
      <w:r>
        <w:t xml:space="preserve"> </w:t>
      </w:r>
      <w:r>
        <w:t xml:space="preserve">rather than the density at an arbitrarily substituted boundary value.</w:t>
      </w:r>
    </w:p>
    <w:p>
      <w:pPr>
        <w:pStyle w:val="BodyText"/>
      </w:pPr>
      <w:r>
        <w:t xml:space="preserve">As implemented in</w:t>
      </w:r>
      <w:r>
        <w:t xml:space="preserve"> </w:t>
      </w:r>
      <w:r>
        <w:rPr>
          <w:rStyle w:val="VerbatimChar"/>
        </w:rPr>
        <w:t xml:space="preserve">serocalculator</w:t>
      </w:r>
      <w:r>
        <w:t xml:space="preserve"> </w:t>
      </w:r>
      <w:r>
        <w:t xml:space="preserve">1.4.1.9042</w:t>
      </w:r>
      <w:r>
        <w:t xml:space="preserve"> </w:t>
      </w:r>
      <w:r>
        <w:t xml:space="preserve">(verified 2026-08-25 on the package source),</w:t>
      </w:r>
      <w:r>
        <w:t xml:space="preserve"> </w:t>
      </w:r>
      <w:r>
        <w:t xml:space="preserve">measurement noise is included for uncensored and lower-censored observations</w:t>
      </w:r>
      <w:r>
        <w:t xml:space="preserve"> </w:t>
      </w:r>
      <w:r>
        <w:t xml:space="preserve">but is inadvertently omitted from the upper-censored contribution.</w:t>
      </w:r>
      <w:r>
        <w:t xml:space="preserve"> </w:t>
      </w:r>
      <w:r>
        <w:t xml:space="preserve">Issue</w:t>
      </w:r>
      <w:r>
        <w:t xml:space="preserve"> </w:t>
      </w:r>
      <w:hyperlink r:id="rId145">
        <w:r>
          <w:rPr>
            <w:rStyle w:val="Hyperlink"/>
          </w:rPr>
          <w:t xml:space="preserve">#664</w:t>
        </w:r>
      </w:hyperlink>
      <w:r>
        <w:t xml:space="preserve"> </w:t>
      </w:r>
      <w:r>
        <w:t xml:space="preserve">tracks the correction needed to make that branch conform to the equation above.</w:t>
      </w:r>
    </w:p>
    <w:bookmarkEnd w:id="146"/>
    <w:bookmarkStart w:id="151"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50" w:name="fig-sim-distribution"/>
          <w:p>
            <w:pPr>
              <w:pStyle w:val="Compact"/>
              <w:jc w:val="center"/>
            </w:pPr>
            <w:r>
              <w:drawing>
                <wp:inline>
                  <wp:extent cx="4620126" cy="3696101"/>
                  <wp:effectExtent b="0" l="0" r="0" t="0"/>
                  <wp:docPr descr="" title="" id="148" name="Picture"/>
                  <a:graphic>
                    <a:graphicData uri="http://schemas.openxmlformats.org/drawingml/2006/picture">
                      <pic:pic>
                        <pic:nvPicPr>
                          <pic:cNvPr descr="methodology_files/figure-docx/fig-sim-distribution-1.png" id="149" name="Picture"/>
                          <pic:cNvPicPr>
                            <a:picLocks noChangeArrowheads="1" noChangeAspect="1"/>
                          </pic:cNvPicPr>
                        </pic:nvPicPr>
                        <pic:blipFill>
                          <a:blip r:embed="rId14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50"/>
        </w:tc>
      </w:tr>
    </w:tbl>
    <w:bookmarkEnd w:id="151"/>
    <w:bookmarkStart w:id="156"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55" w:name="fig-est-single-loglik"/>
          <w:p>
            <w:pPr>
              <w:pStyle w:val="Compact"/>
              <w:jc w:val="center"/>
            </w:pPr>
            <w:r>
              <w:drawing>
                <wp:inline>
                  <wp:extent cx="4620126" cy="3696101"/>
                  <wp:effectExtent b="0" l="0" r="0" t="0"/>
                  <wp:docPr descr="" title="" id="153" name="Picture"/>
                  <a:graphic>
                    <a:graphicData uri="http://schemas.openxmlformats.org/drawingml/2006/picture">
                      <pic:pic>
                        <pic:nvPicPr>
                          <pic:cNvPr descr="methodology_files/figure-docx/fig-est-single-loglik-1.png" id="154" name="Picture"/>
                          <pic:cNvPicPr>
                            <a:picLocks noChangeArrowheads="1" noChangeAspect="1"/>
                          </pic:cNvPicPr>
                        </pic:nvPicPr>
                        <pic:blipFill>
                          <a:blip r:embed="rId1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55"/>
        </w:tc>
      </w:tr>
    </w:tbl>
    <w:bookmarkEnd w:id="156"/>
    <w:bookmarkStart w:id="157"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57"/>
    <w:bookmarkStart w:id="162" w:name="interactive-shiny-app"/>
    <w:p>
      <w:pPr>
        <w:pStyle w:val="Heading2"/>
      </w:pPr>
      <w:r>
        <w:t xml:space="preserve">7.7 Interactive Shiny app</w:t>
      </w:r>
    </w:p>
    <w:p>
      <w:pPr>
        <w:pStyle w:val="FirstParagraph"/>
      </w:pPr>
      <w:r>
        <w:t xml:space="preserve">A point-and-click interface is available at</w:t>
      </w:r>
      <w:r>
        <w:t xml:space="preserve"> </w:t>
      </w:r>
      <w:hyperlink r:id="rId158">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60" name="Picture"/>
            <a:graphic>
              <a:graphicData uri="http://schemas.openxmlformats.org/drawingml/2006/picture">
                <pic:pic>
                  <pic:nvPicPr>
                    <pic:cNvPr descr="../man/figures/shiny-serocalculator.png" id="161" name="Picture"/>
                    <pic:cNvPicPr>
                      <a:picLocks noChangeArrowheads="1" noChangeAspect="1"/>
                    </pic:cNvPicPr>
                  </pic:nvPicPr>
                  <pic:blipFill>
                    <a:blip r:embed="rId159"/>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62"/>
    <w:bookmarkEnd w:id="163"/>
    <w:bookmarkStart w:id="202" w:name="sec-validation"/>
    <w:p>
      <w:pPr>
        <w:pStyle w:val="Heading1"/>
      </w:pPr>
      <w:r>
        <w:t xml:space="preserve">8. Validation: recovering known incidence rates</w:t>
      </w:r>
    </w:p>
    <w:bookmarkStart w:id="168"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67" w:name="fig-sim-multi-distribution"/>
          <w:p>
            <w:pPr>
              <w:pStyle w:val="Compact"/>
              <w:jc w:val="center"/>
            </w:pPr>
            <w:r>
              <w:drawing>
                <wp:inline>
                  <wp:extent cx="4620126" cy="4620126"/>
                  <wp:effectExtent b="0" l="0" r="0" t="0"/>
                  <wp:docPr descr="" title="" id="165" name="Picture"/>
                  <a:graphic>
                    <a:graphicData uri="http://schemas.openxmlformats.org/drawingml/2006/picture">
                      <pic:pic>
                        <pic:nvPicPr>
                          <pic:cNvPr descr="methodology_files/figure-docx/fig-sim-multi-distribution-1.png" id="166" name="Picture"/>
                          <pic:cNvPicPr>
                            <a:picLocks noChangeArrowheads="1" noChangeAspect="1"/>
                          </pic:cNvPicPr>
                        </pic:nvPicPr>
                        <pic:blipFill>
                          <a:blip r:embed="rId164"/>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67"/>
        </w:tc>
      </w:tr>
    </w:tbl>
    <w:bookmarkEnd w:id="168"/>
    <w:bookmarkStart w:id="170"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69" w:name="tbl-ests-summary"/>
          <w:p>
            <w:pPr>
              <w:jc w:val="center"/>
            </w:pPr>
            <w:pPr>
              <w:jc w:val="left"/>
              <w:spacing w:before="200"/>
              <w:pStyle w:val="ImageCaption"/>
            </w:pPr>
            <w:r>
              <w:t xml:space="preserve">Table 2</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Stratum…         100       0.05       1   100       0.1         0.0538 0.0136</w:t>
            </w:r>
            <w:r>
              <w:br/>
            </w:r>
            <w:r>
              <w:rPr>
                <w:rStyle w:val="VerbatimChar"/>
              </w:rPr>
              <w:t xml:space="preserve"> 2 Stratum…         100       0.05       2   100       0.1         0.0462 0.0113</w:t>
            </w:r>
            <w:r>
              <w:br/>
            </w:r>
            <w:r>
              <w:rPr>
                <w:rStyle w:val="VerbatimChar"/>
              </w:rPr>
              <w:t xml:space="preserve"> 3 Stratum…         100       0.05       3   100       0.1         0.0446 0.0109</w:t>
            </w:r>
            <w:r>
              <w:br/>
            </w:r>
            <w:r>
              <w:rPr>
                <w:rStyle w:val="VerbatimChar"/>
              </w:rPr>
              <w:t xml:space="preserve"> 4 Stratum…         100       0.05       4   100       0.1         0.0475 0.0109</w:t>
            </w:r>
            <w:r>
              <w:br/>
            </w:r>
            <w:r>
              <w:rPr>
                <w:rStyle w:val="VerbatimChar"/>
              </w:rPr>
              <w:t xml:space="preserve"> 5 Stratum…         100       0.05       5   100       0.1         0.0560 0.0131</w:t>
            </w:r>
            <w:r>
              <w:br/>
            </w:r>
            <w:r>
              <w:rPr>
                <w:rStyle w:val="VerbatimChar"/>
              </w:rPr>
              <w:t xml:space="preserve"> 6 Stratum…         100       0.05       6   100       0.1         0.0569 0.0126</w:t>
            </w:r>
            <w:r>
              <w:br/>
            </w:r>
            <w:r>
              <w:rPr>
                <w:rStyle w:val="VerbatimChar"/>
              </w:rPr>
              <w:t xml:space="preserve"> 7 Stratum…         100       0.05       7   100       0.1         0.0392 0.0100</w:t>
            </w:r>
            <w:r>
              <w:br/>
            </w:r>
            <w:r>
              <w:rPr>
                <w:rStyle w:val="VerbatimChar"/>
              </w:rPr>
              <w:t xml:space="preserve"> 8 Stratum…         100       0.05       8   100       0.1         0.0698 0.0147</w:t>
            </w:r>
            <w:r>
              <w:br/>
            </w:r>
            <w:r>
              <w:rPr>
                <w:rStyle w:val="VerbatimChar"/>
              </w:rPr>
              <w:t xml:space="preserve"> 9 Stratum…         100       0.05       9   100       0.1         0.0557 0.0129</w:t>
            </w:r>
            <w:r>
              <w:br/>
            </w:r>
            <w:r>
              <w:rPr>
                <w:rStyle w:val="VerbatimChar"/>
              </w:rPr>
              <w:t xml:space="preserve">10 Stratum…         100       0.05      10   100       0.1         0.0416 0.0104</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69"/>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70"/>
    <w:bookmarkStart w:id="175"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74" w:name="fig-cluster-logliks"/>
          <w:p>
            <w:pPr>
              <w:pStyle w:val="Compact"/>
              <w:jc w:val="center"/>
            </w:pPr>
            <w:r>
              <w:drawing>
                <wp:inline>
                  <wp:extent cx="4620126" cy="6468176"/>
                  <wp:effectExtent b="0" l="0" r="0" t="0"/>
                  <wp:docPr descr="" title="" id="172" name="Picture"/>
                  <a:graphic>
                    <a:graphicData uri="http://schemas.openxmlformats.org/drawingml/2006/picture">
                      <pic:pic>
                        <pic:nvPicPr>
                          <pic:cNvPr descr="methodology_files/figure-docx/fig-cluster-logliks-1.png" id="173" name="Picture"/>
                          <pic:cNvPicPr>
                            <a:picLocks noChangeArrowheads="1" noChangeAspect="1"/>
                          </pic:cNvPicPr>
                        </pic:nvPicPr>
                        <pic:blipFill>
                          <a:blip r:embed="rId171"/>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74"/>
        </w:tc>
      </w:tr>
    </w:tbl>
    <w:bookmarkEnd w:id="175"/>
    <w:bookmarkStart w:id="181"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10</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7"/>
        </w:numPr>
      </w:pPr>
      <w:r>
        <w:t xml:space="preserve">code 3: decrease</w:t>
      </w:r>
      <w:r>
        <w:t xml:space="preserve"> </w:t>
      </w:r>
      <w:r>
        <w:rPr>
          <w:rStyle w:val="VerbatimChar"/>
        </w:rPr>
        <w:t xml:space="preserve">stepmin</w:t>
      </w:r>
    </w:p>
    <w:p>
      <w:pPr>
        <w:pStyle w:val="Compact"/>
        <w:numPr>
          <w:ilvl w:val="0"/>
          <w:numId w:val="1037"/>
        </w:numPr>
      </w:pPr>
      <w:r>
        <w:t xml:space="preserve">code 4: increase</w:t>
      </w:r>
      <w:r>
        <w:t xml:space="preserve"> </w:t>
      </w:r>
      <w:r>
        <w:rPr>
          <w:rStyle w:val="VerbatimChar"/>
        </w:rPr>
        <w:t xml:space="preserve">iterlim</w:t>
      </w:r>
    </w:p>
    <w:p>
      <w:pPr>
        <w:pStyle w:val="Compact"/>
        <w:numPr>
          <w:ilvl w:val="0"/>
          <w:numId w:val="1037"/>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76">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80" w:name="fig-problem-strata"/>
          <w:p>
            <w:pPr>
              <w:pStyle w:val="Compact"/>
              <w:jc w:val="center"/>
            </w:pPr>
            <w:r>
              <w:drawing>
                <wp:inline>
                  <wp:extent cx="4620126" cy="6468176"/>
                  <wp:effectExtent b="0" l="0" r="0" t="0"/>
                  <wp:docPr descr="" title="" id="178" name="Picture"/>
                  <a:graphic>
                    <a:graphicData uri="http://schemas.openxmlformats.org/drawingml/2006/picture">
                      <pic:pic>
                        <pic:nvPicPr>
                          <pic:cNvPr descr="methodology_files/figure-docx/fig-problem-strata-1.png" id="179" name="Picture"/>
                          <pic:cNvPicPr>
                            <a:picLocks noChangeArrowheads="1" noChangeAspect="1"/>
                          </pic:cNvPicPr>
                        </pic:nvPicPr>
                        <pic:blipFill>
                          <a:blip r:embed="rId177"/>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80"/>
        </w:tc>
      </w:tr>
    </w:tbl>
    <w:bookmarkEnd w:id="181"/>
    <w:bookmarkStart w:id="190" w:name="sec-recover"/>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85" w:name="fig-sim-recovery"/>
          <w:p>
            <w:pPr>
              <w:pStyle w:val="Compact"/>
              <w:jc w:val="center"/>
            </w:pPr>
            <w:r>
              <w:drawing>
                <wp:inline>
                  <wp:extent cx="4620126" cy="3696101"/>
                  <wp:effectExtent b="0" l="0" r="0" t="0"/>
                  <wp:docPr descr="" title="" id="183" name="Picture"/>
                  <a:graphic>
                    <a:graphicData uri="http://schemas.openxmlformats.org/drawingml/2006/picture">
                      <pic:pic>
                        <pic:nvPicPr>
                          <pic:cNvPr descr="methodology_files/figure-docx/fig-sim-recovery-1.png" id="184" name="Picture"/>
                          <pic:cNvPicPr>
                            <a:picLocks noChangeArrowheads="1" noChangeAspect="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85"/>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1       0.05         100 0.00292      0.0122       0.0102 0.0103        0.0493</w:t>
      </w:r>
      <w:r>
        <w:br/>
      </w:r>
      <w:r>
        <w:rPr>
          <w:rStyle w:val="VerbatimChar"/>
        </w:rPr>
        <w:t xml:space="preserve">2       0.1          100 0.00894      0.0197       0.0204 0.0218        0.0787</w:t>
      </w:r>
      <w:r>
        <w:br/>
      </w:r>
      <w:r>
        <w:rPr>
          <w:rStyle w:val="VerbatimChar"/>
        </w:rPr>
        <w:t xml:space="preserve">3       0.15         100 0.0222       0.0276       0.0183 0.0285        0.110 </w:t>
      </w:r>
      <w:r>
        <w:br/>
      </w:r>
      <w:r>
        <w:rPr>
          <w:rStyle w:val="VerbatimChar"/>
        </w:rPr>
        <w:t xml:space="preserve">4       0.2          100 0.0269       0.0332       0.0319 0.0411        0.132 </w:t>
      </w:r>
      <w:r>
        <w:br/>
      </w:r>
      <w:r>
        <w:rPr>
          <w:rStyle w:val="VerbatimChar"/>
        </w:rPr>
        <w:t xml:space="preserve">5       0.5          100 0.0857       0.0786       0.0758 0.113         0.312 </w:t>
      </w:r>
      <w:r>
        <w:br/>
      </w:r>
      <w:r>
        <w:rPr>
          <w:rStyle w:val="VerbatimChar"/>
        </w:rPr>
        <w:t xml:space="preserve">6       0.8          100 0.172        0.143        0.115  0.205         0.568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89" w:name="fig-empirical-se"/>
          <w:p>
            <w:pPr>
              <w:pStyle w:val="Compact"/>
              <w:jc w:val="center"/>
            </w:pPr>
            <w:r>
              <w:drawing>
                <wp:inline>
                  <wp:extent cx="4620126" cy="3696101"/>
                  <wp:effectExtent b="0" l="0" r="0" t="0"/>
                  <wp:docPr descr="" title="" id="187" name="Picture"/>
                  <a:graphic>
                    <a:graphicData uri="http://schemas.openxmlformats.org/drawingml/2006/picture">
                      <pic:pic>
                        <pic:nvPicPr>
                          <pic:cNvPr descr="methodology_files/figure-docx/fig-empirical-se-1.png" id="188" name="Picture"/>
                          <pic:cNvPicPr>
                            <a:picLocks noChangeArrowheads="1" noChangeAspect="1"/>
                          </pic:cNvPicPr>
                        </pic:nvPicPr>
                        <pic:blipFill>
                          <a:blip r:embed="rId18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89"/>
        </w:tc>
      </w:tr>
    </w:tbl>
    <w:bookmarkEnd w:id="190"/>
    <w:bookmarkStart w:id="196" w:name="sec-joint-vs-composite-sim"/>
    <w:p>
      <w:pPr>
        <w:pStyle w:val="Heading2"/>
      </w:pPr>
      <w:r>
        <w:t xml:space="preserve">8.6 Joint vs composite likelihood on the simulated clusters</w:t>
      </w:r>
    </w:p>
    <w:p>
      <w:pPr>
        <w:pStyle w:val="FirstParagraph"/>
      </w:pPr>
      <w:r>
        <w:t xml:space="preserve">The estimates above combine HlyE IgA and IgG with the default</w:t>
      </w:r>
      <w:r>
        <w:t xml:space="preserve"> </w:t>
      </w:r>
      <w:r>
        <w:rPr>
          <w:rStyle w:val="VerbatimChar"/>
        </w:rPr>
        <w:t xml:space="preserve">method = "composite"</w:t>
      </w:r>
      <w:r>
        <w:t xml:space="preserve">.</w:t>
      </w:r>
      <w:r>
        <w:t xml:space="preserve"> </w:t>
      </w:r>
      <w:hyperlink w:anchor="sec-multiple-biomarkers">
        <w:r>
          <w:rPr>
            <w:rStyle w:val="Hyperlink"/>
          </w:rPr>
          <w:t xml:space="preserve">Section 5.11</w:t>
        </w:r>
      </w:hyperlink>
      <w:r>
        <w:t xml:space="preserve"> </w:t>
      </w:r>
      <w:r>
        <w:t xml:space="preserve">introduced the alternative,</w:t>
      </w:r>
      <w:r>
        <w:t xml:space="preserve"> </w:t>
      </w:r>
      <w:r>
        <w:rPr>
          <w:rStyle w:val="VerbatimChar"/>
        </w:rPr>
        <w:t xml:space="preserve">method = "joint"</w:t>
      </w:r>
      <w:r>
        <w:t xml:space="preserve">, which integrates over a shared latent infection time per person.</w:t>
      </w:r>
      <w:r>
        <w:t xml:space="preserve"> </w:t>
      </w:r>
      <w:r>
        <w:t xml:space="preserve">The simulated clusters are the place to compare them, because</w:t>
      </w:r>
      <w:r>
        <w:t xml:space="preserve"> </w:t>
      </w:r>
      <w:r>
        <w:rPr>
          <w:rStyle w:val="VerbatimChar"/>
        </w:rPr>
        <w:t xml:space="preserve">sim_pop_data()</w:t>
      </w:r>
      <w:r>
        <w:t xml:space="preserve"> </w:t>
      </w:r>
      <w:r>
        <w:t xml:space="preserve">draws</w:t>
      </w:r>
      <w:r>
        <w:t xml:space="preserve"> </w:t>
      </w:r>
      <w:r>
        <w:rPr>
          <w:b/>
          <w:bCs/>
        </w:rPr>
        <w:t xml:space="preserve">one</w:t>
      </w:r>
      <w:r>
        <w:t xml:space="preserve"> </w:t>
      </w:r>
      <w:r>
        <w:t xml:space="preserve">infection history per person and reads every biomarker off it: the shared-latent-time structure that the joint likelihood assumes is exactly how these data were made.</w:t>
      </w:r>
    </w:p>
    <w:tbl>
      <w:tblPr>
        <w:tblStyle w:val="Table"/>
        <w:tblW w:type="pct" w:w="5000"/>
        <w:tblLayout w:type="fixed"/>
        <w:tblLook w:firstRow="0" w:lastRow="0" w:firstColumn="0" w:lastColumn="0" w:noHBand="0" w:noVBand="0" w:val="0000"/>
      </w:tblPr>
      <w:tblGrid>
        <w:gridCol w:w="7920"/>
      </w:tblGrid>
      <w:tr>
        <w:tc>
          <w:tcPr/>
          <w:bookmarkStart w:id="191" w:name="tbl-joint-vs-composite-sim"/>
          <w:p>
            <w:pPr>
              <w:jc w:val="center"/>
            </w:pPr>
            <w:pPr>
              <w:jc w:val="left"/>
              <w:spacing w:before="200"/>
              <w:pStyle w:val="ImageCaption"/>
            </w:pPr>
            <w:r>
              <w:t xml:space="preserve">Table 3: Bias, empirical standard error, mean estimated standard error and 95% confidence-interval coverage of the composite and joint estimators, by true incidence rate, across the simulated clusters.</w:t>
            </w:r>
          </w:p>
          <w:p>
            <w:pPr>
              <w:pStyle w:val="SourceCode"/>
              <w:jc w:val="center"/>
            </w:pPr>
            <w:r>
              <w:rPr>
                <w:rStyle w:val="VerbatimChar"/>
              </w:rPr>
              <w:t xml:space="preserve"># A tibble: 12 × 6</w:t>
            </w:r>
            <w:r>
              <w:br/>
            </w:r>
            <w:r>
              <w:rPr>
                <w:rStyle w:val="VerbatimChar"/>
              </w:rPr>
              <w:t xml:space="preserve">   lambda.sim method        Bias Empirical_SE Mean_Est_SE CI_Coverage</w:t>
            </w:r>
            <w:r>
              <w:br/>
            </w:r>
            <w:r>
              <w:rPr>
                <w:rStyle w:val="VerbatimChar"/>
              </w:rPr>
              <w:t xml:space="preserve">        &lt;dbl&gt; &lt;chr&gt;        &lt;dbl&gt;        &lt;dbl&gt;       &lt;dbl&gt;       &lt;dbl&gt;</w:t>
            </w:r>
            <w:r>
              <w:br/>
            </w:r>
            <w:r>
              <w:rPr>
                <w:rStyle w:val="VerbatimChar"/>
              </w:rPr>
              <w:t xml:space="preserve"> 1       0.05 composite  0.00292      0.0102      0.0122         1   </w:t>
            </w:r>
            <w:r>
              <w:br/>
            </w:r>
            <w:r>
              <w:rPr>
                <w:rStyle w:val="VerbatimChar"/>
              </w:rPr>
              <w:t xml:space="preserve"> 2       0.05 joint     -0.0126       0.00876     0.00976        0.9 </w:t>
            </w:r>
            <w:r>
              <w:br/>
            </w:r>
            <w:r>
              <w:rPr>
                <w:rStyle w:val="VerbatimChar"/>
              </w:rPr>
              <w:t xml:space="preserve"> 3       0.1  composite  0.00894      0.0204      0.0197         0.85</w:t>
            </w:r>
            <w:r>
              <w:br/>
            </w:r>
            <w:r>
              <w:rPr>
                <w:rStyle w:val="VerbatimChar"/>
              </w:rPr>
              <w:t xml:space="preserve"> 4       0.1  joint     -0.0290       0.0136      0.0149         0.75</w:t>
            </w:r>
            <w:r>
              <w:br/>
            </w:r>
            <w:r>
              <w:rPr>
                <w:rStyle w:val="VerbatimChar"/>
              </w:rPr>
              <w:t xml:space="preserve"> 5       0.15 composite  0.0222       0.0183      0.0276         0.9 </w:t>
            </w:r>
            <w:r>
              <w:br/>
            </w:r>
            <w:r>
              <w:rPr>
                <w:rStyle w:val="VerbatimChar"/>
              </w:rPr>
              <w:t xml:space="preserve"> 6       0.15 joint     -0.0387       0.0188      0.0207         0.65</w:t>
            </w:r>
            <w:r>
              <w:br/>
            </w:r>
            <w:r>
              <w:rPr>
                <w:rStyle w:val="VerbatimChar"/>
              </w:rPr>
              <w:t xml:space="preserve"> 7       0.2  composite  0.0269       0.0319      0.0332         0.8 </w:t>
            </w:r>
            <w:r>
              <w:br/>
            </w:r>
            <w:r>
              <w:rPr>
                <w:rStyle w:val="VerbatimChar"/>
              </w:rPr>
              <w:t xml:space="preserve"> 8       0.2  joint     -0.0473       0.0260      0.0262         0.7 </w:t>
            </w:r>
            <w:r>
              <w:br/>
            </w:r>
            <w:r>
              <w:rPr>
                <w:rStyle w:val="VerbatimChar"/>
              </w:rPr>
              <w:t xml:space="preserve"> 9       0.5  composite  0.0857       0.0758      0.0786         0.75</w:t>
            </w:r>
            <w:r>
              <w:br/>
            </w:r>
            <w:r>
              <w:rPr>
                <w:rStyle w:val="VerbatimChar"/>
              </w:rPr>
              <w:t xml:space="preserve">10       0.5  joint     -0.142        0.0476      0.0560         0.35</w:t>
            </w:r>
            <w:r>
              <w:br/>
            </w:r>
            <w:r>
              <w:rPr>
                <w:rStyle w:val="VerbatimChar"/>
              </w:rPr>
              <w:t xml:space="preserve">11       0.8  composite  0.172        0.115       0.143          0.75</w:t>
            </w:r>
            <w:r>
              <w:br/>
            </w:r>
            <w:r>
              <w:rPr>
                <w:rStyle w:val="VerbatimChar"/>
              </w:rPr>
              <w:t xml:space="preserve">12       0.8  joint     -0.302        0.0579      0.0846         0.1 </w:t>
            </w:r>
          </w:p>
          <w:bookmarkEnd w:id="191"/>
        </w:tc>
      </w:tr>
    </w:tbl>
    <w:tbl>
      <w:tblPr>
        <w:tblStyle w:val="Table"/>
        <w:tblW w:type="pct" w:w="5000"/>
        <w:tblLayout w:type="fixed"/>
        <w:tblLook w:firstRow="0" w:lastRow="0" w:firstColumn="0" w:lastColumn="0" w:noHBand="0" w:noVBand="0" w:val="0000"/>
      </w:tblPr>
      <w:tblGrid>
        <w:gridCol w:w="7920"/>
      </w:tblGrid>
      <w:tr>
        <w:tc>
          <w:tcPr/>
          <w:bookmarkStart w:id="195" w:name="fig-joint-vs-composite-sim"/>
          <w:p>
            <w:pPr>
              <w:pStyle w:val="Compact"/>
              <w:jc w:val="center"/>
            </w:pPr>
            <w:r>
              <w:drawing>
                <wp:inline>
                  <wp:extent cx="4620126" cy="3696101"/>
                  <wp:effectExtent b="0" l="0" r="0" t="0"/>
                  <wp:docPr descr="" title="" id="193" name="Picture"/>
                  <a:graphic>
                    <a:graphicData uri="http://schemas.openxmlformats.org/drawingml/2006/picture">
                      <pic:pic>
                        <pic:nvPicPr>
                          <pic:cNvPr descr="methodology_files/figure-docx/fig-joint-vs-composite-sim-1.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Estimated incidence rates (points, with 95% confidence intervals) for each simulated cluster, against the true rate, under the composite and the joint likelihood. The red line is the identity.</w:t>
            </w:r>
          </w:p>
          <w:bookmarkEnd w:id="195"/>
        </w:tc>
      </w:tr>
    </w:tbl>
    <w:p>
      <w:pPr>
        <w:pStyle w:val="BodyText"/>
      </w:pPr>
      <w:r>
        <w:t xml:space="preserve">The composite estimator over-estimates, increasingly so at higher incidence (as</w:t>
      </w:r>
      <w:r>
        <w:t xml:space="preserve"> </w:t>
      </w:r>
      <w:hyperlink w:anchor="sec-recover">
        <w:r>
          <w:rPr>
            <w:rStyle w:val="Hyperlink"/>
          </w:rPr>
          <w:t xml:space="preserve">Section 8.5</w:t>
        </w:r>
      </w:hyperlink>
      <w:r>
        <w:t xml:space="preserve"> </w:t>
      </w:r>
      <w:r>
        <w:t xml:space="preserve">already showed).</w:t>
      </w:r>
      <w:r>
        <w:t xml:space="preserve"> </w:t>
      </w:r>
      <w:r>
        <w:t xml:space="preserve">The joint estimator</w:t>
      </w:r>
      <w:r>
        <w:t xml:space="preserve"> </w:t>
      </w:r>
      <w:r>
        <w:rPr>
          <w:b/>
          <w:bCs/>
        </w:rPr>
        <w:t xml:space="preserve">under</w:t>
      </w:r>
      <w:r>
        <w:t xml:space="preserve">-estimates, by more, and its confidence intervals cover the truth far less often.</w:t>
      </w:r>
      <w:r>
        <w:t xml:space="preserve"> </w:t>
      </w:r>
      <w:r>
        <w:t xml:space="preserve">Both arms use the standard error their own likelihood calls for: the composite one is clustered by person, and the joint one comes from the Hessian, which is valid for a genuine likelihood (</w:t>
      </w:r>
      <w:hyperlink w:anchor="sec-multiple-biomarkers">
        <w:r>
          <w:rPr>
            <w:rStyle w:val="Hyperlink"/>
          </w:rPr>
          <w:t xml:space="preserve">Section 5.11</w:t>
        </w:r>
      </w:hyperlink>
      <w:r>
        <w:t xml:space="preserve">).</w:t>
      </w:r>
      <w:r>
        <w:t xml:space="preserve"> </w:t>
      </w:r>
      <w:r>
        <w:t xml:space="preserve">Its empirical standard error is the smaller of the two, which is the efficiency gain the shared latent time was expected to bring, but here that gain is swamped by bias.</w:t>
      </w:r>
    </w:p>
    <w:p>
      <w:pPr>
        <w:pStyle w:val="BodyText"/>
      </w:pPr>
      <w:r>
        <w:t xml:space="preserve">The reason is visible in a single high-incidence cluster:</w:t>
      </w:r>
    </w:p>
    <w:p>
      <w:pPr>
        <w:pStyle w:val="SourceCode"/>
      </w:pPr>
      <w:r>
        <w:rPr>
          <w:rStyle w:val="VerbatimChar"/>
        </w:rPr>
        <w:t xml:space="preserve">Warning: 48 of 100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FirstParagraph"/>
      </w:pPr>
      <w:r>
        <w:t xml:space="preserve">A person contributes nothing to the joint likelihood when</w:t>
      </w:r>
      <w:r>
        <w:t xml:space="preserve"> </w:t>
      </w:r>
      <w:r>
        <w:rPr>
          <w:b/>
          <w:bCs/>
        </w:rPr>
        <w:t xml:space="preserve">no</w:t>
      </w:r>
      <w:r>
        <w:t xml:space="preserve"> </w:t>
      </w:r>
      <w:r>
        <w:t xml:space="preserve">shared infection time is compatible with all of their readings under any posterior draw, and this cluster has many such people.</w:t>
      </w:r>
      <w:r>
        <w:t xml:space="preserve"> </w:t>
      </w:r>
      <w:r>
        <w:t xml:space="preserve">Shortly after infection, antibody levels are in the hundreds or thousands, while the simulated biological noise is additive on a scale of 0.5.</w:t>
      </w:r>
      <w:r>
        <w:t xml:space="preserve"> </w:t>
      </w:r>
      <w:r>
        <w:t xml:space="preserve">The simulator’s response curve also differs slightly from the likelihood’s — it has a rise phase, and a baseline carried over from earlier infections — so one person’s IgA and IgG readings each point to a slightly different time since infection.</w:t>
      </w:r>
      <w:r>
        <w:t xml:space="preserve"> </w:t>
      </w:r>
      <w:r>
        <w:t xml:space="preserve">Each biomarker on its own is still explained well (the composite method drops nobody), but no single</w:t>
      </w:r>
      <w:r>
        <w:t xml:space="preserve"> </w:t>
      </w:r>
      <m:oMath>
        <m:r>
          <m:t>t</m:t>
        </m:r>
      </m:oMath>
      <w:r>
        <w:t xml:space="preserve"> </w:t>
      </w:r>
      <w:r>
        <w:t xml:space="preserve">reproduces both to within half a unit, so the joint likelihood discards exactly the people with the most recent infections, and the estimate falls.</w:t>
      </w:r>
      <w:r>
        <w:t xml:space="preserve"> </w:t>
      </w:r>
      <w:r>
        <w:t xml:space="preserve">The higher the incidence, the more such people there are.</w:t>
      </w:r>
    </w:p>
    <w:p>
      <w:pPr>
        <w:pStyle w:val="BodyText"/>
      </w:pPr>
      <w:r>
        <w:t xml:space="preserve">That mechanism is not specific to this simulator.</w:t>
      </w:r>
      <w:r>
        <w:t xml:space="preserve"> </w:t>
      </w:r>
      <w:r>
        <w:t xml:space="preserve">Any mismatch between the assumed response curve and the real one plays the same role, and so does a noise model that is narrower than the real disagreement between a person’s biomarkers.</w:t>
      </w:r>
      <w:r>
        <w:t xml:space="preserve"> </w:t>
      </w:r>
      <w:r>
        <w:rPr>
          <w:rStyle w:val="VerbatimChar"/>
        </w:rPr>
        <w:t xml:space="preserve">est_seroincidence()</w:t>
      </w:r>
      <w:r>
        <w:t xml:space="preserve"> </w:t>
      </w:r>
      <w:r>
        <w:t xml:space="preserve">warns whenever a joint fit drops anyone, and reports how many.</w:t>
      </w:r>
      <w:r>
        <w:t xml:space="preserve"> </w:t>
      </w:r>
      <w:r>
        <w:t xml:space="preserve">The real SEES data, whose noise model includes a multiplicative (measurement) component, drop very few (</w:t>
      </w:r>
      <w:hyperlink w:anchor="tbl-joint-vs-composite-sees">
        <w:r>
          <w:rPr>
            <w:rStyle w:val="Hyperlink"/>
          </w:rPr>
          <w:t xml:space="preserve">Table 1</w:t>
        </w:r>
      </w:hyperlink>
      <w:r>
        <w:t xml:space="preserve">).</w:t>
      </w:r>
    </w:p>
    <w:p>
      <w:pPr>
        <w:pStyle w:val="BodyText"/>
      </w:pPr>
      <w:r>
        <w:t xml:space="preserve">The joint estimator uses the fact that a person has one infection history, which is more information — but it also relies on that fact being reflected in the data</w:t>
      </w:r>
      <w:r>
        <w:t xml:space="preserve"> </w:t>
      </w:r>
      <w:r>
        <w:rPr>
          <w:i/>
          <w:iCs/>
        </w:rPr>
        <w:t xml:space="preserve">exactly as modeled</w:t>
      </w:r>
      <w:r>
        <w:t xml:space="preserve">.</w:t>
      </w:r>
      <w:r>
        <w:t xml:space="preserve"> </w:t>
      </w:r>
      <w:r>
        <w:t xml:space="preserve">The composite estimator, which lets each biomarker find its own infection time, is the more robust of the two, which is one reason it remains the default.</w:t>
      </w:r>
      <w:r>
        <w:t xml:space="preserve"> </w:t>
      </w:r>
      <w:r>
        <w:t xml:space="preserve">Neither is unbiased here: the simulator’s response curve is not the likelihood’s, and both estimators inherit that.</w:t>
      </w:r>
    </w:p>
    <w:bookmarkEnd w:id="196"/>
    <w:bookmarkStart w:id="201" w:name="X047cffc7758e27a01cb5430c10b991b39f63029"/>
    <w:p>
      <w:pPr>
        <w:pStyle w:val="Heading2"/>
      </w:pPr>
      <w:r>
        <w:t xml:space="preserve">8.7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200" w:name="fig-sim-recovery-renew"/>
          <w:p>
            <w:pPr>
              <w:pStyle w:val="Compact"/>
              <w:jc w:val="center"/>
            </w:pPr>
            <w:r>
              <w:drawing>
                <wp:inline>
                  <wp:extent cx="4620126" cy="3696101"/>
                  <wp:effectExtent b="0" l="0" r="0" t="0"/>
                  <wp:docPr descr="" title="" id="198" name="Picture"/>
                  <a:graphic>
                    <a:graphicData uri="http://schemas.openxmlformats.org/drawingml/2006/picture">
                      <pic:pic>
                        <pic:nvPicPr>
                          <pic:cNvPr descr="methodology_files/figure-docx/fig-sim-recovery-renew-1.png" id="199" name="Picture"/>
                          <pic:cNvPicPr>
                            <a:picLocks noChangeArrowheads="1" noChangeAspect="1"/>
                          </pic:cNvPicPr>
                        </pic:nvPicPr>
                        <pic:blipFill>
                          <a:blip r:embed="rId19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200"/>
        </w:tc>
      </w:tr>
    </w:tbl>
    <w:bookmarkEnd w:id="201"/>
    <w:bookmarkEnd w:id="202"/>
    <w:bookmarkStart w:id="207" w:name="ongoing-and-future-work"/>
    <w:p>
      <w:pPr>
        <w:pStyle w:val="Heading1"/>
      </w:pPr>
      <w:r>
        <w:t xml:space="preserve">9. Ongoing and future work</w:t>
      </w:r>
    </w:p>
    <w:bookmarkStart w:id="204" w:name="in-progress-work"/>
    <w:p>
      <w:pPr>
        <w:pStyle w:val="Heading2"/>
      </w:pPr>
      <w:r>
        <w:t xml:space="preserve">9.1 In-progress work</w:t>
      </w:r>
    </w:p>
    <w:p>
      <w:pPr>
        <w:numPr>
          <w:ilvl w:val="0"/>
          <w:numId w:val="1038"/>
        </w:numPr>
      </w:pPr>
      <w:r>
        <w:t xml:space="preserve">Extending and improving existing Shiny apps for these methods</w:t>
      </w:r>
      <w:r>
        <w:t xml:space="preserve"> </w:t>
      </w:r>
      <w:r>
        <w:t xml:space="preserve">(e.g., the</w:t>
      </w:r>
      <w:r>
        <w:t xml:space="preserve"> </w:t>
      </w:r>
      <w:hyperlink r:id="rId158">
        <w:r>
          <w:rPr>
            <w:rStyle w:val="Hyperlink"/>
          </w:rPr>
          <w:t xml:space="preserve">serocalculator Shiny app</w:t>
        </w:r>
      </w:hyperlink>
      <w:r>
        <w:t xml:space="preserve">,</w:t>
      </w:r>
      <w:r>
        <w:t xml:space="preserve"> </w:t>
      </w:r>
      <w:hyperlink r:id="rId203">
        <w:r>
          <w:rPr>
            <w:rStyle w:val="Hyperlink"/>
          </w:rPr>
          <w:t xml:space="preserve">source</w:t>
        </w:r>
      </w:hyperlink>
      <w:r>
        <w:t xml:space="preserve">)</w:t>
      </w:r>
    </w:p>
    <w:p>
      <w:pPr>
        <w:numPr>
          <w:ilvl w:val="0"/>
          <w:numId w:val="1038"/>
        </w:numPr>
      </w:pPr>
      <w:r>
        <w:t xml:space="preserve">Multivariate modeling of biomarkers (relaxing conditional independence)</w:t>
      </w:r>
    </w:p>
    <w:p>
      <w:pPr>
        <w:numPr>
          <w:ilvl w:val="0"/>
          <w:numId w:val="1038"/>
        </w:numPr>
      </w:pPr>
      <w:r>
        <w:t xml:space="preserve">A graphical (Shiny) app for</w:t>
      </w:r>
      <w:r>
        <w:t xml:space="preserve"> </w:t>
      </w:r>
      <w:r>
        <w:rPr>
          <w:rStyle w:val="VerbatimChar"/>
        </w:rPr>
        <w:t xml:space="preserve">serodynamics</w:t>
      </w:r>
    </w:p>
    <w:p>
      <w:pPr>
        <w:numPr>
          <w:ilvl w:val="0"/>
          <w:numId w:val="1038"/>
        </w:numPr>
      </w:pPr>
      <w:r>
        <w:t xml:space="preserve">Modeling time-varying incidence rates</w:t>
      </w:r>
    </w:p>
    <w:p>
      <w:pPr>
        <w:numPr>
          <w:ilvl w:val="0"/>
          <w:numId w:val="1038"/>
        </w:numPr>
      </w:pPr>
      <w:r>
        <w:t xml:space="preserve">Accounting for re-exposure</w:t>
      </w:r>
    </w:p>
    <w:p>
      <w:pPr>
        <w:numPr>
          <w:ilvl w:val="0"/>
          <w:numId w:val="1038"/>
        </w:numPr>
      </w:pPr>
      <w:r>
        <w:t xml:space="preserve">Accounting for latent immunocompromised subpopulations</w:t>
      </w:r>
    </w:p>
    <w:p>
      <w:pPr>
        <w:numPr>
          <w:ilvl w:val="0"/>
          <w:numId w:val="1038"/>
        </w:numPr>
      </w:pPr>
      <w:r>
        <w:t xml:space="preserve">Calibrating to population demographics</w:t>
      </w:r>
    </w:p>
    <w:bookmarkEnd w:id="204"/>
    <w:bookmarkStart w:id="206" w:name="sec-multivariate"/>
    <w:p>
      <w:pPr>
        <w:pStyle w:val="Heading2"/>
      </w:pPr>
      <w:r>
        <w:t xml:space="preserve">9.2 Multiple biomarkers: beyond conditional independence</w:t>
      </w:r>
    </w:p>
    <w:p>
      <w:pPr>
        <w:pStyle w:val="FirstParagraph"/>
      </w:pPr>
      <w:r>
        <w:t xml:space="preserve">With several biomarkers (e.g. HlyE IgA and IgG), the joint likelihood</w:t>
      </w:r>
      <w:r>
        <w:t xml:space="preserve"> </w:t>
      </w:r>
      <w:r>
        <w:t xml:space="preserve">(</w:t>
      </w:r>
      <w:r>
        <w:rPr>
          <w:rStyle w:val="VerbatimChar"/>
        </w:rPr>
        <w:t xml:space="preserve">method = "joint"</w:t>
      </w:r>
      <w:r>
        <w:t xml:space="preserve">,</w:t>
      </w:r>
      <w:r>
        <w:t xml:space="preserve"> </w:t>
      </w:r>
      <w:hyperlink w:anchor="sec-multiple-biomarkers">
        <w:r>
          <w:rPr>
            <w:rStyle w:val="Hyperlink"/>
          </w:rPr>
          <w:t xml:space="preserve">Section 5.11</w:t>
        </w:r>
      </w:hyperlink>
      <w:r>
        <w:t xml:space="preserve">) treats them as</w:t>
      </w:r>
      <w:r>
        <w:t xml:space="preserve"> </w:t>
      </w:r>
      <w:r>
        <w:rPr>
          <w:b/>
          <w:bCs/>
        </w:rPr>
        <w:t xml:space="preserve">conditionally independent given the time since infection</w:t>
      </w:r>
      <w:r>
        <w:t xml:space="preserve">, so the</w:t>
      </w:r>
      <w:r>
        <w:t xml:space="preserve"> </w:t>
      </w:r>
      <w:r>
        <w:t xml:space="preserve">joint density factors into a product of per-biomarker terms inside the</w:t>
      </w:r>
      <w:r>
        <w:t xml:space="preserve"> </w:t>
      </w:r>
      <w:r>
        <w:t xml:space="preserve">integral over</w:t>
      </w:r>
      <w:r>
        <w:t xml:space="preserve"> </w:t>
      </w:r>
      <m:oMath>
        <m:r>
          <m:t>t</m:t>
        </m:r>
      </m:oMath>
      <w:r>
        <w:t xml:space="preserve"> </w:t>
      </w:r>
      <w:r>
        <w:t xml:space="preserve">(the default composite likelihood assumes more: that the</w:t>
      </w:r>
      <w:r>
        <w:t xml:space="preserve"> </w:t>
      </w:r>
      <w:r>
        <w:t xml:space="preserve">biomarkers are independent unconditionally):</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205">
        <w:r>
          <w:rPr>
            <w:rStyle w:val="Hyperlink"/>
          </w:rPr>
          <w:t xml:space="preserve">UCD-SERG/shigella#13</w:t>
        </w:r>
      </w:hyperlink>
      <w:r>
        <w:t xml:space="preserve">).</w:t>
      </w:r>
    </w:p>
    <w:bookmarkEnd w:id="206"/>
    <w:bookmarkEnd w:id="207"/>
    <w:bookmarkStart w:id="225" w:name="references"/>
    <w:p>
      <w:pPr>
        <w:pStyle w:val="Heading1"/>
      </w:pPr>
      <w:r>
        <w:t xml:space="preserve">References</w:t>
      </w:r>
    </w:p>
    <w:bookmarkStart w:id="224" w:name="refs"/>
    <w:bookmarkStart w:id="20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08">
        <w:r>
          <w:rPr>
            <w:rStyle w:val="Hyperlink"/>
          </w:rPr>
          <w:t xml:space="preserve">https://doi.org/10.1016/S2666-5247(22)00114-8</w:t>
        </w:r>
      </w:hyperlink>
      <w:r>
        <w:t xml:space="preserve">.</w:t>
      </w:r>
    </w:p>
    <w:bookmarkEnd w:id="209"/>
    <w:bookmarkStart w:id="21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10">
        <w:r>
          <w:rPr>
            <w:rStyle w:val="Hyperlink"/>
          </w:rPr>
          <w:t xml:space="preserve">https://doi.org/10.1016/j.epidem.2024.100806</w:t>
        </w:r>
      </w:hyperlink>
      <w:r>
        <w:t xml:space="preserve">.</w:t>
      </w:r>
    </w:p>
    <w:bookmarkEnd w:id="211"/>
    <w:bookmarkStart w:id="212"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12"/>
    <w:bookmarkStart w:id="214"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13">
        <w:r>
          <w:rPr>
            <w:rStyle w:val="Hyperlink"/>
          </w:rPr>
          <w:t xml:space="preserve">https://doi.org/10.1093/biomet/73.1.13</w:t>
        </w:r>
      </w:hyperlink>
      <w:r>
        <w:t xml:space="preserve">.</w:t>
      </w:r>
    </w:p>
    <w:bookmarkEnd w:id="214"/>
    <w:bookmarkStart w:id="21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15">
        <w:r>
          <w:rPr>
            <w:rStyle w:val="Hyperlink"/>
          </w:rPr>
          <w:t xml:space="preserve">https://doi.org/10.1159/000286345</w:t>
        </w:r>
      </w:hyperlink>
      <w:r>
        <w:t xml:space="preserve">.</w:t>
      </w:r>
    </w:p>
    <w:bookmarkEnd w:id="216"/>
    <w:bookmarkStart w:id="21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17">
        <w:r>
          <w:rPr>
            <w:rStyle w:val="Hyperlink"/>
          </w:rPr>
          <w:t xml:space="preserve">https://doi.org/10.1002/sim.8578</w:t>
        </w:r>
      </w:hyperlink>
      <w:r>
        <w:t xml:space="preserve">.</w:t>
      </w:r>
    </w:p>
    <w:bookmarkEnd w:id="218"/>
    <w:bookmarkStart w:id="22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19">
        <w:r>
          <w:rPr>
            <w:rStyle w:val="Hyperlink"/>
          </w:rPr>
          <w:t xml:space="preserve">https://doi.org/10.1016/j.epidem.2016.04.001</w:t>
        </w:r>
      </w:hyperlink>
      <w:r>
        <w:t xml:space="preserve">.</w:t>
      </w:r>
    </w:p>
    <w:bookmarkEnd w:id="220"/>
    <w:bookmarkStart w:id="221" w:name="ref-varin2011overview"/>
    <w:p>
      <w:pPr>
        <w:pStyle w:val="Bibliography"/>
      </w:pPr>
      <w:r>
        <w:t xml:space="preserve">Varin, Cristiano, Nancy Reid, and David Firth. 2011.</w:t>
      </w:r>
      <w:r>
        <w:t xml:space="preserve"> </w:t>
      </w:r>
      <w:r>
        <w:t xml:space="preserve">“An Overview of Composite Likelihood Methods.”</w:t>
      </w:r>
      <w:r>
        <w:t xml:space="preserve"> </w:t>
      </w:r>
      <w:r>
        <w:rPr>
          <w:i/>
          <w:iCs/>
        </w:rPr>
        <w:t xml:space="preserve">Statistica Sinica</w:t>
      </w:r>
      <w:r>
        <w:t xml:space="preserve"> </w:t>
      </w:r>
      <w:r>
        <w:t xml:space="preserve">21 (1): 5–42.</w:t>
      </w:r>
    </w:p>
    <w:bookmarkEnd w:id="221"/>
    <w:bookmarkStart w:id="222"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22"/>
    <w:bookmarkStart w:id="223"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23"/>
    <w:bookmarkEnd w:id="224"/>
    <w:bookmarkEnd w:id="2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02" Target="media/rId102.svg" /><Relationship Type="http://schemas.openxmlformats.org/officeDocument/2006/relationships/image" Id="rId134" Target="media/rId134.png" /><Relationship Type="http://schemas.openxmlformats.org/officeDocument/2006/relationships/image" Id="rId159" Target="media/rId159.png" /><Relationship Type="http://schemas.openxmlformats.org/officeDocument/2006/relationships/image" Id="rId171" Target="media/rId171.png" /><Relationship Type="http://schemas.openxmlformats.org/officeDocument/2006/relationships/image" Id="rId110" Target="media/rId110.png" /><Relationship Type="http://schemas.openxmlformats.org/officeDocument/2006/relationships/image" Id="rId186" Target="media/rId186.png" /><Relationship Type="http://schemas.openxmlformats.org/officeDocument/2006/relationships/image" Id="rId152" Target="media/rId152.png" /><Relationship Type="http://schemas.openxmlformats.org/officeDocument/2006/relationships/image" Id="rId60" Target="media/rId60.png" /><Relationship Type="http://schemas.openxmlformats.org/officeDocument/2006/relationships/image" Id="rId192" Target="media/rId192.png" /><Relationship Type="http://schemas.openxmlformats.org/officeDocument/2006/relationships/image" Id="rId116" Target="media/rId116.png" /><Relationship Type="http://schemas.openxmlformats.org/officeDocument/2006/relationships/image" Id="rId177" Target="media/rId177.png" /><Relationship Type="http://schemas.openxmlformats.org/officeDocument/2006/relationships/image" Id="rId97" Target="media/rId97.png" /><Relationship Type="http://schemas.openxmlformats.org/officeDocument/2006/relationships/image" Id="rId147" Target="media/rId147.png" /><Relationship Type="http://schemas.openxmlformats.org/officeDocument/2006/relationships/image" Id="rId164" Target="media/rId164.png" /><Relationship Type="http://schemas.openxmlformats.org/officeDocument/2006/relationships/image" Id="rId182" Target="media/rId182.png" /><Relationship Type="http://schemas.openxmlformats.org/officeDocument/2006/relationships/image" Id="rId197" Target="media/rId197.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17" Target="https://doi.org/10.1002/sim.8578" TargetMode="External" /><Relationship Type="http://schemas.openxmlformats.org/officeDocument/2006/relationships/hyperlink" Id="rId208" Target="https://doi.org/10.1016/S2666-5247(22)00114-8" TargetMode="External" /><Relationship Type="http://schemas.openxmlformats.org/officeDocument/2006/relationships/hyperlink" Id="rId219" Target="https://doi.org/10.1016/j.epidem.2016.04.001" TargetMode="External" /><Relationship Type="http://schemas.openxmlformats.org/officeDocument/2006/relationships/hyperlink" Id="rId210" Target="https://doi.org/10.1016/j.epidem.2024.100806" TargetMode="External" /><Relationship Type="http://schemas.openxmlformats.org/officeDocument/2006/relationships/hyperlink" Id="rId213" Target="https://doi.org/10.1093/biomet/73.1.13" TargetMode="External" /><Relationship Type="http://schemas.openxmlformats.org/officeDocument/2006/relationships/hyperlink" Id="rId215"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6" Target="https://github.com/UCD-SERG/serocalculator/issues/629" TargetMode="External" /><Relationship Type="http://schemas.openxmlformats.org/officeDocument/2006/relationships/hyperlink" Id="rId145" Target="https://github.com/UCD-SERG/serocalculator/issues/664"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05" Target="https://github.com/UCD-SERG/shigella/pull/13" TargetMode="External" /><Relationship Type="http://schemas.openxmlformats.org/officeDocument/2006/relationships/hyperlink" Id="rId203"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8"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17" Target="https://doi.org/10.1002/sim.8578" TargetMode="External" /><Relationship Type="http://schemas.openxmlformats.org/officeDocument/2006/relationships/hyperlink" Id="rId208" Target="https://doi.org/10.1016/S2666-5247(22)00114-8" TargetMode="External" /><Relationship Type="http://schemas.openxmlformats.org/officeDocument/2006/relationships/hyperlink" Id="rId219" Target="https://doi.org/10.1016/j.epidem.2016.04.001" TargetMode="External" /><Relationship Type="http://schemas.openxmlformats.org/officeDocument/2006/relationships/hyperlink" Id="rId210" Target="https://doi.org/10.1016/j.epidem.2024.100806" TargetMode="External" /><Relationship Type="http://schemas.openxmlformats.org/officeDocument/2006/relationships/hyperlink" Id="rId213" Target="https://doi.org/10.1093/biomet/73.1.13" TargetMode="External" /><Relationship Type="http://schemas.openxmlformats.org/officeDocument/2006/relationships/hyperlink" Id="rId215"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6" Target="https://github.com/UCD-SERG/serocalculator/issues/629" TargetMode="External" /><Relationship Type="http://schemas.openxmlformats.org/officeDocument/2006/relationships/hyperlink" Id="rId145" Target="https://github.com/UCD-SERG/serocalculator/issues/664"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05" Target="https://github.com/UCD-SERG/shigella/pull/13" TargetMode="External" /><Relationship Type="http://schemas.openxmlformats.org/officeDocument/2006/relationships/hyperlink" Id="rId203"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8"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2026-09-09T19:52:43Z</dcterms:created>
  <dcterms:modified xsi:type="dcterms:W3CDTF">2026-09-09T19:52:43Z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