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1.png" ContentType="image/png"/>
  <Override PartName="/word/media/rId125.png" ContentType="image/png"/>
  <Override PartName="/word/media/rId102.svg" ContentType="image/svg+xml"/>
  <Override PartName="/word/media/rId134.png" ContentType="image/png"/>
  <Override PartName="/word/media/rId158.png" ContentType="image/png"/>
  <Override PartName="/word/media/rId170.png" ContentType="image/png"/>
  <Override PartName="/word/media/rId110.png" ContentType="image/png"/>
  <Override PartName="/word/media/rId185.png" ContentType="image/png"/>
  <Override PartName="/word/media/rId151.png" ContentType="image/png"/>
  <Override PartName="/word/media/rId60.png" ContentType="image/png"/>
  <Override PartName="/word/media/rId116.png" ContentType="image/png"/>
  <Override PartName="/word/media/rId176.png" ContentType="image/png"/>
  <Override PartName="/word/media/rId97.png" ContentType="image/png"/>
  <Override PartName="/word/media/rId146.png" ContentType="image/png"/>
  <Override PartName="/word/media/rId163.png" ContentType="image/png"/>
  <Override PartName="/word/media/rId181.png" ContentType="image/png"/>
  <Override PartName="/word/media/rId190.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2026-08-09</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92"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two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5"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p>
            <w:pPr>
              <w:pStyle w:val="FirstParagraph"/>
            </w:pPr>
            <w:r>
              <w:t xml:space="preserve">It is maximized at the same</w:t>
            </w:r>
            <w:r>
              <w:t xml:space="preserve"> </w:t>
            </w:r>
            <m:oMath>
              <m:r>
                <m:t>λ</m:t>
              </m:r>
            </m:oMath>
            <w:r>
              <w:t xml:space="preserve">, and is easier to work with because the</w:t>
            </w:r>
            <w:r>
              <w:t xml:space="preserve"> </w:t>
            </w:r>
            <w:r>
              <w:t xml:space="preserve">logarithm turns products into sums</w:t>
            </w:r>
            <w:r>
              <w:t xml:space="preserve"> </w:t>
            </w:r>
            <w:r>
              <w:t xml:space="preserve">(</w:t>
            </w:r>
            <w:hyperlink r:id="rId54">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bookmarkEnd w:id="5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1" w:name="X5bf3afb032987a059a98cb4220d3ca0c37d3f71"/>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89" w:name="implementation-in-serocalculator"/>
    <w:p>
      <w:pPr>
        <w:pStyle w:val="Heading3"/>
      </w:pPr>
      <w:r>
        <w:t xml:space="preserve">4.16.3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89"/>
    <w:bookmarkStart w:id="90" w:name="effect-on-results"/>
    <w:p>
      <w:pPr>
        <w:pStyle w:val="Heading3"/>
      </w:pPr>
      <w:r>
        <w:t xml:space="preserve">4.16.4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0"/>
    <w:bookmarkEnd w:id="91"/>
    <w:bookmarkEnd w:id="92"/>
    <w:bookmarkStart w:id="12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93"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93"/>
    <w:bookmarkStart w:id="94"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94"/>
    <w:bookmarkStart w:id="95"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95"/>
    <w:bookmarkStart w:id="96"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96"/>
    <w:bookmarkStart w:id="105"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0" w:name="fig-response-graph"/>
          <w:p>
            <w:pPr>
              <w:pStyle w:val="Compact"/>
              <w:jc w:val="center"/>
            </w:pPr>
            <w:r>
              <w:drawing>
                <wp:inline>
                  <wp:extent cx="4620126" cy="3696101"/>
                  <wp:effectExtent b="0" l="0" r="0" t="0"/>
                  <wp:docPr descr="" title="" id="98" name="Picture"/>
                  <a:graphic>
                    <a:graphicData uri="http://schemas.openxmlformats.org/drawingml/2006/picture">
                      <pic:pic>
                        <pic:nvPicPr>
                          <pic:cNvPr descr="methodology_files/figure-docx/fig-response-graph-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0"/>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1">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03" name="Picture"/>
            <a:graphic>
              <a:graphicData uri="http://schemas.openxmlformats.org/drawingml/2006/picture">
                <pic:pic>
                  <pic:nvPicPr>
                    <pic:cNvPr descr="../man/figures/qr_akm2.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05"/>
    <w:bookmarkStart w:id="106"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06"/>
    <w:bookmarkStart w:id="107"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07"/>
    <w:bookmarkStart w:id="108"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08"/>
    <w:bookmarkStart w:id="109"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09"/>
    <w:bookmarkStart w:id="114"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13" w:name="fig-curve-posterior"/>
          <w:p>
            <w:pPr>
              <w:pStyle w:val="Compact"/>
              <w:jc w:val="center"/>
            </w:pPr>
            <w:r>
              <w:drawing>
                <wp:inline>
                  <wp:extent cx="4620126" cy="3696101"/>
                  <wp:effectExtent b="0" l="0" r="0" t="0"/>
                  <wp:docPr descr="" title="" id="111" name="Picture"/>
                  <a:graphic>
                    <a:graphicData uri="http://schemas.openxmlformats.org/drawingml/2006/picture">
                      <pic:pic>
                        <pic:nvPicPr>
                          <pic:cNvPr descr="methodology_files/figure-docx/fig-curve-posterior-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13"/>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14"/>
    <w:bookmarkStart w:id="120"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15">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9" w:name="fig-loglik"/>
          <w:p>
            <w:pPr>
              <w:pStyle w:val="Compact"/>
              <w:jc w:val="center"/>
            </w:pPr>
            <w:r>
              <w:drawing>
                <wp:inline>
                  <wp:extent cx="4620126" cy="3696101"/>
                  <wp:effectExtent b="0" l="0" r="0" t="0"/>
                  <wp:docPr descr="" title="" id="117" name="Picture"/>
                  <a:graphic>
                    <a:graphicData uri="http://schemas.openxmlformats.org/drawingml/2006/picture">
                      <pic:pic>
                        <pic:nvPicPr>
                          <pic:cNvPr descr="methodology_files/figure-docx/fig-loglik-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19"/>
        </w:tc>
      </w:tr>
    </w:tbl>
    <w:bookmarkEnd w:id="120"/>
    <w:bookmarkStart w:id="124"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22" name="Picture"/>
            <a:graphic>
              <a:graphicData uri="http://schemas.openxmlformats.org/drawingml/2006/picture">
                <pic:pic>
                  <pic:nvPicPr>
                    <pic:cNvPr descr="../man/figures/kinetics-variation-1.png" id="123" name="Picture"/>
                    <pic:cNvPicPr>
                      <a:picLocks noChangeArrowheads="1" noChangeAspect="1"/>
                    </pic:cNvPicPr>
                  </pic:nvPicPr>
                  <pic:blipFill>
                    <a:blip r:embed="rId12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24"/>
    <w:bookmarkStart w:id="128"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26" name="Picture"/>
            <a:graphic>
              <a:graphicData uri="http://schemas.openxmlformats.org/drawingml/2006/picture">
                <pic:pic>
                  <pic:nvPicPr>
                    <pic:cNvPr descr="../man/figures/kinetics-variation-2.png" id="127" name="Picture"/>
                    <pic:cNvPicPr>
                      <a:picLocks noChangeArrowheads="1" noChangeAspect="1"/>
                    </pic:cNvPicPr>
                  </pic:nvPicPr>
                  <pic:blipFill>
                    <a:blip r:embed="rId12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28"/>
    <w:bookmarkEnd w:id="129"/>
    <w:bookmarkStart w:id="141" w:name="estimating-the-curves-with-serodynamics"/>
    <w:p>
      <w:pPr>
        <w:pStyle w:val="Heading1"/>
      </w:pPr>
      <w:r>
        <w:t xml:space="preserve">6. Estimating the curves with</w:t>
      </w:r>
      <w:r>
        <w:t xml:space="preserve"> </w:t>
      </w:r>
      <w:r>
        <w:rPr>
          <w:rStyle w:val="VerbatimChar"/>
        </w:rPr>
        <w:t xml:space="preserve">serodynamics</w:t>
      </w:r>
    </w:p>
    <w:bookmarkStart w:id="13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1"/>
        </w:numPr>
      </w:pPr>
      <w:r>
        <w:t xml:space="preserve">baseline antibody level (</w:t>
      </w:r>
      <m:oMath>
        <m:sSub>
          <m:e>
            <m:r>
              <m:t>y</m:t>
            </m:r>
          </m:e>
          <m:sub>
            <m:r>
              <m:t>0</m:t>
            </m:r>
          </m:sub>
        </m:sSub>
      </m:oMath>
      <w:r>
        <w:t xml:space="preserve">)</w:t>
      </w:r>
    </w:p>
    <w:p>
      <w:pPr>
        <w:pStyle w:val="Compact"/>
        <w:numPr>
          <w:ilvl w:val="0"/>
          <w:numId w:val="1031"/>
        </w:numPr>
      </w:pPr>
      <w:r>
        <w:t xml:space="preserve">peak concentration (</w:t>
      </w:r>
      <m:oMath>
        <m:sSub>
          <m:e>
            <m:r>
              <m:t>y</m:t>
            </m:r>
          </m:e>
          <m:sub>
            <m:r>
              <m:t>1</m:t>
            </m:r>
          </m:sub>
        </m:sSub>
      </m:oMath>
      <w:r>
        <w:t xml:space="preserve">)</w:t>
      </w:r>
    </w:p>
    <w:p>
      <w:pPr>
        <w:pStyle w:val="Compact"/>
        <w:numPr>
          <w:ilvl w:val="0"/>
          <w:numId w:val="1031"/>
        </w:numPr>
      </w:pPr>
      <w:r>
        <w:t xml:space="preserve">time to peak (</w:t>
      </w:r>
      <m:oMath>
        <m:sSub>
          <m:e>
            <m:r>
              <m:t>t</m:t>
            </m:r>
          </m:e>
          <m:sub>
            <m:r>
              <m:t>1</m:t>
            </m:r>
          </m:sub>
        </m:sSub>
      </m:oMath>
      <w:r>
        <w:t xml:space="preserve">)</w:t>
      </w:r>
    </w:p>
    <w:p>
      <w:pPr>
        <w:pStyle w:val="Compact"/>
        <w:numPr>
          <w:ilvl w:val="0"/>
          <w:numId w:val="1031"/>
        </w:numPr>
      </w:pPr>
      <w:r>
        <w:t xml:space="preserve">decay rate (</w:t>
      </w:r>
      <m:oMath>
        <m:r>
          <m:t>α</m:t>
        </m:r>
      </m:oMath>
      <w:r>
        <w:t xml:space="preserve">)</w:t>
      </w:r>
    </w:p>
    <w:p>
      <w:pPr>
        <w:pStyle w:val="Compact"/>
        <w:numPr>
          <w:ilvl w:val="0"/>
          <w:numId w:val="1031"/>
        </w:numPr>
      </w:pPr>
      <w:r>
        <w:t xml:space="preserve">decay shape (</w:t>
      </w:r>
      <m:oMath>
        <m:r>
          <m:t>r</m:t>
        </m:r>
      </m:oMath>
      <w:r>
        <w:t xml:space="preserve">)</w:t>
      </w:r>
    </w:p>
    <w:bookmarkEnd w:id="130"/>
    <w:bookmarkStart w:id="13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32"/>
    <w:bookmarkStart w:id="13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33"/>
    <w:bookmarkStart w:id="13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35" name="Picture"/>
            <a:graphic>
              <a:graphicData uri="http://schemas.openxmlformats.org/drawingml/2006/picture">
                <pic:pic>
                  <pic:nvPicPr>
                    <pic:cNvPr descr="../man/figures/serodynamics-cached-fi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37"/>
    <w:bookmarkStart w:id="138" w:name="two-packages-one-pipeline"/>
    <w:p>
      <w:pPr>
        <w:pStyle w:val="Heading2"/>
      </w:pPr>
      <w:r>
        <w:t xml:space="preserve">6.5 Two packages, one pipeline</w:t>
      </w:r>
    </w:p>
    <w:p>
      <w:pPr>
        <w:pStyle w:val="Compact"/>
        <w:numPr>
          <w:ilvl w:val="0"/>
          <w:numId w:val="1032"/>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2"/>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38"/>
    <w:bookmarkStart w:id="13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3"/>
        </w:numPr>
      </w:pPr>
      <w:r>
        <w:rPr>
          <w:b/>
          <w:bCs/>
        </w:rPr>
        <w:t xml:space="preserve">estimation uncertainty</w:t>
      </w:r>
      <w:r>
        <w:t xml:space="preserve"> </w:t>
      </w:r>
      <w:r>
        <w:t xml:space="preserve">in the kinetics parameters, and</w:t>
      </w:r>
    </w:p>
    <w:p>
      <w:pPr>
        <w:pStyle w:val="Compact"/>
        <w:numPr>
          <w:ilvl w:val="0"/>
          <w:numId w:val="1033"/>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39"/>
    <w:bookmarkStart w:id="14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4"/>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4"/>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0"/>
    <w:bookmarkEnd w:id="141"/>
    <w:bookmarkStart w:id="162" w:name="using-serocalculator"/>
    <w:p>
      <w:pPr>
        <w:pStyle w:val="Heading1"/>
      </w:pPr>
      <w:r>
        <w:t xml:space="preserve">7. Using</w:t>
      </w:r>
      <w:r>
        <w:t xml:space="preserve"> </w:t>
      </w:r>
      <w:r>
        <w:rPr>
          <w:rStyle w:val="VerbatimChar"/>
        </w:rPr>
        <w:t xml:space="preserve">serocalculator</w:t>
      </w:r>
    </w:p>
    <w:bookmarkStart w:id="14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42">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43"/>
    <w:bookmarkStart w:id="144"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5"/>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5"/>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5"/>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44"/>
    <w:bookmarkStart w:id="145"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45"/>
    <w:bookmarkStart w:id="150"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49" w:name="fig-sim-distribution"/>
          <w:p>
            <w:pPr>
              <w:pStyle w:val="Compact"/>
              <w:jc w:val="center"/>
            </w:pPr>
            <w:r>
              <w:drawing>
                <wp:inline>
                  <wp:extent cx="4620126" cy="3696101"/>
                  <wp:effectExtent b="0" l="0" r="0" t="0"/>
                  <wp:docPr descr="" title="" id="147" name="Picture"/>
                  <a:graphic>
                    <a:graphicData uri="http://schemas.openxmlformats.org/drawingml/2006/picture">
                      <pic:pic>
                        <pic:nvPicPr>
                          <pic:cNvPr descr="methodology_files/figure-docx/fig-sim-distribution-1.png" id="148" name="Picture"/>
                          <pic:cNvPicPr>
                            <a:picLocks noChangeArrowheads="1" noChangeAspect="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49"/>
        </w:tc>
      </w:tr>
    </w:tbl>
    <w:bookmarkEnd w:id="150"/>
    <w:bookmarkStart w:id="155"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54" w:name="fig-est-single-loglik"/>
          <w:p>
            <w:pPr>
              <w:pStyle w:val="Compact"/>
              <w:jc w:val="center"/>
            </w:pPr>
            <w:r>
              <w:drawing>
                <wp:inline>
                  <wp:extent cx="4620126" cy="3696101"/>
                  <wp:effectExtent b="0" l="0" r="0" t="0"/>
                  <wp:docPr descr="" title="" id="152" name="Picture"/>
                  <a:graphic>
                    <a:graphicData uri="http://schemas.openxmlformats.org/drawingml/2006/picture">
                      <pic:pic>
                        <pic:nvPicPr>
                          <pic:cNvPr descr="methodology_files/figure-docx/fig-est-single-loglik-1.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54"/>
        </w:tc>
      </w:tr>
    </w:tbl>
    <w:bookmarkEnd w:id="155"/>
    <w:bookmarkStart w:id="156"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56"/>
    <w:bookmarkStart w:id="161" w:name="interactive-shiny-app"/>
    <w:p>
      <w:pPr>
        <w:pStyle w:val="Heading2"/>
      </w:pPr>
      <w:r>
        <w:t xml:space="preserve">7.7 Interactive Shiny app</w:t>
      </w:r>
    </w:p>
    <w:p>
      <w:pPr>
        <w:pStyle w:val="FirstParagraph"/>
      </w:pPr>
      <w:r>
        <w:t xml:space="preserve">A point-and-click interface is available at</w:t>
      </w:r>
      <w:r>
        <w:t xml:space="preserve"> </w:t>
      </w:r>
      <w:hyperlink r:id="rId157">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59" name="Picture"/>
            <a:graphic>
              <a:graphicData uri="http://schemas.openxmlformats.org/drawingml/2006/picture">
                <pic:pic>
                  <pic:nvPicPr>
                    <pic:cNvPr descr="../man/figures/shiny-serocalculator.png" id="160" name="Picture"/>
                    <pic:cNvPicPr>
                      <a:picLocks noChangeArrowheads="1" noChangeAspect="1"/>
                    </pic:cNvPicPr>
                  </pic:nvPicPr>
                  <pic:blipFill>
                    <a:blip r:embed="rId158"/>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1"/>
    <w:bookmarkEnd w:id="162"/>
    <w:bookmarkStart w:id="195" w:name="sec-validation"/>
    <w:p>
      <w:pPr>
        <w:pStyle w:val="Heading1"/>
      </w:pPr>
      <w:r>
        <w:t xml:space="preserve">8. Validation: recovering known incidence rates</w:t>
      </w:r>
    </w:p>
    <w:bookmarkStart w:id="167"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66" w:name="fig-sim-multi-distribution"/>
          <w:p>
            <w:pPr>
              <w:pStyle w:val="Compact"/>
              <w:jc w:val="center"/>
            </w:pPr>
            <w:r>
              <w:drawing>
                <wp:inline>
                  <wp:extent cx="4620126" cy="4620126"/>
                  <wp:effectExtent b="0" l="0" r="0" t="0"/>
                  <wp:docPr descr="" title="" id="164" name="Picture"/>
                  <a:graphic>
                    <a:graphicData uri="http://schemas.openxmlformats.org/drawingml/2006/picture">
                      <pic:pic>
                        <pic:nvPicPr>
                          <pic:cNvPr descr="methodology_files/figure-docx/fig-sim-multi-distribution-1.png" id="165" name="Picture"/>
                          <pic:cNvPicPr>
                            <a:picLocks noChangeArrowheads="1" noChangeAspect="1"/>
                          </pic:cNvPicPr>
                        </pic:nvPicPr>
                        <pic:blipFill>
                          <a:blip r:embed="rId163"/>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66"/>
        </w:tc>
      </w:tr>
    </w:tbl>
    <w:bookmarkEnd w:id="167"/>
    <w:bookmarkStart w:id="169"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68"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68"/>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69"/>
    <w:bookmarkStart w:id="174"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73" w:name="fig-cluster-logliks"/>
          <w:p>
            <w:pPr>
              <w:pStyle w:val="Compact"/>
              <w:jc w:val="center"/>
            </w:pPr>
            <w:r>
              <w:drawing>
                <wp:inline>
                  <wp:extent cx="4620126" cy="6468176"/>
                  <wp:effectExtent b="0" l="0" r="0" t="0"/>
                  <wp:docPr descr="" title="" id="171" name="Picture"/>
                  <a:graphic>
                    <a:graphicData uri="http://schemas.openxmlformats.org/drawingml/2006/picture">
                      <pic:pic>
                        <pic:nvPicPr>
                          <pic:cNvPr descr="methodology_files/figure-docx/fig-cluster-logliks-1.png" id="172" name="Picture"/>
                          <pic:cNvPicPr>
                            <a:picLocks noChangeArrowheads="1" noChangeAspect="1"/>
                          </pic:cNvPicPr>
                        </pic:nvPicPr>
                        <pic:blipFill>
                          <a:blip r:embed="rId170"/>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73"/>
        </w:tc>
      </w:tr>
    </w:tbl>
    <w:bookmarkEnd w:id="174"/>
    <w:bookmarkStart w:id="180"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6"/>
        </w:numPr>
      </w:pPr>
      <w:r>
        <w:t xml:space="preserve">code 3: decrease</w:t>
      </w:r>
      <w:r>
        <w:t xml:space="preserve"> </w:t>
      </w:r>
      <w:r>
        <w:rPr>
          <w:rStyle w:val="VerbatimChar"/>
        </w:rPr>
        <w:t xml:space="preserve">stepmin</w:t>
      </w:r>
    </w:p>
    <w:p>
      <w:pPr>
        <w:pStyle w:val="Compact"/>
        <w:numPr>
          <w:ilvl w:val="0"/>
          <w:numId w:val="1036"/>
        </w:numPr>
      </w:pPr>
      <w:r>
        <w:t xml:space="preserve">code 4: increase</w:t>
      </w:r>
      <w:r>
        <w:t xml:space="preserve"> </w:t>
      </w:r>
      <w:r>
        <w:rPr>
          <w:rStyle w:val="VerbatimChar"/>
        </w:rPr>
        <w:t xml:space="preserve">iterlim</w:t>
      </w:r>
    </w:p>
    <w:p>
      <w:pPr>
        <w:pStyle w:val="Compact"/>
        <w:numPr>
          <w:ilvl w:val="0"/>
          <w:numId w:val="1036"/>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75">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79" w:name="fig-problem-strata"/>
          <w:p>
            <w:pPr>
              <w:pStyle w:val="Compact"/>
              <w:jc w:val="center"/>
            </w:pPr>
            <w:r>
              <w:drawing>
                <wp:inline>
                  <wp:extent cx="4620126" cy="6468176"/>
                  <wp:effectExtent b="0" l="0" r="0" t="0"/>
                  <wp:docPr descr="" title="" id="177" name="Picture"/>
                  <a:graphic>
                    <a:graphicData uri="http://schemas.openxmlformats.org/drawingml/2006/picture">
                      <pic:pic>
                        <pic:nvPicPr>
                          <pic:cNvPr descr="methodology_files/figure-docx/fig-problem-strata-1.png" id="178" name="Picture"/>
                          <pic:cNvPicPr>
                            <a:picLocks noChangeArrowheads="1" noChangeAspect="1"/>
                          </pic:cNvPicPr>
                        </pic:nvPicPr>
                        <pic:blipFill>
                          <a:blip r:embed="rId176"/>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79"/>
        </w:tc>
      </w:tr>
    </w:tbl>
    <w:bookmarkEnd w:id="180"/>
    <w:bookmarkStart w:id="189"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84" w:name="fig-sim-recovery"/>
          <w:p>
            <w:pPr>
              <w:pStyle w:val="Compact"/>
              <w:jc w:val="center"/>
            </w:pPr>
            <w:r>
              <w:drawing>
                <wp:inline>
                  <wp:extent cx="4620126" cy="3696101"/>
                  <wp:effectExtent b="0" l="0" r="0" t="0"/>
                  <wp:docPr descr="" title="" id="182" name="Picture"/>
                  <a:graphic>
                    <a:graphicData uri="http://schemas.openxmlformats.org/drawingml/2006/picture">
                      <pic:pic>
                        <pic:nvPicPr>
                          <pic:cNvPr descr="methodology_files/figure-docx/fig-sim-recovery-1.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84"/>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88" w:name="fig-empirical-se"/>
          <w:p>
            <w:pPr>
              <w:pStyle w:val="Compact"/>
              <w:jc w:val="center"/>
            </w:pPr>
            <w:r>
              <w:drawing>
                <wp:inline>
                  <wp:extent cx="4620126" cy="3696101"/>
                  <wp:effectExtent b="0" l="0" r="0" t="0"/>
                  <wp:docPr descr="" title="" id="186" name="Picture"/>
                  <a:graphic>
                    <a:graphicData uri="http://schemas.openxmlformats.org/drawingml/2006/picture">
                      <pic:pic>
                        <pic:nvPicPr>
                          <pic:cNvPr descr="methodology_files/figure-docx/fig-empirical-se-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88"/>
        </w:tc>
      </w:tr>
    </w:tbl>
    <w:bookmarkEnd w:id="189"/>
    <w:bookmarkStart w:id="194"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93" w:name="fig-sim-recovery-renew"/>
          <w:p>
            <w:pPr>
              <w:pStyle w:val="Compact"/>
              <w:jc w:val="center"/>
            </w:pPr>
            <w:r>
              <w:drawing>
                <wp:inline>
                  <wp:extent cx="4620126" cy="3696101"/>
                  <wp:effectExtent b="0" l="0" r="0" t="0"/>
                  <wp:docPr descr="" title="" id="191" name="Picture"/>
                  <a:graphic>
                    <a:graphicData uri="http://schemas.openxmlformats.org/drawingml/2006/picture">
                      <pic:pic>
                        <pic:nvPicPr>
                          <pic:cNvPr descr="methodology_files/figure-docx/fig-sim-recovery-renew-1.png" id="192" name="Picture"/>
                          <pic:cNvPicPr>
                            <a:picLocks noChangeArrowheads="1" noChangeAspect="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93"/>
        </w:tc>
      </w:tr>
    </w:tbl>
    <w:bookmarkEnd w:id="194"/>
    <w:bookmarkEnd w:id="195"/>
    <w:bookmarkStart w:id="200" w:name="ongoing-and-future-work"/>
    <w:p>
      <w:pPr>
        <w:pStyle w:val="Heading1"/>
      </w:pPr>
      <w:r>
        <w:t xml:space="preserve">9. Ongoing and future work</w:t>
      </w:r>
    </w:p>
    <w:bookmarkStart w:id="197" w:name="in-progress-work"/>
    <w:p>
      <w:pPr>
        <w:pStyle w:val="Heading2"/>
      </w:pPr>
      <w:r>
        <w:t xml:space="preserve">9.1 In-progress work</w:t>
      </w:r>
    </w:p>
    <w:p>
      <w:pPr>
        <w:numPr>
          <w:ilvl w:val="0"/>
          <w:numId w:val="1037"/>
        </w:numPr>
      </w:pPr>
      <w:r>
        <w:t xml:space="preserve">Extending and improving existing Shiny apps for these methods</w:t>
      </w:r>
      <w:r>
        <w:t xml:space="preserve"> </w:t>
      </w:r>
      <w:r>
        <w:t xml:space="preserve">(e.g., the</w:t>
      </w:r>
      <w:r>
        <w:t xml:space="preserve"> </w:t>
      </w:r>
      <w:hyperlink r:id="rId157">
        <w:r>
          <w:rPr>
            <w:rStyle w:val="Hyperlink"/>
          </w:rPr>
          <w:t xml:space="preserve">serocalculator Shiny app</w:t>
        </w:r>
      </w:hyperlink>
      <w:r>
        <w:t xml:space="preserve">,</w:t>
      </w:r>
      <w:r>
        <w:t xml:space="preserve"> </w:t>
      </w:r>
      <w:hyperlink r:id="rId196">
        <w:r>
          <w:rPr>
            <w:rStyle w:val="Hyperlink"/>
          </w:rPr>
          <w:t xml:space="preserve">source</w:t>
        </w:r>
      </w:hyperlink>
      <w:r>
        <w:t xml:space="preserve">)</w:t>
      </w:r>
    </w:p>
    <w:p>
      <w:pPr>
        <w:numPr>
          <w:ilvl w:val="0"/>
          <w:numId w:val="1037"/>
        </w:numPr>
      </w:pPr>
      <w:r>
        <w:t xml:space="preserve">Multivariate modeling of biomarkers (relaxing conditional independence)</w:t>
      </w:r>
    </w:p>
    <w:p>
      <w:pPr>
        <w:numPr>
          <w:ilvl w:val="0"/>
          <w:numId w:val="1037"/>
        </w:numPr>
      </w:pPr>
      <w:r>
        <w:t xml:space="preserve">A graphical (Shiny) app for</w:t>
      </w:r>
      <w:r>
        <w:t xml:space="preserve"> </w:t>
      </w:r>
      <w:r>
        <w:rPr>
          <w:rStyle w:val="VerbatimChar"/>
        </w:rPr>
        <w:t xml:space="preserve">serodynamics</w:t>
      </w:r>
    </w:p>
    <w:p>
      <w:pPr>
        <w:numPr>
          <w:ilvl w:val="0"/>
          <w:numId w:val="1037"/>
        </w:numPr>
      </w:pPr>
      <w:r>
        <w:t xml:space="preserve">Modeling time-varying incidence rates</w:t>
      </w:r>
    </w:p>
    <w:p>
      <w:pPr>
        <w:numPr>
          <w:ilvl w:val="0"/>
          <w:numId w:val="1037"/>
        </w:numPr>
      </w:pPr>
      <w:r>
        <w:t xml:space="preserve">Accounting for re-exposure</w:t>
      </w:r>
    </w:p>
    <w:p>
      <w:pPr>
        <w:numPr>
          <w:ilvl w:val="0"/>
          <w:numId w:val="1037"/>
        </w:numPr>
      </w:pPr>
      <w:r>
        <w:t xml:space="preserve">Accounting for latent immunocompromised subpopulations</w:t>
      </w:r>
    </w:p>
    <w:p>
      <w:pPr>
        <w:numPr>
          <w:ilvl w:val="0"/>
          <w:numId w:val="1037"/>
        </w:numPr>
      </w:pPr>
      <w:r>
        <w:t xml:space="preserve">Calibrating to population demographics</w:t>
      </w:r>
    </w:p>
    <w:bookmarkEnd w:id="197"/>
    <w:bookmarkStart w:id="19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98">
        <w:r>
          <w:rPr>
            <w:rStyle w:val="Hyperlink"/>
          </w:rPr>
          <w:t xml:space="preserve">UCD-SERG/shigella#13</w:t>
        </w:r>
      </w:hyperlink>
      <w:r>
        <w:t xml:space="preserve">).</w:t>
      </w:r>
    </w:p>
    <w:bookmarkEnd w:id="199"/>
    <w:bookmarkEnd w:id="200"/>
    <w:bookmarkStart w:id="217" w:name="references"/>
    <w:p>
      <w:pPr>
        <w:pStyle w:val="Heading1"/>
      </w:pPr>
      <w:r>
        <w:t xml:space="preserve">References</w:t>
      </w:r>
    </w:p>
    <w:bookmarkStart w:id="216" w:name="refs"/>
    <w:bookmarkStart w:id="20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01">
        <w:r>
          <w:rPr>
            <w:rStyle w:val="Hyperlink"/>
          </w:rPr>
          <w:t xml:space="preserve">https://doi.org/10.1016/S2666-5247(22)00114-8</w:t>
        </w:r>
      </w:hyperlink>
      <w:r>
        <w:t xml:space="preserve">.</w:t>
      </w:r>
    </w:p>
    <w:bookmarkEnd w:id="202"/>
    <w:bookmarkStart w:id="20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03">
        <w:r>
          <w:rPr>
            <w:rStyle w:val="Hyperlink"/>
          </w:rPr>
          <w:t xml:space="preserve">https://doi.org/10.1016/j.epidem.2024.100806</w:t>
        </w:r>
      </w:hyperlink>
      <w:r>
        <w:t xml:space="preserve">.</w:t>
      </w:r>
    </w:p>
    <w:bookmarkEnd w:id="204"/>
    <w:bookmarkStart w:id="205"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05"/>
    <w:bookmarkStart w:id="207"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06">
        <w:r>
          <w:rPr>
            <w:rStyle w:val="Hyperlink"/>
          </w:rPr>
          <w:t xml:space="preserve">https://doi.org/10.1093/biomet/73.1.13</w:t>
        </w:r>
      </w:hyperlink>
      <w:r>
        <w:t xml:space="preserve">.</w:t>
      </w:r>
    </w:p>
    <w:bookmarkEnd w:id="207"/>
    <w:bookmarkStart w:id="209"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08">
        <w:r>
          <w:rPr>
            <w:rStyle w:val="Hyperlink"/>
          </w:rPr>
          <w:t xml:space="preserve">https://doi.org/10.1159/000286345</w:t>
        </w:r>
      </w:hyperlink>
      <w:r>
        <w:t xml:space="preserve">.</w:t>
      </w:r>
    </w:p>
    <w:bookmarkEnd w:id="209"/>
    <w:bookmarkStart w:id="21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10">
        <w:r>
          <w:rPr>
            <w:rStyle w:val="Hyperlink"/>
          </w:rPr>
          <w:t xml:space="preserve">https://doi.org/10.1002/sim.8578</w:t>
        </w:r>
      </w:hyperlink>
      <w:r>
        <w:t xml:space="preserve">.</w:t>
      </w:r>
    </w:p>
    <w:bookmarkEnd w:id="211"/>
    <w:bookmarkStart w:id="21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12">
        <w:r>
          <w:rPr>
            <w:rStyle w:val="Hyperlink"/>
          </w:rPr>
          <w:t xml:space="preserve">https://doi.org/10.1016/j.epidem.2016.04.001</w:t>
        </w:r>
      </w:hyperlink>
      <w:r>
        <w:t xml:space="preserve">.</w:t>
      </w:r>
    </w:p>
    <w:bookmarkEnd w:id="213"/>
    <w:bookmarkStart w:id="214"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14"/>
    <w:bookmarkStart w:id="215"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15"/>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02" Target="media/rId102.svg" /><Relationship Type="http://schemas.openxmlformats.org/officeDocument/2006/relationships/image" Id="rId134" Target="media/rId134.png" /><Relationship Type="http://schemas.openxmlformats.org/officeDocument/2006/relationships/image" Id="rId158" Target="media/rId158.png" /><Relationship Type="http://schemas.openxmlformats.org/officeDocument/2006/relationships/image" Id="rId170" Target="media/rId170.png" /><Relationship Type="http://schemas.openxmlformats.org/officeDocument/2006/relationships/image" Id="rId110" Target="media/rId110.png" /><Relationship Type="http://schemas.openxmlformats.org/officeDocument/2006/relationships/image" Id="rId185" Target="media/rId185.png" /><Relationship Type="http://schemas.openxmlformats.org/officeDocument/2006/relationships/image" Id="rId151" Target="media/rId151.png" /><Relationship Type="http://schemas.openxmlformats.org/officeDocument/2006/relationships/image" Id="rId60" Target="media/rId60.png" /><Relationship Type="http://schemas.openxmlformats.org/officeDocument/2006/relationships/image" Id="rId116" Target="media/rId116.png" /><Relationship Type="http://schemas.openxmlformats.org/officeDocument/2006/relationships/image" Id="rId176" Target="media/rId176.png" /><Relationship Type="http://schemas.openxmlformats.org/officeDocument/2006/relationships/image" Id="rId97" Target="media/rId97.png" /><Relationship Type="http://schemas.openxmlformats.org/officeDocument/2006/relationships/image" Id="rId146" Target="media/rId146.png" /><Relationship Type="http://schemas.openxmlformats.org/officeDocument/2006/relationships/image" Id="rId163" Target="media/rId163.png" /><Relationship Type="http://schemas.openxmlformats.org/officeDocument/2006/relationships/image" Id="rId181" Target="media/rId181.png" /><Relationship Type="http://schemas.openxmlformats.org/officeDocument/2006/relationships/image" Id="rId190" Target="media/rId190.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4" Target="https://d-morrison.github.io/rme/chapters/math-prereqs.html#thm-log-prod" TargetMode="External" /><Relationship Type="http://schemas.openxmlformats.org/officeDocument/2006/relationships/hyperlink" Id="rId210" Target="https://doi.org/10.1002/sim.8578" TargetMode="External" /><Relationship Type="http://schemas.openxmlformats.org/officeDocument/2006/relationships/hyperlink" Id="rId201" Target="https://doi.org/10.1016/S2666-5247(22)00114-8" TargetMode="External" /><Relationship Type="http://schemas.openxmlformats.org/officeDocument/2006/relationships/hyperlink" Id="rId212" Target="https://doi.org/10.1016/j.epidem.2016.04.001" TargetMode="External" /><Relationship Type="http://schemas.openxmlformats.org/officeDocument/2006/relationships/hyperlink" Id="rId203" Target="https://doi.org/10.1016/j.epidem.2024.100806" TargetMode="External" /><Relationship Type="http://schemas.openxmlformats.org/officeDocument/2006/relationships/hyperlink" Id="rId206" Target="https://doi.org/10.1093/biomet/73.1.13" TargetMode="External" /><Relationship Type="http://schemas.openxmlformats.org/officeDocument/2006/relationships/hyperlink" Id="rId208"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15" Target="https://github.com/UCD-SERG/serocalculator/issues/637"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98" Target="https://github.com/UCD-SERG/shigella/pull/13" TargetMode="External" /><Relationship Type="http://schemas.openxmlformats.org/officeDocument/2006/relationships/hyperlink" Id="rId196"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4" Target="https://d-morrison.github.io/rme/chapters/math-prereqs.html#thm-log-prod" TargetMode="External" /><Relationship Type="http://schemas.openxmlformats.org/officeDocument/2006/relationships/hyperlink" Id="rId210" Target="https://doi.org/10.1002/sim.8578" TargetMode="External" /><Relationship Type="http://schemas.openxmlformats.org/officeDocument/2006/relationships/hyperlink" Id="rId201" Target="https://doi.org/10.1016/S2666-5247(22)00114-8" TargetMode="External" /><Relationship Type="http://schemas.openxmlformats.org/officeDocument/2006/relationships/hyperlink" Id="rId212" Target="https://doi.org/10.1016/j.epidem.2016.04.001" TargetMode="External" /><Relationship Type="http://schemas.openxmlformats.org/officeDocument/2006/relationships/hyperlink" Id="rId203" Target="https://doi.org/10.1016/j.epidem.2024.100806" TargetMode="External" /><Relationship Type="http://schemas.openxmlformats.org/officeDocument/2006/relationships/hyperlink" Id="rId206" Target="https://doi.org/10.1093/biomet/73.1.13" TargetMode="External" /><Relationship Type="http://schemas.openxmlformats.org/officeDocument/2006/relationships/hyperlink" Id="rId208"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15" Target="https://github.com/UCD-SERG/serocalculator/issues/637"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98" Target="https://github.com/UCD-SERG/shigella/pull/13" TargetMode="External" /><Relationship Type="http://schemas.openxmlformats.org/officeDocument/2006/relationships/hyperlink" Id="rId196"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2026-08-09T22:03:32Z</dcterms:created>
  <dcterms:modified xsi:type="dcterms:W3CDTF">2026-08-09T22:03:32Z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