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9.png" ContentType="image/png"/>
  <Override PartName="/word/media/rId133.png" ContentType="image/png"/>
  <Override PartName="/word/media/rId110.svg" ContentType="image/svg+xml"/>
  <Override PartName="/word/media/rId142.png" ContentType="image/png"/>
  <Override PartName="/word/media/rId166.png" ContentType="image/png"/>
  <Override PartName="/word/media/rId178.png" ContentType="image/png"/>
  <Override PartName="/word/media/rId118.png" ContentType="image/png"/>
  <Override PartName="/word/media/rId193.png" ContentType="image/png"/>
  <Override PartName="/word/media/rId159.png" ContentType="image/png"/>
  <Override PartName="/word/media/rId60.png" ContentType="image/png"/>
  <Override PartName="/word/media/rId199.png" ContentType="image/png"/>
  <Override PartName="/word/media/rId124.png" ContentType="image/png"/>
  <Override PartName="/word/media/rId184.png" ContentType="image/png"/>
  <Override PartName="/word/media/rId105.png" ContentType="image/png"/>
  <Override PartName="/word/media/rId154.png" ContentType="image/png"/>
  <Override PartName="/word/media/rId171.png" ContentType="image/png"/>
  <Override PartName="/word/media/rId189.png" ContentType="image/png"/>
  <Override PartName="/word/media/rId204.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2026-10-08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100"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9"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 —</w:t>
            </w:r>
            <w:r>
              <w:t xml:space="preserve"> </w:t>
            </w:r>
            <w:r>
              <w:rPr>
                <w:rStyle w:val="VerbatimChar"/>
              </w:rPr>
              <w:t xml:space="preserve">serocalculator</w:t>
            </w:r>
            <w:r>
              <w:t xml:space="preserve"> </w:t>
            </w:r>
            <w:r>
              <w:t xml:space="preserve">obtains it from</w:t>
            </w:r>
            <w:r>
              <w:t xml:space="preserve"> </w:t>
            </w:r>
            <w:r>
              <w:rPr>
                <w:rStyle w:val="VerbatimChar"/>
              </w:rPr>
              <w:t xml:space="preserve">stats::nlm()</w:t>
            </w:r>
            <w:r>
              <w:t xml:space="preserve">’s own</w:t>
            </w:r>
            <w:r>
              <w:t xml:space="preserve"> </w:t>
            </w:r>
            <w:r>
              <w:rPr>
                <w:rStyle w:val="VerbatimChar"/>
              </w:rPr>
              <w:t xml:space="preserve">hessian</w:t>
            </w:r>
            <w:r>
              <w:t xml:space="preserve"> </w:t>
            </w:r>
            <w:r>
              <w:t xml:space="preserve">output.</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91" w:name="multi-way-clustering"/>
    <w:p>
      <w:pPr>
        <w:pStyle w:val="Heading3"/>
      </w:pPr>
      <w:r>
        <w:t xml:space="preserve">4.16.3 Multi-way clustering</w:t>
      </w:r>
    </w:p>
    <w:p>
      <w:pPr>
        <w:pStyle w:val="FirstParagraph"/>
      </w:pPr>
      <w:r>
        <w:t xml:space="preserve">When</w:t>
      </w:r>
      <w:r>
        <w:t xml:space="preserve"> </w:t>
      </w:r>
      <w:r>
        <w:rPr>
          <w:rStyle w:val="VerbatimChar"/>
        </w:rPr>
        <w:t xml:space="preserve">cluster_var</w:t>
      </w:r>
      <w:r>
        <w:t xml:space="preserve"> </w:t>
      </w:r>
      <w:r>
        <w:t xml:space="preserve">names more than one variable,</w:t>
      </w:r>
      <w:r>
        <w:t xml:space="preserve"> </w:t>
      </w:r>
      <w:r>
        <w:rPr>
          <w:rStyle w:val="VerbatimChar"/>
        </w:rPr>
        <w:t xml:space="preserve">serocalculator</w:t>
      </w:r>
      <w:r>
        <w:t xml:space="preserve"> </w:t>
      </w:r>
      <w:r>
        <w:t xml:space="preserve">does not collapse them into a single interaction.</w:t>
      </w:r>
      <w:r>
        <w:t xml:space="preserve"> </w:t>
      </w:r>
      <w:r>
        <w:t xml:space="preserve">Instead it applies the inclusion-exclusion identity of</w:t>
      </w:r>
      <w:r>
        <w:t xml:space="preserve"> </w:t>
      </w:r>
      <w:r>
        <w:t xml:space="preserve">Cameron, Gelbach, and Miller (2011)</w:t>
      </w:r>
      <w:r>
        <w:t xml:space="preserve"> </w:t>
      </w:r>
      <w:r>
        <w:t xml:space="preserve">(Cameron et al. 2011)</w:t>
      </w:r>
      <w:r>
        <w:t xml:space="preserve"> </w:t>
      </w:r>
      <w:r>
        <w:t xml:space="preserve">for multi-way cluster-robust variance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(Multi-way clustering-robust variance)</w:t>
            </w:r>
          </w:p>
          <w:bookmarkStart w:id="89" w:name="def-multiway-clustering-variance"/>
          <w:p>
            <w:pPr>
              <w:pStyle w:val="BodyText"/>
            </w:pPr>
            <w:r>
              <w:rPr>
                <w:b/>
                <w:bCs/>
              </w:rPr>
              <w:t xml:space="preserve">Definition 9 (Multi-way clustering-robust variance)</w:t>
            </w:r>
            <w:r>
              <w:t xml:space="preserve"> </w:t>
            </w:r>
            <w:r>
              <w:t xml:space="preserve">Let</w:t>
            </w:r>
            <w:r>
              <w:t xml:space="preserve"> </w:t>
            </w:r>
            <m:oMath>
              <m:r>
                <m:rPr>
                  <m:scr m:val="script"/>
                  <m:sty m:val="p"/>
                </m:rPr>
                <m:t>K</m:t>
              </m:r>
              <m:r>
                <m:rPr>
                  <m:sty m:val="p"/>
                </m:rPr>
                <m:t>=</m:t>
              </m:r>
              <m:r>
                <m:rPr>
                  <m:sty m:val="p"/>
                </m:rPr>
                <m:t>{</m:t>
              </m:r>
              <m:sSub>
                <m:e>
                  <m:r>
                    <m:t>k</m:t>
                  </m:r>
                </m:e>
                <m:sub>
                  <m:r>
                    <m:t>1</m:t>
                  </m:r>
                </m:sub>
              </m:sSub>
              <m:r>
                <m:rPr>
                  <m:sty m:val="p"/>
                </m:rPr>
                <m:t>,</m:t>
              </m:r>
              <m:r>
                <m:rPr>
                  <m:sty m:val="p"/>
                </m:rPr>
                <m:t>…</m:t>
              </m:r>
              <m:r>
                <m:rPr>
                  <m:sty m:val="p"/>
                </m:rPr>
                <m:t>,</m:t>
              </m:r>
              <m:sSub>
                <m:e>
                  <m:r>
                    <m:t>k</m:t>
                  </m:r>
                </m:e>
                <m:sub>
                  <m:r>
                    <m:t>p</m:t>
                  </m:r>
                </m:sub>
              </m:sSub>
              <m:r>
                <m:rPr>
                  <m:sty m:val="p"/>
                </m:rPr>
                <m:t>}</m:t>
              </m:r>
            </m:oMath>
            <w:r>
              <w:t xml:space="preserve"> </w:t>
            </w:r>
            <w:r>
              <w:t xml:space="preserve">denote the cluster variables.</w:t>
            </w:r>
            <w:r>
              <w:t xml:space="preserve"> </w:t>
            </w:r>
            <w:r>
              <w:t xml:space="preserve">For a non-empty subset</w:t>
            </w:r>
            <w:r>
              <w:t xml:space="preserve"> </w:t>
            </w:r>
            <m:oMath>
              <m:r>
                <m:t>S</m:t>
              </m:r>
              <m:r>
                <m:rPr>
                  <m:sty m:val="p"/>
                </m:rPr>
                <m:t>⊆</m:t>
              </m:r>
              <m:r>
                <m:rPr>
                  <m:scr m:val="script"/>
                  <m:sty m:val="p"/>
                </m:rPr>
                <m:t>K</m:t>
              </m:r>
            </m:oMath>
            <w:r>
              <w:t xml:space="preserve">,</w:t>
            </w:r>
            <w:r>
              <w:t xml:space="preserve"> </w:t>
            </w:r>
            <w:r>
              <w:t xml:space="preserve">let</w:t>
            </w:r>
            <w:r>
              <w:t xml:space="preserve"> </w:t>
            </w:r>
            <m:oMath>
              <m:sSub>
                <m:e>
                  <m:r>
                    <m:t>V</m:t>
                  </m:r>
                </m:e>
                <m:sub>
                  <m:r>
                    <m:t>S</m:t>
                  </m:r>
                </m:sub>
              </m:sSub>
            </m:oMath>
            <w:r>
              <w:t xml:space="preserve"> </w:t>
            </w:r>
            <w:r>
              <w:t xml:space="preserve">be the one-way sandwich variance</w:t>
            </w:r>
            <w:r>
              <w:t xml:space="preserve"> </w:t>
            </w:r>
            <m:oMath>
              <m:sSub>
                <m:e>
                  <m:r>
                    <m:t>V</m:t>
                  </m:r>
                </m:e>
                <m:sub>
                  <m:r>
                    <m:rPr>
                      <m:nor/>
                      <m:sty m:val="p"/>
                    </m:rPr>
                    <m:t>robust</m:t>
                  </m:r>
                </m:sub>
              </m:sSub>
            </m:oMath>
            <w:r>
              <w:t xml:space="preserve"> </w:t>
            </w:r>
            <w:r>
              <w:t xml:space="preserve">(</w:t>
            </w:r>
            <w:hyperlink w:anchor="def-cluster-robust-variance">
              <w:r>
                <w:rPr>
                  <w:rStyle w:val="Hyperlink"/>
                </w:rPr>
                <w:t xml:space="preserve">Definition 8</w:t>
              </w:r>
            </w:hyperlink>
            <w:r>
              <w:t xml:space="preserve">),</w:t>
            </w:r>
            <w:r>
              <w:t xml:space="preserve"> </w:t>
            </w:r>
            <w:r>
              <w:t xml:space="preserve">computed by clustering on the interaction of the variables in</w:t>
            </w:r>
            <w:r>
              <w:t xml:space="preserve"> </w:t>
            </w:r>
            <m:oMath>
              <m:r>
                <m:t>S</m:t>
              </m:r>
            </m:oMath>
            <w:r>
              <w:t xml:space="preserve">.</w:t>
            </w:r>
            <w:r>
              <w:t xml:space="preserve"> </w:t>
            </w:r>
            <w:r>
              <w:t xml:space="preserve">The multi-way variance is the signed sum over every such subset:</w:t>
            </w:r>
          </w:p>
          <w:p>
            <w:pPr>
              <w:pStyle w:val="BodyText"/>
            </w:pPr>
            <m:oMathPara>
              <m:oMathParaPr>
                <m:jc m:val="center"/>
              </m:oMathParaPr>
              <m:oMath>
                <m:sSub>
                  <m:e>
                    <m:r>
                      <m:t>V</m:t>
                    </m:r>
                  </m:e>
                  <m:sub>
                    <m:r>
                      <m:rPr>
                        <m:nor/>
                        <m:sty m:val="p"/>
                      </m:rPr>
                      <m:t>multiway</m:t>
                    </m:r>
                  </m:sub>
                </m:sSub>
                <m:r>
                  <m:rPr>
                    <m:sty m:val="p"/>
                  </m:rPr>
                  <m:t>=</m:t>
                </m:r>
                <m:nary>
                  <m:naryPr>
                    <m:chr m:val="∑"/>
                    <m:limLoc m:val="undOvr"/>
                    <m:subHide m:val="off"/>
                    <m:supHide m:val="on"/>
                  </m:naryPr>
                  <m:sub>
                    <m:r>
                      <m:rPr>
                        <m:sty m:val="p"/>
                      </m:rPr>
                      <m:t>∅</m:t>
                    </m:r>
                    <m:r>
                      <m:rPr>
                        <m:sty m:val="p"/>
                      </m:rPr>
                      <m:t>≠</m:t>
                    </m:r>
                    <m:r>
                      <m:t>S</m:t>
                    </m:r>
                    <m:r>
                      <m:rPr>
                        <m:sty m:val="p"/>
                      </m:rPr>
                      <m:t>⊆</m:t>
                    </m:r>
                    <m:r>
                      <m:rPr>
                        <m:scr m:val="script"/>
                        <m:sty m:val="p"/>
                      </m:rPr>
                      <m:t>K</m:t>
                    </m:r>
                  </m:sub>
                  <m:sup>
                    <m:r>
                      <m:t>​</m:t>
                    </m:r>
                  </m:sup>
                  <m:e>
                    <m:r>
                      <m:rPr>
                        <m:sty m:val="p"/>
                      </m:rPr>
                      <m:t>(</m:t>
                    </m:r>
                  </m:e>
                </m:nary>
                <m:r>
                  <m:rPr>
                    <m:sty m:val="p"/>
                  </m:rPr>
                  <m:t>−</m:t>
                </m:r>
                <m:r>
                  <m:t>1</m:t>
                </m:r>
                <m:sSup>
                  <m:e>
                    <m:r>
                      <m:rPr>
                        <m:sty m:val="p"/>
                      </m:rPr>
                      <m:t>)</m:t>
                    </m:r>
                  </m:e>
                  <m:sup>
                    <m:r>
                      <m:rPr>
                        <m:sty m:val="p"/>
                      </m:rPr>
                      <m:t>|</m:t>
                    </m:r>
                    <m:r>
                      <m:t>S</m:t>
                    </m:r>
                    <m:r>
                      <m:rPr>
                        <m:sty m:val="p"/>
                      </m:rPr>
                      <m:t>|</m:t>
                    </m:r>
                    <m:r>
                      <m:rPr>
                        <m:sty m:val="p"/>
                      </m:rPr>
                      <m:t>+</m:t>
                    </m:r>
                    <m:r>
                      <m:t>1</m:t>
                    </m:r>
                  </m:sup>
                </m:sSup>
                <m:sSub>
                  <m:e>
                    <m:r>
                      <m:t>V</m:t>
                    </m:r>
                  </m:e>
                  <m:sub>
                    <m:r>
                      <m:t>S</m:t>
                    </m:r>
                  </m:sub>
                </m:sSub>
              </m:oMath>
            </m:oMathPara>
          </w:p>
          <w:bookmarkEnd w:id="89"/>
        </w:tc>
      </w:tr>
    </w:tbl>
    <w:p>
      <w:pPr>
        <w:pStyle w:val="FirstParagraph"/>
      </w:pPr>
      <w:r>
        <w:t xml:space="preserve">Computing every subset costs</w:t>
      </w:r>
      <w:r>
        <w:t xml:space="preserve"> </w:t>
      </w:r>
      <m:oMath>
        <m:sSup>
          <m:e>
            <m:r>
              <m:t>2</m:t>
            </m:r>
          </m:e>
          <m:sup>
            <m:r>
              <m:t>p</m:t>
            </m:r>
          </m:sup>
        </m:sSup>
        <m:r>
          <m:rPr>
            <m:sty m:val="p"/>
          </m:rPr>
          <m:t>−</m:t>
        </m:r>
        <m:r>
          <m:t>1</m:t>
        </m:r>
      </m:oMath>
      <w:r>
        <w:t xml:space="preserve"> </w:t>
      </w:r>
      <w:r>
        <w:t xml:space="preserve">one-way variance evaluations,</w:t>
      </w:r>
      <w:r>
        <w:t xml:space="preserve"> </w:t>
      </w:r>
      <w:r>
        <w:t xml:space="preserve">so this is intended for the small</w:t>
      </w:r>
      <w:r>
        <w:t xml:space="preserve"> </w:t>
      </w:r>
      <m:oMath>
        <m:r>
          <m:t>p</m:t>
        </m:r>
      </m:oMath>
      <w:r>
        <w:t xml:space="preserve"> </w:t>
      </w:r>
      <w:r>
        <w:t xml:space="preserve">(2-3)</w:t>
      </w:r>
      <w:r>
        <w:t xml:space="preserve"> </w:t>
      </w:r>
      <w:r>
        <w:t xml:space="preserve">typical of nested survey designs.</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(Two cluster variables)</w:t>
            </w:r>
          </w:p>
        </w:tc>
      </w:tr>
      <w:tr>
        <w:trPr>
          <w:cantSplit/>
        </w:trPr>
        <w:tc>
          <w:tcPr>
            <w:tcMar>
              <w:top w:w="108" w:type="dxa"/>
              <w:bottom w:w="108" w:type="dxa"/>
            </w:tcMar>
          </w:tcPr>
          <w:bookmarkStart w:id="90" w:name="exm-two-way-clustering"/>
          <w:p>
            <w:pPr>
              <w:pStyle w:val="BodyText"/>
            </w:pPr>
            <w:r>
              <w:rPr>
                <w:b/>
                <w:bCs/>
              </w:rPr>
              <w:t xml:space="preserve">Example 3 (Two cluster variables)</w:t>
            </w:r>
            <w:r>
              <w:t xml:space="preserve"> </w:t>
            </w:r>
            <w:r>
              <w:t xml:space="preserve">For two cluster variables (</w:t>
            </w:r>
            <m:oMath>
              <m:r>
                <m:t>p</m:t>
              </m:r>
              <m:r>
                <m:rPr>
                  <m:sty m:val="p"/>
                </m:rPr>
                <m:t>=</m:t>
              </m:r>
              <m:r>
                <m:t>2</m:t>
              </m:r>
            </m:oMath>
            <w:r>
              <w:t xml:space="preserve">),</w:t>
            </w:r>
            <w:r>
              <w:t xml:space="preserve"> </w:t>
            </w:r>
            <w:hyperlink w:anchor="def-multiway-clustering-variance">
              <w:r>
                <w:rPr>
                  <w:rStyle w:val="Hyperlink"/>
                </w:rPr>
                <w:t xml:space="preserve">Definition 9</w:t>
              </w:r>
            </w:hyperlink>
            <w:r>
              <w:t xml:space="preserve"> </w:t>
            </w:r>
            <w:r>
              <w:t xml:space="preserve">reduces to the familiar</w:t>
            </w:r>
            <w:r>
              <w:t xml:space="preserve"> </w:t>
            </w:r>
            <w:r>
              <w:t xml:space="preserve">three-term formula:</w:t>
            </w:r>
          </w:p>
          <w:p>
            <w:pPr>
              <w:pStyle w:val="BodyText"/>
            </w:pPr>
            <m:oMathPara>
              <m:oMathParaPr>
                <m:jc m:val="center"/>
              </m:oMathParaPr>
              <m:oMath>
                <m:sSub>
                  <m:e>
                    <m:r>
                      <m:t>V</m:t>
                    </m:r>
                  </m:e>
                  <m:sub>
                    <m:r>
                      <m:rPr>
                        <m:nor/>
                        <m:sty m:val="p"/>
                      </m:rPr>
                      <m:t>multiway</m:t>
                    </m:r>
                  </m:sub>
                </m:sSub>
                <m:r>
                  <m:rPr>
                    <m:sty m:val="p"/>
                  </m:rPr>
                  <m:t>=</m:t>
                </m:r>
                <m:sSub>
                  <m:e>
                    <m:r>
                      <m:t>V</m:t>
                    </m:r>
                  </m:e>
                  <m:sub>
                    <m:r>
                      <m:t>1</m:t>
                    </m:r>
                  </m:sub>
                </m:sSub>
                <m:r>
                  <m:rPr>
                    <m:sty m:val="p"/>
                  </m:rPr>
                  <m:t>+</m:t>
                </m:r>
                <m:sSub>
                  <m:e>
                    <m:r>
                      <m:t>V</m:t>
                    </m:r>
                  </m:e>
                  <m:sub>
                    <m:r>
                      <m:t>2</m:t>
                    </m:r>
                  </m:sub>
                </m:sSub>
                <m:r>
                  <m:rPr>
                    <m:sty m:val="p"/>
                  </m:rPr>
                  <m:t>−</m:t>
                </m:r>
                <m:sSub>
                  <m:e>
                    <m:r>
                      <m:t>V</m:t>
                    </m:r>
                  </m:e>
                  <m:sub>
                    <m:r>
                      <m:t>1</m:t>
                    </m:r>
                    <m:r>
                      <m:rPr>
                        <m:sty m:val="p"/>
                      </m:rPr>
                      <m:t>∩</m:t>
                    </m:r>
                    <m:r>
                      <m:t>2</m:t>
                    </m:r>
                  </m:sub>
                </m:sSub>
              </m:oMath>
            </m:oMathPara>
          </w:p>
          <w:p>
            <w:pPr>
              <w:pStyle w:val="FirstParagraph"/>
            </w:pPr>
            <w:r>
              <w:t xml:space="preserve">where</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cluster on each variable separately,</w:t>
            </w:r>
            <w:r>
              <w:t xml:space="preserve"> </w:t>
            </w:r>
            <w:r>
              <w:t xml:space="preserve">and</w:t>
            </w:r>
            <w:r>
              <w:t xml:space="preserve"> </w:t>
            </w:r>
            <m:oMath>
              <m:sSub>
                <m:e>
                  <m:r>
                    <m:t>V</m:t>
                  </m:r>
                </m:e>
                <m:sub>
                  <m:r>
                    <m:t>1</m:t>
                  </m:r>
                  <m:r>
                    <m:rPr>
                      <m:sty m:val="p"/>
                    </m:rPr>
                    <m:t>∩</m:t>
                  </m:r>
                  <m:r>
                    <m:t>2</m:t>
                  </m:r>
                </m:sub>
              </m:sSub>
            </m:oMath>
            <w:r>
              <w:t xml:space="preserve"> </w:t>
            </w:r>
            <w:r>
              <w:t xml:space="preserve">clusters on their interaction,</w:t>
            </w:r>
            <w:r>
              <w:t xml:space="preserve"> </w:t>
            </w:r>
            <w:r>
              <w:t xml:space="preserve">the most granular grouping.</w:t>
            </w:r>
          </w:p>
          <w:bookmarkEnd w:id="90"/>
          <w:p/>
        </w:tc>
      </w:tr>
    </w:tbl>
    <w:bookmarkEnd w:id="91"/>
    <w:bookmarkStart w:id="94" w:name="small-sample-correction"/>
    <w:p>
      <w:pPr>
        <w:pStyle w:val="Heading3"/>
      </w:pPr>
      <w:r>
        <w:t xml:space="preserve">4.16.4 Small-sample correction</w:t>
      </w:r>
    </w:p>
    <w:p>
      <w:pPr>
        <w:pStyle w:val="FirstParagraph"/>
      </w:pPr>
      <w:r>
        <w:t xml:space="preserve">Two adjustments refine the one-way variance terms</w:t>
      </w:r>
      <w:r>
        <w:t xml:space="preserve"> </w:t>
      </w:r>
      <m:oMath>
        <m:sSub>
          <m:e>
            <m:r>
              <m:t>V</m:t>
            </m:r>
          </m:e>
          <m:sub>
            <m:r>
              <m:t>S</m:t>
            </m:r>
          </m:sub>
        </m:sSub>
      </m:oMath>
      <w:r>
        <w:t xml:space="preserve"> </w:t>
      </w:r>
      <w:r>
        <w:t xml:space="preserve">that feed</w:t>
      </w:r>
      <w:r>
        <w:t xml:space="preserve"> </w:t>
      </w:r>
      <w:hyperlink w:anchor="def-multiway-clustering-variance">
        <w:r>
          <w:rPr>
            <w:rStyle w:val="Hyperlink"/>
          </w:rPr>
          <w:t xml:space="preserve">Definition 9</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(Finite-difference score approximation)</w:t>
            </w:r>
          </w:p>
          <w:bookmarkStart w:id="92" w:name="def-finite-difference-score"/>
          <w:p>
            <w:pPr>
              <w:pStyle w:val="BodyText"/>
            </w:pPr>
            <w:r>
              <w:rPr>
                <w:b/>
                <w:bCs/>
              </w:rPr>
              <w:t xml:space="preserve">Definition 10 (Finite-difference score approximation)</w:t>
            </w:r>
            <w:r>
              <w:t xml:space="preserve"> </w:t>
            </w:r>
            <w:r>
              <w:rPr>
                <w:rStyle w:val="VerbatimChar"/>
              </w:rPr>
              <w:t xml:space="preserve">serocalculator</w:t>
            </w:r>
            <w:r>
              <w:t xml:space="preserve"> </w:t>
            </w:r>
            <w:r>
              <w:t xml:space="preserve">approximates each cluster’s score contribution</w:t>
            </w:r>
            <w:r>
              <w:t xml:space="preserve"> </w:t>
            </w:r>
            <m:oMath>
              <m:sSub>
                <m:e>
                  <m:r>
                    <m:t>U</m:t>
                  </m:r>
                </m:e>
                <m:sub>
                  <m:r>
                    <m:t>c</m:t>
                  </m:r>
                </m:sub>
              </m:sSub>
            </m:oMath>
            <w:r>
              <w:t xml:space="preserve"> </w:t>
            </w:r>
            <w:r>
              <w:t xml:space="preserve">(</w:t>
            </w:r>
            <w:hyperlink w:anchor="def-cluster-robust-variance">
              <w:r>
                <w:rPr>
                  <w:rStyle w:val="Hyperlink"/>
                </w:rPr>
                <w:t xml:space="preserve">Definition 8</w:t>
              </w:r>
            </w:hyperlink>
            <w:r>
              <w:t xml:space="preserve">) by a forward finite difference of the</w:t>
            </w:r>
            <w:r>
              <w:t xml:space="preserve"> </w:t>
            </w:r>
            <w:r>
              <w:t xml:space="preserve">cluster’s log-likelihood,</w:t>
            </w:r>
            <w:r>
              <w:t xml:space="preserve"> </w:t>
            </w:r>
            <m:oMath>
              <m:sSub>
                <m:e>
                  <m:r>
                    <m:t>ℓ</m:t>
                  </m:r>
                </m:e>
                <m:sub>
                  <m:r>
                    <m:t>c</m:t>
                  </m:r>
                </m:sub>
              </m:sSub>
              <m:r>
                <m:rPr>
                  <m:sty m:val="p"/>
                </m:rPr>
                <m:t>(</m:t>
              </m:r>
              <m:r>
                <m:t>λ</m:t>
              </m:r>
              <m:r>
                <m:rPr>
                  <m:sty m:val="p"/>
                </m:rPr>
                <m:t>)</m:t>
              </m:r>
              <m:r>
                <m:rPr>
                  <m:sty m:val="p"/>
                </m:rPr>
                <m:t>=</m:t>
              </m:r>
              <m:nary>
                <m:naryPr>
                  <m:chr m:val="∑"/>
                  <m:limLoc m:val="undOvr"/>
                  <m:subHide m:val="off"/>
                  <m:supHide m:val="on"/>
                </m:naryPr>
                <m:sub>
                  <m:r>
                    <m:t>i</m:t>
                  </m:r>
                  <m:r>
                    <m:rPr>
                      <m:sty m:val="p"/>
                    </m:rPr>
                    <m:t>∈</m:t>
                  </m:r>
                  <m:r>
                    <m:t>c</m:t>
                  </m:r>
                </m:sub>
                <m:sup>
                  <m:r>
                    <m:t>​</m:t>
                  </m:r>
                </m:sup>
                <m:e>
                  <m:r>
                    <m:rPr>
                      <m:sty m:val="p"/>
                    </m:rPr>
                    <m:t>log</m:t>
                  </m:r>
                </m:e>
              </m:nary>
              <m:r>
                <m:t>p</m:t>
              </m:r>
              <m:r>
                <m:rPr>
                  <m:sty m:val="p"/>
                </m:rPr>
                <m:t>(</m:t>
              </m:r>
              <m:sSub>
                <m:e>
                  <m:r>
                    <m:t>Y</m:t>
                  </m:r>
                </m:e>
                <m:sub>
                  <m:r>
                    <m:t>i</m:t>
                  </m:r>
                </m:sub>
              </m:sSub>
              <m:r>
                <m:rPr>
                  <m:sty m:val="p"/>
                </m:rPr>
                <m:t>∣</m:t>
              </m:r>
              <m:r>
                <m:t>λ</m:t>
              </m:r>
              <m:r>
                <m:rPr>
                  <m:sty m:val="p"/>
                </m:rPr>
                <m:t>)</m:t>
              </m:r>
            </m:oMath>
            <w:r>
              <w:t xml:space="preserve">:</w:t>
            </w:r>
          </w:p>
          <w:p>
            <w:pPr>
              <w:pStyle w:val="BodyText"/>
            </w:pPr>
            <m:oMathPara>
              <m:oMathParaPr>
                <m:jc m:val="center"/>
              </m:oMathParaPr>
              <m:oMath>
                <m:sSub>
                  <m:e>
                    <m:r>
                      <m:t>U</m:t>
                    </m:r>
                  </m:e>
                  <m:sub>
                    <m:r>
                      <m:t>c</m:t>
                    </m:r>
                  </m:sub>
                </m:sSub>
                <m:r>
                  <m:rPr>
                    <m:sty m:val="p"/>
                  </m:rPr>
                  <m:t>≈</m:t>
                </m:r>
                <m:f>
                  <m:fPr>
                    <m:type m:val="bar"/>
                  </m:fPr>
                  <m:num>
                    <m:sSub>
                      <m:e>
                        <m:r>
                          <m:t>ℓ</m:t>
                        </m:r>
                      </m:e>
                      <m:sub>
                        <m:r>
                          <m:t>c</m:t>
                        </m:r>
                      </m:sub>
                    </m:sSub>
                    <m:r>
                      <m:rPr>
                        <m:sty m:val="p"/>
                      </m:rPr>
                      <m:t>(</m:t>
                    </m:r>
                    <m:acc>
                      <m:accPr>
                        <m:chr m:val="̂"/>
                      </m:accPr>
                      <m:e>
                        <m:r>
                          <m:t>λ</m:t>
                        </m:r>
                      </m:e>
                    </m:acc>
                    <m:r>
                      <m:rPr>
                        <m:sty m:val="p"/>
                      </m:rPr>
                      <m:t>+</m:t>
                    </m:r>
                    <m:r>
                      <m:t>ϵ</m:t>
                    </m:r>
                    <m:r>
                      <m:rPr>
                        <m:sty m:val="p"/>
                      </m:rPr>
                      <m:t>)</m:t>
                    </m:r>
                    <m:r>
                      <m:rPr>
                        <m:sty m:val="p"/>
                      </m:rPr>
                      <m:t>−</m:t>
                    </m:r>
                    <m:sSub>
                      <m:e>
                        <m:r>
                          <m:t>ℓ</m:t>
                        </m:r>
                      </m:e>
                      <m:sub>
                        <m:r>
                          <m:t>c</m:t>
                        </m:r>
                      </m:sub>
                    </m:sSub>
                    <m:r>
                      <m:rPr>
                        <m:sty m:val="p"/>
                      </m:rPr>
                      <m:t>(</m:t>
                    </m:r>
                    <m:acc>
                      <m:accPr>
                        <m:chr m:val="̂"/>
                      </m:accPr>
                      <m:e>
                        <m:r>
                          <m:t>λ</m:t>
                        </m:r>
                      </m:e>
                    </m:acc>
                    <m:r>
                      <m:rPr>
                        <m:sty m:val="p"/>
                      </m:rPr>
                      <m:t>)</m:t>
                    </m:r>
                  </m:num>
                  <m:den>
                    <m:r>
                      <m:t>ϵ</m:t>
                    </m:r>
                  </m:den>
                </m:f>
                <m:r>
                  <m:rPr>
                    <m:sty m:val="p"/>
                  </m:rPr>
                  <m:t>,</m:t>
                </m:r>
                <m:r>
                  <m:t> </m:t>
                </m:r>
                <m:r>
                  <m:t>ϵ</m:t>
                </m:r>
                <m:r>
                  <m:rPr>
                    <m:sty m:val="p"/>
                  </m:rPr>
                  <m:t>=</m:t>
                </m:r>
                <m:sSup>
                  <m:e>
                    <m:r>
                      <m:t>10</m:t>
                    </m:r>
                  </m:e>
                  <m:sup>
                    <m:r>
                      <m:rPr>
                        <m:sty m:val="p"/>
                      </m:rPr>
                      <m:t>−</m:t>
                    </m:r>
                    <m:r>
                      <m:t>6</m:t>
                    </m:r>
                  </m:sup>
                </m:sSup>
              </m:oMath>
            </m:oMathPara>
          </w:p>
          <w:bookmarkEnd w:id="92"/>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(CR1 small-sample correction)</w:t>
            </w:r>
          </w:p>
          <w:bookmarkStart w:id="93" w:name="def-cr1-correction"/>
          <w:p>
            <w:pPr>
              <w:pStyle w:val="BodyText"/>
            </w:pPr>
            <w:r>
              <w:rPr>
                <w:b/>
                <w:bCs/>
              </w:rPr>
              <w:t xml:space="preserve">Definition 11 (CR1 small-sample correction)</w:t>
            </w:r>
            <w:r>
              <w:t xml:space="preserve"> </w:t>
            </w:r>
            <w:r>
              <w:t xml:space="preserve">When</w:t>
            </w:r>
            <w:r>
              <w:t xml:space="preserve"> </w:t>
            </w:r>
            <w:r>
              <w:rPr>
                <w:rStyle w:val="VerbatimChar"/>
              </w:rPr>
              <w:t xml:space="preserve">small_sample = "CR1"</w:t>
            </w:r>
            <w:r>
              <w:t xml:space="preserve"> </w:t>
            </w:r>
            <w:r>
              <w:t xml:space="preserve">(the default),</w:t>
            </w:r>
            <w:r>
              <w:t xml:space="preserve"> </w:t>
            </w:r>
            <w:r>
              <w:t xml:space="preserve">each one-way subset variance</w:t>
            </w:r>
            <w:r>
              <w:t xml:space="preserve"> </w:t>
            </w:r>
            <m:oMath>
              <m:sSub>
                <m:e>
                  <m:r>
                    <m:t>V</m:t>
                  </m:r>
                </m:e>
                <m:sub>
                  <m:r>
                    <m:t>S</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inflated by the usual cluster degrees-of-freedom correction:</w:t>
            </w:r>
          </w:p>
          <w:p>
            <w:pPr>
              <w:pStyle w:val="BodyText"/>
            </w:pPr>
            <m:oMathPara>
              <m:oMathParaPr>
                <m:jc m:val="center"/>
              </m:oMathParaPr>
              <m:oMath>
                <m:sSubSup>
                  <m:e>
                    <m:r>
                      <m:t>V</m:t>
                    </m:r>
                  </m:e>
                  <m:sub>
                    <m:r>
                      <m:t>S</m:t>
                    </m:r>
                  </m:sub>
                  <m:sup>
                    <m:r>
                      <m:rPr>
                        <m:nor/>
                        <m:sty m:val="p"/>
                      </m:rPr>
                      <m:t>CR1</m:t>
                    </m:r>
                  </m:sup>
                </m:sSubSup>
                <m:r>
                  <m:rPr>
                    <m:sty m:val="p"/>
                  </m:rPr>
                  <m:t>=</m:t>
                </m:r>
                <m:f>
                  <m:fPr>
                    <m:type m:val="bar"/>
                  </m:fPr>
                  <m:num>
                    <m:sSub>
                      <m:e>
                        <m:r>
                          <m:t>G</m:t>
                        </m:r>
                      </m:e>
                      <m:sub>
                        <m:r>
                          <m:t>S</m:t>
                        </m:r>
                      </m:sub>
                    </m:sSub>
                  </m:num>
                  <m:den>
                    <m:sSub>
                      <m:e>
                        <m:r>
                          <m:t>G</m:t>
                        </m:r>
                      </m:e>
                      <m:sub>
                        <m:r>
                          <m:t>S</m:t>
                        </m:r>
                      </m:sub>
                    </m:sSub>
                    <m:r>
                      <m:rPr>
                        <m:sty m:val="p"/>
                      </m:rPr>
                      <m:t>−</m:t>
                    </m:r>
                    <m:r>
                      <m:t>1</m:t>
                    </m:r>
                  </m:den>
                </m:f>
                <m:r>
                  <m:t> </m:t>
                </m:r>
                <m:sSub>
                  <m:e>
                    <m:r>
                      <m:t>V</m:t>
                    </m:r>
                  </m:e>
                  <m:sub>
                    <m:r>
                      <m:t>S</m:t>
                    </m:r>
                  </m:sub>
                </m:sSub>
              </m:oMath>
            </m:oMathPara>
          </w:p>
          <w:p>
            <w:pPr>
              <w:pStyle w:val="FirstParagraph"/>
            </w:pPr>
            <w:r>
              <w:t xml:space="preserve">where</w:t>
            </w:r>
            <w:r>
              <w:t xml:space="preserve"> </w:t>
            </w:r>
            <m:oMath>
              <m:sSub>
                <m:e>
                  <m:r>
                    <m:t>G</m:t>
                  </m:r>
                </m:e>
                <m:sub>
                  <m:r>
                    <m:t>S</m:t>
                  </m:r>
                </m:sub>
              </m:sSub>
            </m:oMath>
            <w:r>
              <w:t xml:space="preserve"> </w:t>
            </w:r>
            <w:r>
              <w:t xml:space="preserve">is the number of unique clusters in subset</w:t>
            </w:r>
            <w:r>
              <w:t xml:space="preserve"> </w:t>
            </w:r>
            <m:oMath>
              <m:r>
                <m:t>S</m:t>
              </m:r>
            </m:oMath>
            <w:r>
              <w:t xml:space="preserve">’s grouping.</w:t>
            </w:r>
          </w:p>
          <w:bookmarkEnd w:id="93"/>
        </w:tc>
      </w:tr>
    </w:tbl>
    <w:bookmarkEnd w:id="94"/>
    <w:bookmarkStart w:id="96" w:name="safeguards-against-invalid-variance"/>
    <w:p>
      <w:pPr>
        <w:pStyle w:val="Heading3"/>
      </w:pPr>
      <w:r>
        <w:t xml:space="preserve">4.16.5 Safeguards against invalid variance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(Flooring and fallback for the final variance)</w:t>
            </w:r>
          </w:p>
          <w:bookmarkStart w:id="95" w:name="def-variance-safeguards"/>
          <w:p>
            <w:pPr>
              <w:pStyle w:val="BodyText"/>
            </w:pPr>
            <w:r>
              <w:rPr>
                <w:b/>
                <w:bCs/>
              </w:rPr>
              <w:t xml:space="preserve">Definition 12 (Flooring and fallback for the final variance)</w:t>
            </w:r>
            <w:r>
              <w:t xml:space="preserve"> </w:t>
            </w:r>
            <w:r>
              <w:t xml:space="preserve">The inclusion-exclusion sum</w:t>
            </w:r>
            <w:r>
              <w:t xml:space="preserve"> </w:t>
            </w:r>
            <m:oMath>
              <m:sSub>
                <m:e>
                  <m:r>
                    <m:t>V</m:t>
                  </m:r>
                </m:e>
                <m:sub>
                  <m:r>
                    <m:rPr>
                      <m:nor/>
                      <m:sty m:val="p"/>
                    </m:rPr>
                    <m:t>multiway</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not guaranteed to be non-negative.</w:t>
            </w:r>
            <w:r>
              <w:t xml:space="preserve"> </w:t>
            </w:r>
            <w:r>
              <w:rPr>
                <w:rStyle w:val="VerbatimChar"/>
              </w:rPr>
              <w:t xml:space="preserve">serocalculator</w:t>
            </w:r>
            <w:r>
              <w:t xml:space="preserve"> </w:t>
            </w:r>
            <w:r>
              <w:t xml:space="preserve">therefore floors the raw estimate at 0</w:t>
            </w:r>
            <w:r>
              <w:t xml:space="preserve"> </w:t>
            </w:r>
            <w:r>
              <w:t xml:space="preserve">(emitting a warning), independent of</w:t>
            </w:r>
            <w:r>
              <w:t xml:space="preserve"> </w:t>
            </w:r>
            <w:r>
              <w:rPr>
                <w:rStyle w:val="VerbatimChar"/>
              </w:rPr>
              <w:t xml:space="preserve">floor_to_standard</w:t>
            </w:r>
            <w:r>
              <w:t xml:space="preserve">,</w:t>
            </w:r>
            <w:r>
              <w:t xml:space="preserve"> </w:t>
            </w:r>
            <w:r>
              <w:t xml:space="preserve">before it can reach</w:t>
            </w:r>
            <w:r>
              <w:t xml:space="preserve"> </w:t>
            </w:r>
            <m:oMath>
              <m:rad>
                <m:radPr>
                  <m:degHide m:val="on"/>
                </m:radPr>
                <m:deg/>
                <m:e>
                  <m:r>
                    <m:t>V</m:t>
                  </m:r>
                </m:e>
              </m:rad>
            </m:oMath>
            <w:r>
              <w:t xml:space="preserve"> </w:t>
            </w:r>
            <w:r>
              <w:t xml:space="preserve">as a silent</w:t>
            </w:r>
            <w:r>
              <w:t xml:space="preserve"> </w:t>
            </w:r>
            <w:r>
              <w:rPr>
                <w:rStyle w:val="VerbatimChar"/>
              </w:rPr>
              <w:t xml:space="preserve">NaN</w:t>
            </w:r>
            <w:r>
              <w:t xml:space="preserve">:</w:t>
            </w:r>
          </w:p>
          <w:p>
            <w:pPr>
              <w:pStyle w:val="BodyText"/>
            </w:pPr>
            <m:oMathPara>
              <m:oMathParaPr>
                <m:jc m:val="center"/>
              </m:oMathParaPr>
              <m:oMath>
                <m:sSubSup>
                  <m:e>
                    <m:r>
                      <m:t>V</m:t>
                    </m:r>
                  </m:e>
                  <m:sub>
                    <m:r>
                      <m:rPr>
                        <m:nor/>
                        <m:sty m:val="p"/>
                      </m:rPr>
                      <m:t>raw</m:t>
                    </m:r>
                  </m:sub>
                  <m:sup>
                    <m:r>
                      <m:rPr>
                        <m:sty m:val="p"/>
                      </m:rPr>
                      <m:t>+</m:t>
                    </m:r>
                  </m:sup>
                </m:sSubSup>
                <m:r>
                  <m:rPr>
                    <m:sty m:val="p"/>
                  </m:rPr>
                  <m:t>=</m:t>
                </m:r>
                <m:r>
                  <m:rPr>
                    <m:sty m:val="p"/>
                  </m:rPr>
                  <m:t>max</m:t>
                </m:r>
                <m:r>
                  <m:t>​</m:t>
                </m:r>
                <m:d>
                  <m:dPr>
                    <m:begChr m:val="("/>
                    <m:sepChr m:val=""/>
                    <m:endChr m:val=")"/>
                    <m:grow/>
                  </m:dPr>
                  <m:e>
                    <m:r>
                      <m:t>0</m:t>
                    </m:r>
                    <m:r>
                      <m:rPr>
                        <m:sty m:val="p"/>
                      </m:rPr>
                      <m:t>,</m:t>
                    </m:r>
                    <m:sSub>
                      <m:e>
                        <m:r>
                          <m:t>V</m:t>
                        </m:r>
                      </m:e>
                      <m:sub>
                        <m:r>
                          <m:rPr>
                            <m:nor/>
                            <m:sty m:val="p"/>
                          </m:rPr>
                          <m:t>multiway</m:t>
                        </m:r>
                      </m:sub>
                    </m:sSub>
                  </m:e>
                </m:d>
                <m:r>
                  <m:t>​</m:t>
                </m:r>
              </m:oMath>
            </m:oMathPara>
          </w:p>
          <w:p>
            <w:pPr>
              <w:pStyle w:val="FirstParagraph"/>
            </w:pPr>
            <w:r>
              <w:t xml:space="preserve">Setting</w:t>
            </w:r>
            <w:r>
              <w:t xml:space="preserve"> </w:t>
            </w:r>
            <w:r>
              <w:rPr>
                <w:rStyle w:val="VerbatimChar"/>
              </w:rPr>
              <w:t xml:space="preserve">floor_to_standard = TRUE</w:t>
            </w:r>
            <w:r>
              <w:t xml:space="preserve"> </w:t>
            </w:r>
            <w:r>
              <w:t xml:space="preserve">additionally floors the result</w:t>
            </w:r>
            <w:r>
              <w:t xml:space="preserve"> </w:t>
            </w:r>
            <w:r>
              <w:t xml:space="preserve">at the model-based (non-cluster-robust) variance</w:t>
            </w:r>
            <w:r>
              <w:t xml:space="preserve"> </w:t>
            </w:r>
            <m:oMath>
              <m:sSub>
                <m:e>
                  <m:r>
                    <m:t>V</m:t>
                  </m:r>
                </m:e>
                <m:sub>
                  <m:r>
                    <m:rPr>
                      <m:nor/>
                      <m:sty m:val="p"/>
                    </m:rPr>
                    <m:t>standard</m:t>
                  </m:r>
                </m:sub>
              </m:sSub>
              <m:r>
                <m:rPr>
                  <m:sty m:val="p"/>
                </m:rPr>
                <m:t>=</m:t>
              </m:r>
              <m:sSup>
                <m:e>
                  <m:r>
                    <m:t>H</m:t>
                  </m:r>
                </m:e>
                <m:sup>
                  <m:r>
                    <m:rPr>
                      <m:sty m:val="p"/>
                    </m:rPr>
                    <m:t>−</m:t>
                  </m:r>
                  <m:r>
                    <m:t>1</m:t>
                  </m:r>
                </m:sup>
              </m:sSup>
            </m:oMath>
            <w:r>
              <w:t xml:space="preserve">,</w:t>
            </w:r>
            <w:r>
              <w:t xml:space="preserve"> </w:t>
            </w:r>
            <w:r>
              <w:t xml:space="preserve">the inverse of the observed information at the MLE:</w:t>
            </w:r>
          </w:p>
          <w:p>
            <w:pPr>
              <w:pStyle w:val="BodyText"/>
            </w:pPr>
            <m:oMathPara>
              <m:oMathParaPr>
                <m:jc m:val="center"/>
              </m:oMathParaPr>
              <m:oMath>
                <m:sSub>
                  <m:e>
                    <m:r>
                      <m:t>V</m:t>
                    </m:r>
                  </m:e>
                  <m:sub>
                    <m:r>
                      <m:rPr>
                        <m:nor/>
                        <m:sty m:val="p"/>
                      </m:rPr>
                      <m:t>final</m:t>
                    </m:r>
                  </m:sub>
                </m:sSub>
                <m:r>
                  <m:rPr>
                    <m:sty m:val="p"/>
                  </m:rPr>
                  <m:t>=</m:t>
                </m:r>
                <m:r>
                  <m:rPr>
                    <m:sty m:val="p"/>
                  </m:rPr>
                  <m:t>max</m:t>
                </m:r>
                <m:r>
                  <m:t>​</m:t>
                </m:r>
                <m:d>
                  <m:dPr>
                    <m:begChr m:val="("/>
                    <m:sepChr m:val=""/>
                    <m:endChr m:val=")"/>
                    <m:grow/>
                  </m:dPr>
                  <m:e>
                    <m:sSub>
                      <m:e>
                        <m:r>
                          <m:t>V</m:t>
                        </m:r>
                      </m:e>
                      <m:sub>
                        <m:r>
                          <m:rPr>
                            <m:nor/>
                            <m:sty m:val="p"/>
                          </m:rPr>
                          <m:t>standard</m:t>
                        </m:r>
                      </m:sub>
                    </m:sSub>
                    <m:r>
                      <m:rPr>
                        <m:sty m:val="p"/>
                      </m:rPr>
                      <m:t>,</m:t>
                    </m:r>
                    <m:sSubSup>
                      <m:e>
                        <m:r>
                          <m:t>V</m:t>
                        </m:r>
                      </m:e>
                      <m:sub>
                        <m:r>
                          <m:rPr>
                            <m:nor/>
                            <m:sty m:val="p"/>
                          </m:rPr>
                          <m:t>raw</m:t>
                        </m:r>
                      </m:sub>
                      <m:sup>
                        <m:r>
                          <m:rPr>
                            <m:sty m:val="p"/>
                          </m:rPr>
                          <m:t>+</m:t>
                        </m:r>
                      </m:sup>
                    </m:sSubSup>
                  </m:e>
                </m:d>
                <m:r>
                  <m:t>​</m:t>
                </m:r>
              </m:oMath>
            </m:oMathPara>
          </w:p>
          <w:p>
            <w:pPr>
              <w:pStyle w:val="FirstParagraph"/>
            </w:pPr>
            <w:r>
              <w:t xml:space="preserve">If any one-way subset term is unavailable,</w:t>
            </w:r>
            <w:r>
              <w:t xml:space="preserve"> </w:t>
            </w:r>
            <w:r>
              <w:t xml:space="preserve">for example because its Hessian is non-finite or non-positive,</w:t>
            </w:r>
            <w:r>
              <w:t xml:space="preserve"> </w:t>
            </w:r>
            <w:r>
              <w:t xml:space="preserve">the inclusion-exclusion sum is itself non-finite.</w:t>
            </w:r>
            <w:r>
              <w:t xml:space="preserve"> </w:t>
            </w:r>
            <w:r>
              <w:rPr>
                <w:rStyle w:val="VerbatimChar"/>
              </w:rPr>
              <w:t xml:space="preserve">serocalculator</w:t>
            </w:r>
            <w:r>
              <w:t xml:space="preserve"> </w:t>
            </w:r>
            <w:r>
              <w:t xml:space="preserve">warns and returns a missing standard error in that case.</w:t>
            </w:r>
            <w:r>
              <w:t xml:space="preserve"> </w:t>
            </w:r>
            <w:r>
              <w:t xml:space="preserve">With</w:t>
            </w:r>
            <w:r>
              <w:t xml:space="preserve"> </w:t>
            </w:r>
            <w:r>
              <w:rPr>
                <w:rStyle w:val="VerbatimChar"/>
              </w:rPr>
              <w:t xml:space="preserve">floor_to_standard = TRUE</w:t>
            </w:r>
            <w:r>
              <w:t xml:space="preserve"> </w:t>
            </w:r>
            <w:r>
              <w:t xml:space="preserve">it falls back to</w:t>
            </w:r>
            <w:r>
              <w:t xml:space="preserve"> </w:t>
            </w:r>
            <m:oMath>
              <m:sSub>
                <m:e>
                  <m:r>
                    <m:t>V</m:t>
                  </m:r>
                </m:e>
                <m:sub>
                  <m:r>
                    <m:rPr>
                      <m:nor/>
                      <m:sty m:val="p"/>
                    </m:rPr>
                    <m:t>standard</m:t>
                  </m:r>
                </m:sub>
              </m:sSub>
            </m:oMath>
            <w:r>
              <w:t xml:space="preserve"> </w:t>
            </w:r>
            <w:r>
              <w:t xml:space="preserve">instead, unless</w:t>
            </w:r>
            <w:r>
              <w:t xml:space="preserve"> </w:t>
            </w:r>
            <m:oMath>
              <m:sSub>
                <m:e>
                  <m:r>
                    <m:t>V</m:t>
                  </m:r>
                </m:e>
                <m:sub>
                  <m:r>
                    <m:rPr>
                      <m:nor/>
                      <m:sty m:val="p"/>
                    </m:rPr>
                    <m:t>standard</m:t>
                  </m:r>
                </m:sub>
              </m:sSub>
            </m:oMath>
            <w:r>
              <w:t xml:space="preserve"> </w:t>
            </w:r>
            <w:r>
              <w:t xml:space="preserve">is itself unusable</w:t>
            </w:r>
            <w:r>
              <w:t xml:space="preserve"> </w:t>
            </w:r>
            <w:r>
              <w:t xml:space="preserve">(the same degenerate Hessian poisons</w:t>
            </w:r>
            <w:r>
              <w:t xml:space="preserve"> </w:t>
            </w:r>
            <m:oMath>
              <m:sSub>
                <m:e>
                  <m:r>
                    <m:t>V</m:t>
                  </m:r>
                </m:e>
                <m:sub>
                  <m:r>
                    <m:rPr>
                      <m:nor/>
                      <m:sty m:val="p"/>
                    </m:rPr>
                    <m:t>standard</m:t>
                  </m:r>
                </m:sub>
              </m:sSub>
              <m:r>
                <m:rPr>
                  <m:sty m:val="p"/>
                </m:rPr>
                <m:t>=</m:t>
              </m:r>
              <m:sSup>
                <m:e>
                  <m:r>
                    <m:t>H</m:t>
                  </m:r>
                </m:e>
                <m:sup>
                  <m:r>
                    <m:rPr>
                      <m:sty m:val="p"/>
                    </m:rPr>
                    <m:t>−</m:t>
                  </m:r>
                  <m:r>
                    <m:t>1</m:t>
                  </m:r>
                </m:sup>
              </m:sSup>
            </m:oMath>
            <w:r>
              <w:t xml:space="preserve"> </w:t>
            </w:r>
            <w:r>
              <w:t xml:space="preserve">too),</w:t>
            </w:r>
            <w:r>
              <w:t xml:space="preserve"> </w:t>
            </w:r>
            <w:r>
              <w:t xml:space="preserve">in which case it also returns a missing standard error</w:t>
            </w:r>
            <w:r>
              <w:t xml:space="preserve"> </w:t>
            </w:r>
            <w:r>
              <w:t xml:space="preserve">rather than silently falling back to a negative or infinite</w:t>
            </w:r>
            <w:r>
              <w:t xml:space="preserve"> </w:t>
            </w:r>
            <w:r>
              <w:t xml:space="preserve">“variance”</w:t>
            </w:r>
            <w:r>
              <w:t xml:space="preserve">.</w:t>
            </w:r>
          </w:p>
          <w:bookmarkEnd w:id="95"/>
        </w:tc>
      </w:tr>
    </w:tbl>
    <w:p>
      <w:pPr>
        <w:pStyle w:val="BodyText"/>
      </w:pPr>
      <w:r>
        <w:t xml:space="preserve">The inclusion-exclusion sum’s occasional negativity is a documented</w:t>
      </w:r>
      <w:r>
        <w:t xml:space="preserve"> </w:t>
      </w:r>
      <w:r>
        <w:t xml:space="preserve">property of the Cameron-Gelbach-Miller estimator, not a bug.</w:t>
      </w:r>
    </w:p>
    <w:bookmarkEnd w:id="96"/>
    <w:bookmarkStart w:id="97" w:name="implementation-in-serocalculator"/>
    <w:p>
      <w:pPr>
        <w:pStyle w:val="Heading3"/>
      </w:pPr>
      <w:r>
        <w:t xml:space="preserve">4.16.6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r>
        <w:t xml:space="preserve"> </w:t>
      </w:r>
      <w:r>
        <w:t xml:space="preserve">The multi-way behavior above is itself controlled through</w:t>
      </w:r>
      <w:r>
        <w:t xml:space="preserve"> </w:t>
      </w:r>
      <w:r>
        <w:rPr>
          <w:rStyle w:val="VerbatimChar"/>
        </w:rPr>
        <w:t xml:space="preserve">summary()</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97"/>
    <w:bookmarkStart w:id="98" w:name="effect-on-results"/>
    <w:p>
      <w:pPr>
        <w:pStyle w:val="Heading3"/>
      </w:pPr>
      <w:r>
        <w:t xml:space="preserve">4.16.7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8"/>
    <w:bookmarkEnd w:id="99"/>
    <w:bookmarkEnd w:id="100"/>
    <w:bookmarkStart w:id="13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101"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101"/>
    <w:bookmarkStart w:id="102"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102"/>
    <w:bookmarkStart w:id="103"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103"/>
    <w:bookmarkStart w:id="104"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104"/>
    <w:bookmarkStart w:id="113"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8" w:name="fig-response-graph"/>
          <w:p>
            <w:pPr>
              <w:pStyle w:val="Compact"/>
              <w:jc w:val="center"/>
            </w:pPr>
            <w:r>
              <w:drawing>
                <wp:inline>
                  <wp:extent cx="4620126" cy="3696101"/>
                  <wp:effectExtent b="0" l="0" r="0" t="0"/>
                  <wp:docPr descr="" title="" id="106" name="Picture"/>
                  <a:graphic>
                    <a:graphicData uri="http://schemas.openxmlformats.org/drawingml/2006/picture">
                      <pic:pic>
                        <pic:nvPicPr>
                          <pic:cNvPr descr="methodology_files/figure-docx/fig-response-graph-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8"/>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9">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11" name="Picture"/>
            <a:graphic>
              <a:graphicData uri="http://schemas.openxmlformats.org/drawingml/2006/picture">
                <pic:pic>
                  <pic:nvPicPr>
                    <pic:cNvPr descr="../man/figures/qr_akm2.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13"/>
    <w:bookmarkStart w:id="114"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14"/>
    <w:bookmarkStart w:id="115"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15"/>
    <w:bookmarkStart w:id="116"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16"/>
    <w:bookmarkStart w:id="117"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17"/>
    <w:bookmarkStart w:id="122"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21" w:name="fig-curve-posterior"/>
          <w:p>
            <w:pPr>
              <w:pStyle w:val="Compact"/>
              <w:jc w:val="center"/>
            </w:pPr>
            <w:r>
              <w:drawing>
                <wp:inline>
                  <wp:extent cx="4620126" cy="3696101"/>
                  <wp:effectExtent b="0" l="0" r="0" t="0"/>
                  <wp:docPr descr="" title="" id="119" name="Picture"/>
                  <a:graphic>
                    <a:graphicData uri="http://schemas.openxmlformats.org/drawingml/2006/picture">
                      <pic:pic>
                        <pic:nvPicPr>
                          <pic:cNvPr descr="methodology_files/figure-docx/fig-curve-posterior-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21"/>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22"/>
    <w:bookmarkStart w:id="128"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23"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23"/>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7" w:name="fig-loglik"/>
          <w:p>
            <w:pPr>
              <w:pStyle w:val="Compact"/>
              <w:jc w:val="center"/>
            </w:pPr>
            <w:r>
              <w:drawing>
                <wp:inline>
                  <wp:extent cx="4620126" cy="3696101"/>
                  <wp:effectExtent b="0" l="0" r="0" t="0"/>
                  <wp:docPr descr="" title="" id="125" name="Picture"/>
                  <a:graphic>
                    <a:graphicData uri="http://schemas.openxmlformats.org/drawingml/2006/picture">
                      <pic:pic>
                        <pic:nvPicPr>
                          <pic:cNvPr descr="methodology_files/figure-docx/fig-loglik-1.png" id="126" name="Picture"/>
                          <pic:cNvPicPr>
                            <a:picLocks noChangeArrowheads="1" noChangeAspect="1"/>
                          </pic:cNvPicPr>
                        </pic:nvPicPr>
                        <pic:blipFill>
                          <a:blip r:embed="rId12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27"/>
        </w:tc>
      </w:tr>
    </w:tbl>
    <w:bookmarkEnd w:id="128"/>
    <w:bookmarkStart w:id="132"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30" name="Picture"/>
            <a:graphic>
              <a:graphicData uri="http://schemas.openxmlformats.org/drawingml/2006/picture">
                <pic:pic>
                  <pic:nvPicPr>
                    <pic:cNvPr descr="../man/figures/kinetics-variation-1.png" id="131" name="Picture"/>
                    <pic:cNvPicPr>
                      <a:picLocks noChangeArrowheads="1" noChangeAspect="1"/>
                    </pic:cNvPicPr>
                  </pic:nvPicPr>
                  <pic:blipFill>
                    <a:blip r:embed="rId12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32"/>
    <w:bookmarkStart w:id="136"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34" name="Picture"/>
            <a:graphic>
              <a:graphicData uri="http://schemas.openxmlformats.org/drawingml/2006/picture">
                <pic:pic>
                  <pic:nvPicPr>
                    <pic:cNvPr descr="../man/figures/kinetics-variation-2.png" id="135" name="Picture"/>
                    <pic:cNvPicPr>
                      <a:picLocks noChangeArrowheads="1" noChangeAspect="1"/>
                    </pic:cNvPicPr>
                  </pic:nvPicPr>
                  <pic:blipFill>
                    <a:blip r:embed="rId13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36"/>
    <w:bookmarkEnd w:id="137"/>
    <w:bookmarkStart w:id="149" w:name="estimating-the-curves-with-serodynamics"/>
    <w:p>
      <w:pPr>
        <w:pStyle w:val="Heading1"/>
      </w:pPr>
      <w:r>
        <w:t xml:space="preserve">6. Estimating the curves with</w:t>
      </w:r>
      <w:r>
        <w:t xml:space="preserve"> </w:t>
      </w:r>
      <w:r>
        <w:rPr>
          <w:rStyle w:val="VerbatimChar"/>
        </w:rPr>
        <w:t xml:space="preserve">serodynamics</w:t>
      </w:r>
    </w:p>
    <w:bookmarkStart w:id="13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8"/>
    <w:bookmarkStart w:id="14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40"/>
    <w:bookmarkStart w:id="14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41"/>
    <w:bookmarkStart w:id="14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43" name="Picture"/>
            <a:graphic>
              <a:graphicData uri="http://schemas.openxmlformats.org/drawingml/2006/picture">
                <pic:pic>
                  <pic:nvPicPr>
                    <pic:cNvPr descr="../man/figures/serodynamics-cached-fit.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45"/>
    <w:bookmarkStart w:id="146"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46"/>
    <w:bookmarkStart w:id="14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47"/>
    <w:bookmarkStart w:id="14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8"/>
    <w:bookmarkEnd w:id="149"/>
    <w:bookmarkStart w:id="170" w:name="using-serocalculator"/>
    <w:p>
      <w:pPr>
        <w:pStyle w:val="Heading1"/>
      </w:pPr>
      <w:r>
        <w:t xml:space="preserve">7. Using</w:t>
      </w:r>
      <w:r>
        <w:t xml:space="preserve"> </w:t>
      </w:r>
      <w:r>
        <w:rPr>
          <w:rStyle w:val="VerbatimChar"/>
        </w:rPr>
        <w:t xml:space="preserve">serocalculator</w:t>
      </w:r>
    </w:p>
    <w:bookmarkStart w:id="15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50">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51"/>
    <w:bookmarkStart w:id="152"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52"/>
    <w:bookmarkStart w:id="153"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53"/>
    <w:bookmarkStart w:id="158"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57" w:name="fig-sim-distribution"/>
          <w:p>
            <w:pPr>
              <w:pStyle w:val="Compact"/>
              <w:jc w:val="center"/>
            </w:pPr>
            <w:r>
              <w:drawing>
                <wp:inline>
                  <wp:extent cx="4620126" cy="3696101"/>
                  <wp:effectExtent b="0" l="0" r="0" t="0"/>
                  <wp:docPr descr="" title="" id="155" name="Picture"/>
                  <a:graphic>
                    <a:graphicData uri="http://schemas.openxmlformats.org/drawingml/2006/picture">
                      <pic:pic>
                        <pic:nvPicPr>
                          <pic:cNvPr descr="methodology_files/figure-docx/fig-sim-distribution-1.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57"/>
        </w:tc>
      </w:tr>
    </w:tbl>
    <w:bookmarkEnd w:id="158"/>
    <w:bookmarkStart w:id="163"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62" w:name="fig-est-single-loglik"/>
          <w:p>
            <w:pPr>
              <w:pStyle w:val="Compact"/>
              <w:jc w:val="center"/>
            </w:pPr>
            <w:r>
              <w:drawing>
                <wp:inline>
                  <wp:extent cx="4620126" cy="3696101"/>
                  <wp:effectExtent b="0" l="0" r="0" t="0"/>
                  <wp:docPr descr="" title="" id="160" name="Picture"/>
                  <a:graphic>
                    <a:graphicData uri="http://schemas.openxmlformats.org/drawingml/2006/picture">
                      <pic:pic>
                        <pic:nvPicPr>
                          <pic:cNvPr descr="methodology_files/figure-docx/fig-est-single-loglik-1.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62"/>
        </w:tc>
      </w:tr>
    </w:tbl>
    <w:bookmarkEnd w:id="163"/>
    <w:bookmarkStart w:id="164"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64"/>
    <w:bookmarkStart w:id="169" w:name="interactive-shiny-app"/>
    <w:p>
      <w:pPr>
        <w:pStyle w:val="Heading2"/>
      </w:pPr>
      <w:r>
        <w:t xml:space="preserve">7.7 Interactive Shiny app</w:t>
      </w:r>
    </w:p>
    <w:p>
      <w:pPr>
        <w:pStyle w:val="FirstParagraph"/>
      </w:pPr>
      <w:r>
        <w:t xml:space="preserve">A point-and-click interface is available at</w:t>
      </w:r>
      <w:r>
        <w:t xml:space="preserve"> </w:t>
      </w:r>
      <w:hyperlink r:id="rId16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67" name="Picture"/>
            <a:graphic>
              <a:graphicData uri="http://schemas.openxmlformats.org/drawingml/2006/picture">
                <pic:pic>
                  <pic:nvPicPr>
                    <pic:cNvPr descr="../man/figures/shiny-serocalculator.png" id="168" name="Picture"/>
                    <pic:cNvPicPr>
                      <a:picLocks noChangeArrowheads="1" noChangeAspect="1"/>
                    </pic:cNvPicPr>
                  </pic:nvPicPr>
                  <pic:blipFill>
                    <a:blip r:embed="rId16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9"/>
    <w:bookmarkEnd w:id="170"/>
    <w:bookmarkStart w:id="209" w:name="sec-validation"/>
    <w:p>
      <w:pPr>
        <w:pStyle w:val="Heading1"/>
      </w:pPr>
      <w:r>
        <w:t xml:space="preserve">8. Validation: recovering known incidence rates</w:t>
      </w:r>
    </w:p>
    <w:bookmarkStart w:id="175"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74" w:name="fig-sim-multi-distribution"/>
          <w:p>
            <w:pPr>
              <w:pStyle w:val="Compact"/>
              <w:jc w:val="center"/>
            </w:pPr>
            <w:r>
              <w:drawing>
                <wp:inline>
                  <wp:extent cx="4620126" cy="4620126"/>
                  <wp:effectExtent b="0" l="0" r="0" t="0"/>
                  <wp:docPr descr="" title="" id="172" name="Picture"/>
                  <a:graphic>
                    <a:graphicData uri="http://schemas.openxmlformats.org/drawingml/2006/picture">
                      <pic:pic>
                        <pic:nvPicPr>
                          <pic:cNvPr descr="methodology_files/figure-docx/fig-sim-multi-distribution-1.png" id="173" name="Picture"/>
                          <pic:cNvPicPr>
                            <a:picLocks noChangeArrowheads="1" noChangeAspect="1"/>
                          </pic:cNvPicPr>
                        </pic:nvPicPr>
                        <pic:blipFill>
                          <a:blip r:embed="rId171"/>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74"/>
        </w:tc>
      </w:tr>
    </w:tbl>
    <w:bookmarkEnd w:id="175"/>
    <w:bookmarkStart w:id="177"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76"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0.0137</w:t>
            </w:r>
            <w:r>
              <w:br/>
            </w:r>
            <w:r>
              <w:rPr>
                <w:rStyle w:val="VerbatimChar"/>
              </w:rPr>
              <w:t xml:space="preserve"> 2 Stratum…         100       0.05       2   100       0.1         0.0462 0.0113</w:t>
            </w:r>
            <w:r>
              <w:br/>
            </w:r>
            <w:r>
              <w:rPr>
                <w:rStyle w:val="VerbatimChar"/>
              </w:rPr>
              <w:t xml:space="preserve"> 3 Stratum…         100       0.05       3   100       0.1         0.0446 0.0110</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0.0101</w:t>
            </w:r>
            <w:r>
              <w:br/>
            </w:r>
            <w:r>
              <w:rPr>
                <w:rStyle w:val="VerbatimChar"/>
              </w:rPr>
              <w:t xml:space="preserve"> 8 Stratum…         100       0.05       8   100       0.1         0.0698 0.0148</w:t>
            </w:r>
            <w:r>
              <w:br/>
            </w:r>
            <w:r>
              <w:rPr>
                <w:rStyle w:val="VerbatimChar"/>
              </w:rPr>
              <w:t xml:space="preserve"> 9 Stratum…         100       0.05       9   100       0.1         0.0557 0.0130</w:t>
            </w:r>
            <w:r>
              <w:br/>
            </w:r>
            <w:r>
              <w:rPr>
                <w:rStyle w:val="VerbatimChar"/>
              </w:rPr>
              <w:t xml:space="preserve">10 Stratum…         100       0.05      10   100       0.1         0.0416 0.0105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76"/>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77"/>
    <w:bookmarkStart w:id="182"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81" w:name="fig-cluster-logliks"/>
          <w:p>
            <w:pPr>
              <w:pStyle w:val="Compact"/>
              <w:jc w:val="center"/>
            </w:pPr>
            <w:r>
              <w:drawing>
                <wp:inline>
                  <wp:extent cx="4620126" cy="6468176"/>
                  <wp:effectExtent b="0" l="0" r="0" t="0"/>
                  <wp:docPr descr="" title="" id="179" name="Picture"/>
                  <a:graphic>
                    <a:graphicData uri="http://schemas.openxmlformats.org/drawingml/2006/picture">
                      <pic:pic>
                        <pic:nvPicPr>
                          <pic:cNvPr descr="methodology_files/figure-docx/fig-cluster-logliks-1.png" id="180" name="Picture"/>
                          <pic:cNvPicPr>
                            <a:picLocks noChangeArrowheads="1" noChangeAspect="1"/>
                          </pic:cNvPicPr>
                        </pic:nvPicPr>
                        <pic:blipFill>
                          <a:blip r:embed="rId178"/>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81"/>
        </w:tc>
      </w:tr>
    </w:tbl>
    <w:bookmarkEnd w:id="182"/>
    <w:bookmarkStart w:id="188"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83">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87" w:name="fig-problem-strata"/>
          <w:p>
            <w:pPr>
              <w:pStyle w:val="Compact"/>
              <w:jc w:val="center"/>
            </w:pPr>
            <w:r>
              <w:drawing>
                <wp:inline>
                  <wp:extent cx="4620126" cy="6468176"/>
                  <wp:effectExtent b="0" l="0" r="0" t="0"/>
                  <wp:docPr descr="" title="" id="185" name="Picture"/>
                  <a:graphic>
                    <a:graphicData uri="http://schemas.openxmlformats.org/drawingml/2006/picture">
                      <pic:pic>
                        <pic:nvPicPr>
                          <pic:cNvPr descr="methodology_files/figure-docx/fig-problem-strata-1.png" id="186" name="Picture"/>
                          <pic:cNvPicPr>
                            <a:picLocks noChangeArrowheads="1" noChangeAspect="1"/>
                          </pic:cNvPicPr>
                        </pic:nvPicPr>
                        <pic:blipFill>
                          <a:blip r:embed="rId184"/>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87"/>
        </w:tc>
      </w:tr>
    </w:tbl>
    <w:bookmarkEnd w:id="188"/>
    <w:bookmarkStart w:id="197"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92" w:name="fig-sim-recovery"/>
          <w:p>
            <w:pPr>
              <w:pStyle w:val="Compact"/>
              <w:jc w:val="center"/>
            </w:pPr>
            <w:r>
              <w:drawing>
                <wp:inline>
                  <wp:extent cx="4620126" cy="3696101"/>
                  <wp:effectExtent b="0" l="0" r="0" t="0"/>
                  <wp:docPr descr="" title="" id="190" name="Picture"/>
                  <a:graphic>
                    <a:graphicData uri="http://schemas.openxmlformats.org/drawingml/2006/picture">
                      <pic:pic>
                        <pic:nvPicPr>
                          <pic:cNvPr descr="methodology_files/figure-docx/fig-sim-recovery-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92"/>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1       0.05         100 0.00292      0.0122       0.0102 0.0103        0.0496</w:t>
      </w:r>
      <w:r>
        <w:br/>
      </w:r>
      <w:r>
        <w:rPr>
          <w:rStyle w:val="VerbatimChar"/>
        </w:rPr>
        <w:t xml:space="preserve">2       0.1          100 0.00894      0.0198       0.0204 0.0218        0.0791</w:t>
      </w:r>
      <w:r>
        <w:br/>
      </w:r>
      <w:r>
        <w:rPr>
          <w:rStyle w:val="VerbatimChar"/>
        </w:rPr>
        <w:t xml:space="preserve">3       0.15         100 0.0222       0.0277       0.0183 0.0285        0.110 </w:t>
      </w:r>
      <w:r>
        <w:br/>
      </w:r>
      <w:r>
        <w:rPr>
          <w:rStyle w:val="VerbatimChar"/>
        </w:rPr>
        <w:t xml:space="preserve">4       0.2          100 0.0269       0.0333       0.0319 0.0411        0.133 </w:t>
      </w:r>
      <w:r>
        <w:br/>
      </w:r>
      <w:r>
        <w:rPr>
          <w:rStyle w:val="VerbatimChar"/>
        </w:rPr>
        <w:t xml:space="preserve">5       0.5          100 0.0857       0.0790       0.0758 0.113         0.313 </w:t>
      </w:r>
      <w:r>
        <w:br/>
      </w:r>
      <w:r>
        <w:rPr>
          <w:rStyle w:val="VerbatimChar"/>
        </w:rPr>
        <w:t xml:space="preserve">6       0.8          100 0.172        0.144        0.115  0.205         0.571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96" w:name="fig-empirical-se"/>
          <w:p>
            <w:pPr>
              <w:pStyle w:val="Compact"/>
              <w:jc w:val="center"/>
            </w:pPr>
            <w:r>
              <w:drawing>
                <wp:inline>
                  <wp:extent cx="4620126" cy="3696101"/>
                  <wp:effectExtent b="0" l="0" r="0" t="0"/>
                  <wp:docPr descr="" title="" id="194" name="Picture"/>
                  <a:graphic>
                    <a:graphicData uri="http://schemas.openxmlformats.org/drawingml/2006/picture">
                      <pic:pic>
                        <pic:nvPicPr>
                          <pic:cNvPr descr="methodology_files/figure-docx/fig-empirical-se-1.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96"/>
        </w:tc>
      </w:tr>
    </w:tbl>
    <w:bookmarkEnd w:id="197"/>
    <w:bookmarkStart w:id="203"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8"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0.0198         0.85</w:t>
            </w:r>
            <w:r>
              <w:br/>
            </w:r>
            <w:r>
              <w:rPr>
                <w:rStyle w:val="VerbatimChar"/>
              </w:rPr>
              <w:t xml:space="preserve"> 4       0.1  joint     -0.0290       0.0136      0.0149         0.75</w:t>
            </w:r>
            <w:r>
              <w:br/>
            </w:r>
            <w:r>
              <w:rPr>
                <w:rStyle w:val="VerbatimChar"/>
              </w:rPr>
              <w:t xml:space="preserve"> 5       0.15 composite  0.0222       0.0183      0.0277         0.9 </w:t>
            </w:r>
            <w:r>
              <w:br/>
            </w:r>
            <w:r>
              <w:rPr>
                <w:rStyle w:val="VerbatimChar"/>
              </w:rPr>
              <w:t xml:space="preserve"> 6       0.15 joint     -0.0387       0.0188      0.0207         0.65</w:t>
            </w:r>
            <w:r>
              <w:br/>
            </w:r>
            <w:r>
              <w:rPr>
                <w:rStyle w:val="VerbatimChar"/>
              </w:rPr>
              <w:t xml:space="preserve"> 7       0.2  composite  0.0269       0.0319      0.0333         0.8 </w:t>
            </w:r>
            <w:r>
              <w:br/>
            </w:r>
            <w:r>
              <w:rPr>
                <w:rStyle w:val="VerbatimChar"/>
              </w:rPr>
              <w:t xml:space="preserve"> 8       0.2  joint     -0.0473       0.0260      0.0262         0.7 </w:t>
            </w:r>
            <w:r>
              <w:br/>
            </w:r>
            <w:r>
              <w:rPr>
                <w:rStyle w:val="VerbatimChar"/>
              </w:rPr>
              <w:t xml:space="preserve"> 9       0.5  composite  0.0857       0.0758      0.0790         0.75</w:t>
            </w:r>
            <w:r>
              <w:br/>
            </w:r>
            <w:r>
              <w:rPr>
                <w:rStyle w:val="VerbatimChar"/>
              </w:rPr>
              <w:t xml:space="preserve">10       0.5  joint     -0.142        0.0476      0.0560         0.35</w:t>
            </w:r>
            <w:r>
              <w:br/>
            </w:r>
            <w:r>
              <w:rPr>
                <w:rStyle w:val="VerbatimChar"/>
              </w:rPr>
              <w:t xml:space="preserve">11       0.8  composite  0.172        0.115       0.144          0.75</w:t>
            </w:r>
            <w:r>
              <w:br/>
            </w:r>
            <w:r>
              <w:rPr>
                <w:rStyle w:val="VerbatimChar"/>
              </w:rPr>
              <w:t xml:space="preserve">12       0.8  joint     -0.302        0.0579      0.0846         0.1 </w:t>
            </w:r>
          </w:p>
          <w:bookmarkEnd w:id="198"/>
        </w:tc>
      </w:tr>
    </w:tbl>
    <w:tbl>
      <w:tblPr>
        <w:tblStyle w:val="Table"/>
        <w:tblW w:type="pct" w:w="5000"/>
        <w:tblLayout w:type="fixed"/>
        <w:tblLook w:firstRow="0" w:lastRow="0" w:firstColumn="0" w:lastColumn="0" w:noHBand="0" w:noVBand="0" w:val="0000"/>
      </w:tblPr>
      <w:tblGrid>
        <w:gridCol w:w="7920"/>
      </w:tblGrid>
      <w:tr>
        <w:tc>
          <w:tcPr/>
          <w:bookmarkStart w:id="202" w:name="fig-joint-vs-composite-sim"/>
          <w:p>
            <w:pPr>
              <w:pStyle w:val="Compact"/>
              <w:jc w:val="center"/>
            </w:pPr>
            <w:r>
              <w:drawing>
                <wp:inline>
                  <wp:extent cx="4620126" cy="3696101"/>
                  <wp:effectExtent b="0" l="0" r="0" t="0"/>
                  <wp:docPr descr="" title="" id="200" name="Picture"/>
                  <a:graphic>
                    <a:graphicData uri="http://schemas.openxmlformats.org/drawingml/2006/picture">
                      <pic:pic>
                        <pic:nvPicPr>
                          <pic:cNvPr descr="methodology_files/figure-docx/fig-joint-vs-composite-sim-1.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202"/>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203"/>
    <w:bookmarkStart w:id="208"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207" w:name="fig-sim-recovery-renew"/>
          <w:p>
            <w:pPr>
              <w:pStyle w:val="Compact"/>
              <w:jc w:val="center"/>
            </w:pPr>
            <w:r>
              <w:drawing>
                <wp:inline>
                  <wp:extent cx="4620126" cy="3696101"/>
                  <wp:effectExtent b="0" l="0" r="0" t="0"/>
                  <wp:docPr descr="" title="" id="205" name="Picture"/>
                  <a:graphic>
                    <a:graphicData uri="http://schemas.openxmlformats.org/drawingml/2006/picture">
                      <pic:pic>
                        <pic:nvPicPr>
                          <pic:cNvPr descr="methodology_files/figure-docx/fig-sim-recovery-renew-1.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207"/>
        </w:tc>
      </w:tr>
    </w:tbl>
    <w:bookmarkEnd w:id="208"/>
    <w:bookmarkEnd w:id="209"/>
    <w:bookmarkStart w:id="214" w:name="ongoing-and-future-work"/>
    <w:p>
      <w:pPr>
        <w:pStyle w:val="Heading1"/>
      </w:pPr>
      <w:r>
        <w:t xml:space="preserve">9. Ongoing and future work</w:t>
      </w:r>
    </w:p>
    <w:bookmarkStart w:id="211"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65">
        <w:r>
          <w:rPr>
            <w:rStyle w:val="Hyperlink"/>
          </w:rPr>
          <w:t xml:space="preserve">serocalculator Shiny app</w:t>
        </w:r>
      </w:hyperlink>
      <w:r>
        <w:t xml:space="preserve">,</w:t>
      </w:r>
      <w:r>
        <w:t xml:space="preserve"> </w:t>
      </w:r>
      <w:hyperlink r:id="rId210">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11"/>
    <w:bookmarkStart w:id="213"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12">
        <w:r>
          <w:rPr>
            <w:rStyle w:val="Hyperlink"/>
          </w:rPr>
          <w:t xml:space="preserve">UCD-SERG/shigella#13</w:t>
        </w:r>
      </w:hyperlink>
      <w:r>
        <w:t xml:space="preserve">).</w:t>
      </w:r>
    </w:p>
    <w:bookmarkEnd w:id="213"/>
    <w:bookmarkEnd w:id="214"/>
    <w:bookmarkStart w:id="234" w:name="references"/>
    <w:p>
      <w:pPr>
        <w:pStyle w:val="Heading1"/>
      </w:pPr>
      <w:r>
        <w:t xml:space="preserve">References</w:t>
      </w:r>
    </w:p>
    <w:bookmarkStart w:id="233" w:name="refs"/>
    <w:bookmarkStart w:id="216"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15">
        <w:r>
          <w:rPr>
            <w:rStyle w:val="Hyperlink"/>
          </w:rPr>
          <w:t xml:space="preserve">https://doi.org/10.1016/S2666-5247(22)00114-8</w:t>
        </w:r>
      </w:hyperlink>
      <w:r>
        <w:t xml:space="preserve">.</w:t>
      </w:r>
    </w:p>
    <w:bookmarkEnd w:id="216"/>
    <w:bookmarkStart w:id="218" w:name="ref-Cameron_2011"/>
    <w:p>
      <w:pPr>
        <w:pStyle w:val="Bibliography"/>
      </w:pPr>
      <w:r>
        <w:t xml:space="preserve">Cameron, A. Colin, Jonah B. Gelbach, and Douglas L. Miller. 2011.</w:t>
      </w:r>
      <w:r>
        <w:t xml:space="preserve"> </w:t>
      </w:r>
      <w:r>
        <w:t xml:space="preserve">“Robust Inference with Multiway Clustering.”</w:t>
      </w:r>
      <w:r>
        <w:t xml:space="preserve"> </w:t>
      </w:r>
      <w:r>
        <w:rPr>
          <w:i/>
          <w:iCs/>
        </w:rPr>
        <w:t xml:space="preserve">Journal of Business &amp; Economic Statistics</w:t>
      </w:r>
      <w:r>
        <w:t xml:space="preserve"> </w:t>
      </w:r>
      <w:r>
        <w:t xml:space="preserve">29 (2): 238–49.</w:t>
      </w:r>
      <w:r>
        <w:t xml:space="preserve"> </w:t>
      </w:r>
      <w:hyperlink r:id="rId217">
        <w:r>
          <w:rPr>
            <w:rStyle w:val="Hyperlink"/>
          </w:rPr>
          <w:t xml:space="preserve">https://doi.org/10.1198/jbes.2010.07136</w:t>
        </w:r>
      </w:hyperlink>
      <w:r>
        <w:t xml:space="preserve">.</w:t>
      </w:r>
    </w:p>
    <w:bookmarkEnd w:id="218"/>
    <w:bookmarkStart w:id="220"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19">
        <w:r>
          <w:rPr>
            <w:rStyle w:val="Hyperlink"/>
          </w:rPr>
          <w:t xml:space="preserve">https://doi.org/10.1016/j.epidem.2024.100806</w:t>
        </w:r>
      </w:hyperlink>
      <w:r>
        <w:t xml:space="preserve">.</w:t>
      </w:r>
    </w:p>
    <w:bookmarkEnd w:id="220"/>
    <w:bookmarkStart w:id="221"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21"/>
    <w:bookmarkStart w:id="223"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22">
        <w:r>
          <w:rPr>
            <w:rStyle w:val="Hyperlink"/>
          </w:rPr>
          <w:t xml:space="preserve">https://doi.org/10.1093/biomet/73.1.13</w:t>
        </w:r>
      </w:hyperlink>
      <w:r>
        <w:t xml:space="preserve">.</w:t>
      </w:r>
    </w:p>
    <w:bookmarkEnd w:id="223"/>
    <w:bookmarkStart w:id="225"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24">
        <w:r>
          <w:rPr>
            <w:rStyle w:val="Hyperlink"/>
          </w:rPr>
          <w:t xml:space="preserve">https://doi.org/10.1159/000286345</w:t>
        </w:r>
      </w:hyperlink>
      <w:r>
        <w:t xml:space="preserve">.</w:t>
      </w:r>
    </w:p>
    <w:bookmarkEnd w:id="225"/>
    <w:bookmarkStart w:id="227"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26">
        <w:r>
          <w:rPr>
            <w:rStyle w:val="Hyperlink"/>
          </w:rPr>
          <w:t xml:space="preserve">https://doi.org/10.1002/sim.8578</w:t>
        </w:r>
      </w:hyperlink>
      <w:r>
        <w:t xml:space="preserve">.</w:t>
      </w:r>
    </w:p>
    <w:bookmarkEnd w:id="227"/>
    <w:bookmarkStart w:id="229"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28">
        <w:r>
          <w:rPr>
            <w:rStyle w:val="Hyperlink"/>
          </w:rPr>
          <w:t xml:space="preserve">https://doi.org/10.1016/j.epidem.2016.04.001</w:t>
        </w:r>
      </w:hyperlink>
      <w:r>
        <w:t xml:space="preserve">.</w:t>
      </w:r>
    </w:p>
    <w:bookmarkEnd w:id="229"/>
    <w:bookmarkStart w:id="230"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30"/>
    <w:bookmarkStart w:id="23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31"/>
    <w:bookmarkStart w:id="232"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10" Target="media/rId110.svg" /><Relationship Type="http://schemas.openxmlformats.org/officeDocument/2006/relationships/image" Id="rId142" Target="media/rId142.png"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118" Target="media/rId118.png" /><Relationship Type="http://schemas.openxmlformats.org/officeDocument/2006/relationships/image" Id="rId193" Target="media/rId193.png" /><Relationship Type="http://schemas.openxmlformats.org/officeDocument/2006/relationships/image" Id="rId159" Target="media/rId159.png" /><Relationship Type="http://schemas.openxmlformats.org/officeDocument/2006/relationships/image" Id="rId60" Target="media/rId60.png" /><Relationship Type="http://schemas.openxmlformats.org/officeDocument/2006/relationships/image" Id="rId199" Target="media/rId199.png" /><Relationship Type="http://schemas.openxmlformats.org/officeDocument/2006/relationships/image" Id="rId124" Target="media/rId124.png" /><Relationship Type="http://schemas.openxmlformats.org/officeDocument/2006/relationships/image" Id="rId184" Target="media/rId184.png" /><Relationship Type="http://schemas.openxmlformats.org/officeDocument/2006/relationships/image" Id="rId105" Target="media/rId105.png" /><Relationship Type="http://schemas.openxmlformats.org/officeDocument/2006/relationships/image" Id="rId154" Target="media/rId154.png" /><Relationship Type="http://schemas.openxmlformats.org/officeDocument/2006/relationships/image" Id="rId171" Target="media/rId171.png" /><Relationship Type="http://schemas.openxmlformats.org/officeDocument/2006/relationships/image" Id="rId189" Target="media/rId189.png" /><Relationship Type="http://schemas.openxmlformats.org/officeDocument/2006/relationships/image" Id="rId204" Target="media/rId204.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2026-10-08T19:35:54Z</dcterms:created>
  <dcterms:modified xsi:type="dcterms:W3CDTF">2026-10-08T19:35:54Z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