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Longitudinal antibody parameters, vendored from OSF (osf.io/u5gxh) --- see</w:t>
      </w:r>
      <w:r>
        <w:br/>
      </w:r>
      <w:r>
        <w:rPr>
          <w:rStyle w:val="CommentTok"/>
        </w:rPr>
        <w:t xml:space="preserve"># ../precomputed/osf/README.md for why and how to refresh.</w:t>
      </w:r>
      <w:r>
        <w:br/>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Cross-sectional data, vendored from OSF (osf.io/h5js4); renamed to the</w:t>
      </w:r>
      <w:r>
        <w:br/>
      </w:r>
      <w:r>
        <w:rPr>
          <w:rStyle w:val="CommentTok"/>
        </w:rPr>
        <w:t xml:space="preserv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2026-08-08T01:55:23Z</dcterms:created>
  <dcterms:modified xsi:type="dcterms:W3CDTF">2026-08-08T01:55:23Z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