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3.png" ContentType="image/png"/>
  <Override PartName="/word/media/rId129.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1-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p>
      <w:pPr>
        <w:pStyle w:val="SourceCode"/>
      </w:pPr>
      <w:r>
        <w:br/>
      </w:r>
      <w:r>
        <w:rPr>
          <w:rStyle w:val="VerbatimChar"/>
        </w:rPr>
        <w:t xml:space="preserve">Attaching package: 'serocalculator'</w:t>
      </w:r>
    </w:p>
    <w:p>
      <w:pPr>
        <w:pStyle w:val="SourceCode"/>
      </w:pPr>
      <w:r>
        <w:rPr>
          <w:rStyle w:val="VerbatimChar"/>
        </w:rPr>
        <w:t xml:space="preserve">The following object is masked from 'package:serodynamics':</w:t>
      </w:r>
      <w:r>
        <w:br/>
      </w:r>
      <w:r>
        <w:br/>
      </w:r>
      <w:r>
        <w:rPr>
          <w:rStyle w:val="VerbatimChar"/>
        </w:rPr>
        <w:t xml:space="preserve">    expect_snapshot_data</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3-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pStyle w:val="SourceCode"/>
              <w:jc w:val="center"/>
            </w:pPr>
            <w:r>
              <w:rPr>
                <w:rStyle w:val="VerbatimChar"/>
              </w:rPr>
              <w:t xml:space="preserve">Rows: 904 Columns: 8</w:t>
            </w:r>
            <w:r>
              <w:br/>
            </w:r>
            <w:r>
              <w:rPr>
                <w:rStyle w:val="VerbatimChar"/>
              </w:rPr>
              <w:t xml:space="preserve">── Column specification ────────────────────────────────────────────────────────</w:t>
            </w:r>
            <w:r>
              <w:br/>
            </w:r>
            <w:r>
              <w:rPr>
                <w:rStyle w:val="VerbatimChar"/>
              </w:rPr>
              <w:t xml:space="preserve">Delimiter: ","</w:t>
            </w:r>
            <w:r>
              <w:br/>
            </w:r>
            <w:r>
              <w:rPr>
                <w:rStyle w:val="VerbatimChar"/>
              </w:rPr>
              <w:t xml:space="preserve">chr (6): Country, person_id, sample_id, bldculres, antigen_iso, studyvisit</w:t>
            </w:r>
            <w:r>
              <w:br/>
            </w:r>
            <w:r>
              <w:rPr>
                <w:rStyle w:val="VerbatimChar"/>
              </w:rPr>
              <w:t xml:space="preserve">dbl (2): dayssincefeveronset, result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4-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VerbatimChar"/>
        </w:rPr>
        <w:t xml:space="preserve">Scale for x is already present.</w:t>
      </w:r>
      <w:r>
        <w:br/>
      </w:r>
      <w:r>
        <w:rPr>
          <w:rStyle w:val="VerbatimChar"/>
        </w:rPr>
        <w:t xml:space="preserve">Adding another scale for x, which will replace the existing scale.</w: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8"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End w:id="118"/>
    <w:bookmarkStart w:id="127" w:name="using-serocalculator"/>
    <w:p>
      <w:pPr>
        <w:pStyle w:val="Heading1"/>
      </w:pPr>
      <w:r>
        <w:t xml:space="preserve">7. Using</w:t>
      </w:r>
      <w:r>
        <w:t xml:space="preserve"> </w:t>
      </w:r>
      <w:r>
        <w:rPr>
          <w:rStyle w:val="VerbatimChar"/>
        </w:rPr>
        <w:t xml:space="preserve">serocalculator</w:t>
      </w:r>
    </w:p>
    <w:bookmarkStart w:id="120"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19">
        <w:r>
          <w:rPr>
            <w:rStyle w:val="VerbatimChar"/>
          </w:rPr>
          <w:t xml:space="preserve">serocalculator</w:t>
        </w:r>
      </w:hyperlink>
      <w:r>
        <w:t xml:space="preserve"> </w:t>
      </w:r>
      <w:r>
        <w:t xml:space="preserve">R package.</w:t>
      </w:r>
    </w:p>
    <w:bookmarkEnd w:id="120"/>
    <w:bookmarkStart w:id="121" w:name="estimating-seroincidence"/>
    <w:p>
      <w:pPr>
        <w:pStyle w:val="Heading2"/>
      </w:pPr>
      <w:r>
        <w:t xml:space="preserve">7.2 Estimating seroincidence</w:t>
      </w:r>
    </w:p>
    <w:bookmarkEnd w:id="121"/>
    <w:bookmarkStart w:id="126" w:name="interactive-shiny-app"/>
    <w:p>
      <w:pPr>
        <w:pStyle w:val="Heading2"/>
      </w:pPr>
      <w:r>
        <w:t xml:space="preserve">7.3 Interactive Shiny app</w:t>
      </w:r>
    </w:p>
    <w:p>
      <w:pPr>
        <w:pStyle w:val="FirstParagraph"/>
      </w:pPr>
      <w:r>
        <w:t xml:space="preserve">A point-and-click interface is available at</w:t>
      </w:r>
      <w:r>
        <w:t xml:space="preserve"> </w:t>
      </w:r>
      <w:hyperlink r:id="rId12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4" name="Picture"/>
            <a:graphic>
              <a:graphicData uri="http://schemas.openxmlformats.org/drawingml/2006/picture">
                <pic:pic>
                  <pic:nvPicPr>
                    <pic:cNvPr descr="../man/figures/shiny-serocalculator.png" id="125" name="Picture"/>
                    <pic:cNvPicPr>
                      <a:picLocks noChangeArrowheads="1" noChangeAspect="1"/>
                    </pic:cNvPicPr>
                  </pic:nvPicPr>
                  <pic:blipFill>
                    <a:blip r:embed="rId12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6"/>
    <w:bookmarkEnd w:id="127"/>
    <w:bookmarkStart w:id="150" w:name="X950effd5ffba89669b8964fc48817b69e54f5c8"/>
    <w:p>
      <w:pPr>
        <w:pStyle w:val="Heading1"/>
      </w:pPr>
      <w:r>
        <w:t xml:space="preserve">8. Validation: recovering known incidence rates</w:t>
      </w:r>
    </w:p>
    <w:bookmarkStart w:id="128"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8"/>
    <w:bookmarkStart w:id="132"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0" name="Picture"/>
            <a:graphic>
              <a:graphicData uri="http://schemas.openxmlformats.org/drawingml/2006/picture">
                <pic:pic>
                  <pic:nvPicPr>
                    <pic:cNvPr descr="../man/figures/sim-recovery.png" id="131" name="Picture"/>
                    <pic:cNvPicPr>
                      <a:picLocks noChangeArrowheads="1" noChangeAspect="1"/>
                    </pic:cNvPicPr>
                  </pic:nvPicPr>
                  <pic:blipFill>
                    <a:blip r:embed="rId12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2"/>
    <w:bookmarkStart w:id="134" w:name="in-progress-work"/>
    <w:p>
      <w:pPr>
        <w:pStyle w:val="Heading2"/>
      </w:pPr>
      <w:r>
        <w:t xml:space="preserve">8.3 In-progress work</w:t>
      </w:r>
    </w:p>
    <w:p>
      <w:pPr>
        <w:numPr>
          <w:ilvl w:val="0"/>
          <w:numId w:val="1041"/>
        </w:numPr>
      </w:pPr>
      <w:r>
        <w:t xml:space="preserve">Extending and improving existing Shiny apps for these methods</w:t>
      </w:r>
      <w:r>
        <w:t xml:space="preserve"> </w:t>
      </w:r>
      <w:r>
        <w:t xml:space="preserve">(e.g., the</w:t>
      </w:r>
      <w:r>
        <w:t xml:space="preserve"> </w:t>
      </w:r>
      <w:hyperlink r:id="rId122">
        <w:r>
          <w:rPr>
            <w:rStyle w:val="Hyperlink"/>
          </w:rPr>
          <w:t xml:space="preserve">serocalculator Shiny app</w:t>
        </w:r>
      </w:hyperlink>
      <w:r>
        <w:t xml:space="preserve">,</w:t>
      </w:r>
      <w:r>
        <w:t xml:space="preserve"> </w:t>
      </w:r>
      <w:hyperlink r:id="rId133">
        <w:r>
          <w:rPr>
            <w:rStyle w:val="Hyperlink"/>
          </w:rPr>
          <w:t xml:space="preserve">source</w:t>
        </w:r>
      </w:hyperlink>
      <w:r>
        <w:t xml:space="preserve">)</w:t>
      </w:r>
    </w:p>
    <w:p>
      <w:pPr>
        <w:numPr>
          <w:ilvl w:val="0"/>
          <w:numId w:val="1041"/>
        </w:numPr>
      </w:pPr>
      <w:r>
        <w:t xml:space="preserve">Multivariate modeling of biomarkers (relaxing conditional independence)</w:t>
      </w:r>
    </w:p>
    <w:p>
      <w:pPr>
        <w:numPr>
          <w:ilvl w:val="0"/>
          <w:numId w:val="1041"/>
        </w:numPr>
      </w:pPr>
      <w:r>
        <w:t xml:space="preserve">A graphical (Shiny) app for</w:t>
      </w:r>
      <w:r>
        <w:t xml:space="preserve"> </w:t>
      </w:r>
      <w:r>
        <w:rPr>
          <w:rStyle w:val="VerbatimChar"/>
        </w:rPr>
        <w:t xml:space="preserve">serodynamics</w:t>
      </w:r>
    </w:p>
    <w:p>
      <w:pPr>
        <w:numPr>
          <w:ilvl w:val="0"/>
          <w:numId w:val="1041"/>
        </w:numPr>
      </w:pPr>
      <w:r>
        <w:t xml:space="preserve">Modeling time-varying incidence rates</w:t>
      </w:r>
    </w:p>
    <w:p>
      <w:pPr>
        <w:numPr>
          <w:ilvl w:val="0"/>
          <w:numId w:val="1041"/>
        </w:numPr>
      </w:pPr>
      <w:r>
        <w:t xml:space="preserve">Accounting for re-exposure</w:t>
      </w:r>
    </w:p>
    <w:p>
      <w:pPr>
        <w:numPr>
          <w:ilvl w:val="0"/>
          <w:numId w:val="1041"/>
        </w:numPr>
      </w:pPr>
      <w:r>
        <w:t xml:space="preserve">Accounting for latent immunocompromised subpopulations</w:t>
      </w:r>
    </w:p>
    <w:p>
      <w:pPr>
        <w:numPr>
          <w:ilvl w:val="0"/>
          <w:numId w:val="1041"/>
        </w:numPr>
      </w:pPr>
      <w:r>
        <w:t xml:space="preserve">Calibrating to population demographics</w:t>
      </w:r>
    </w:p>
    <w:bookmarkEnd w:id="134"/>
    <w:bookmarkStart w:id="136"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5">
        <w:r>
          <w:rPr>
            <w:rStyle w:val="Hyperlink"/>
          </w:rPr>
          <w:t xml:space="preserve">UCD-SERG/shigella#13</w:t>
        </w:r>
      </w:hyperlink>
      <w:r>
        <w:t xml:space="preserve">).</w:t>
      </w:r>
    </w:p>
    <w:bookmarkEnd w:id="136"/>
    <w:bookmarkStart w:id="149" w:name="references"/>
    <w:p>
      <w:pPr>
        <w:pStyle w:val="Heading2"/>
      </w:pPr>
      <w:r>
        <w:t xml:space="preserve">References</w:t>
      </w:r>
    </w:p>
    <w:bookmarkStart w:id="148" w:name="refs"/>
    <w:bookmarkStart w:id="138"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7">
        <w:r>
          <w:rPr>
            <w:rStyle w:val="Hyperlink"/>
          </w:rPr>
          <w:t xml:space="preserve">https://doi.org/10.1016/S2666-5247(22)00114-8</w:t>
        </w:r>
      </w:hyperlink>
      <w:r>
        <w:t xml:space="preserve">.</w:t>
      </w:r>
    </w:p>
    <w:bookmarkEnd w:id="138"/>
    <w:bookmarkStart w:id="140"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39">
        <w:r>
          <w:rPr>
            <w:rStyle w:val="Hyperlink"/>
          </w:rPr>
          <w:t xml:space="preserve">https://doi.org/10.1016/j.epidem.2024.100806</w:t>
        </w:r>
      </w:hyperlink>
      <w:r>
        <w:t xml:space="preserve">.</w:t>
      </w:r>
    </w:p>
    <w:bookmarkEnd w:id="140"/>
    <w:bookmarkStart w:id="142"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1">
        <w:r>
          <w:rPr>
            <w:rStyle w:val="Hyperlink"/>
          </w:rPr>
          <w:t xml:space="preserve">https://doi.org/10.1159/000286345</w:t>
        </w:r>
      </w:hyperlink>
      <w:r>
        <w:t xml:space="preserve">.</w:t>
      </w:r>
    </w:p>
    <w:bookmarkEnd w:id="142"/>
    <w:bookmarkStart w:id="144"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3">
        <w:r>
          <w:rPr>
            <w:rStyle w:val="Hyperlink"/>
          </w:rPr>
          <w:t xml:space="preserve">https://doi.org/10.1002/sim.8578</w:t>
        </w:r>
      </w:hyperlink>
      <w:r>
        <w:t xml:space="preserve">.</w:t>
      </w:r>
    </w:p>
    <w:bookmarkEnd w:id="144"/>
    <w:bookmarkStart w:id="146"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5">
        <w:r>
          <w:rPr>
            <w:rStyle w:val="Hyperlink"/>
          </w:rPr>
          <w:t xml:space="preserve">https://doi.org/10.1016/j.epidem.2016.04.001</w:t>
        </w:r>
      </w:hyperlink>
      <w:r>
        <w:t xml:space="preserve">.</w:t>
      </w:r>
    </w:p>
    <w:bookmarkEnd w:id="146"/>
    <w:bookmarkStart w:id="147"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7"/>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3" Target="https://doi.org/10.1002/sim.8578" TargetMode="External" /><Relationship Type="http://schemas.openxmlformats.org/officeDocument/2006/relationships/hyperlink" Id="rId137" Target="https://doi.org/10.1016/S2666-5247(22)00114-8" TargetMode="External" /><Relationship Type="http://schemas.openxmlformats.org/officeDocument/2006/relationships/hyperlink" Id="rId145" Target="https://doi.org/10.1016/j.epidem.2016.04.001" TargetMode="External" /><Relationship Type="http://schemas.openxmlformats.org/officeDocument/2006/relationships/hyperlink" Id="rId139" Target="https://doi.org/10.1016/j.epidem.2024.100806" TargetMode="External" /><Relationship Type="http://schemas.openxmlformats.org/officeDocument/2006/relationships/hyperlink" Id="rId141" Target="https://doi.org/10.1159/000286345" TargetMode="External" /><Relationship Type="http://schemas.openxmlformats.org/officeDocument/2006/relationships/hyperlink" Id="rId119"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5" Target="https://github.com/UCD-SERG/shigella/pull/13" TargetMode="External" /><Relationship Type="http://schemas.openxmlformats.org/officeDocument/2006/relationships/hyperlink" Id="rId133"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3" Target="https://doi.org/10.1002/sim.8578" TargetMode="External" /><Relationship Type="http://schemas.openxmlformats.org/officeDocument/2006/relationships/hyperlink" Id="rId137" Target="https://doi.org/10.1016/S2666-5247(22)00114-8" TargetMode="External" /><Relationship Type="http://schemas.openxmlformats.org/officeDocument/2006/relationships/hyperlink" Id="rId145" Target="https://doi.org/10.1016/j.epidem.2016.04.001" TargetMode="External" /><Relationship Type="http://schemas.openxmlformats.org/officeDocument/2006/relationships/hyperlink" Id="rId139" Target="https://doi.org/10.1016/j.epidem.2024.100806" TargetMode="External" /><Relationship Type="http://schemas.openxmlformats.org/officeDocument/2006/relationships/hyperlink" Id="rId141" Target="https://doi.org/10.1159/000286345" TargetMode="External" /><Relationship Type="http://schemas.openxmlformats.org/officeDocument/2006/relationships/hyperlink" Id="rId119"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5" Target="https://github.com/UCD-SERG/shigella/pull/13" TargetMode="External" /><Relationship Type="http://schemas.openxmlformats.org/officeDocument/2006/relationships/hyperlink" Id="rId133"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2026-07-20T09:44:41Z</dcterms:created>
  <dcterms:modified xsi:type="dcterms:W3CDTF">2026-07-20T09:44:41Z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