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7.png" ContentType="image/png"/>
  <Override PartName="/word/media/rId101.png" ContentType="image/png"/>
  <Override PartName="/word/media/rId86.svg" ContentType="image/svg+xml"/>
  <Override PartName="/word/media/rId110.png" ContentType="image/png"/>
  <Override PartName="/word/media/rId121.png" ContentType="image/png"/>
  <Override PartName="/word/media/rId127.png" ContentType="image/png"/>
  <Override PartName="/word/media/rId51.png" ContentType="image/png"/>
  <Override PartName="/word/media/rId92.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2"/>
        </w:numPr>
      </w:pPr>
      <w:r>
        <w:t xml:space="preserve">Individuals within the same cluster share common exposures or characteristics</w:t>
      </w:r>
    </w:p>
    <w:p>
      <w:pPr>
        <w:pStyle w:val="Compact"/>
        <w:numPr>
          <w:ilvl w:val="0"/>
          <w:numId w:val="1022"/>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2"/>
        </w:numPr>
      </w:pPr>
      <w:r>
        <w:t xml:space="preserve">Confidence intervals will be</w:t>
      </w:r>
      <w:r>
        <w:t xml:space="preserve"> </w:t>
      </w:r>
      <w:r>
        <w:rPr>
          <w:b/>
          <w:bCs/>
        </w:rPr>
        <w:t xml:space="preserve">too narrow</w:t>
      </w:r>
    </w:p>
    <w:p>
      <w:pPr>
        <w:pStyle w:val="Compact"/>
        <w:numPr>
          <w:ilvl w:val="0"/>
          <w:numId w:val="1022"/>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3"/>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3"/>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3"/>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4"/>
        </w:numPr>
      </w:pPr>
      <m:oMath>
        <m:r>
          <m:t>C</m:t>
        </m:r>
      </m:oMath>
      <w:r>
        <w:t xml:space="preserve"> </w:t>
      </w:r>
      <w:r>
        <w:t xml:space="preserve">is the total number of clusters in the sample</w:t>
      </w:r>
    </w:p>
    <w:p>
      <w:pPr>
        <w:pStyle w:val="Compact"/>
        <w:numPr>
          <w:ilvl w:val="0"/>
          <w:numId w:val="1024"/>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4"/>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5"/>
        </w:numPr>
      </w:pPr>
      <w:r>
        <w:rPr>
          <w:b/>
          <w:bCs/>
        </w:rPr>
        <w:t xml:space="preserve">Point estimates</w:t>
      </w:r>
      <w:r>
        <w:t xml:space="preserve"> </w:t>
      </w:r>
      <w:r>
        <w:t xml:space="preserve">(incidence rates) remain unchanged</w:t>
      </w:r>
    </w:p>
    <w:p>
      <w:pPr>
        <w:pStyle w:val="Compact"/>
        <w:numPr>
          <w:ilvl w:val="0"/>
          <w:numId w:val="1025"/>
        </w:numPr>
      </w:pPr>
      <w:r>
        <w:rPr>
          <w:b/>
          <w:bCs/>
        </w:rPr>
        <w:t xml:space="preserve">Standard errors</w:t>
      </w:r>
      <w:r>
        <w:t xml:space="preserve"> </w:t>
      </w:r>
      <w:r>
        <w:t xml:space="preserve">often increase to reflect within-cluster correlation</w:t>
      </w:r>
    </w:p>
    <w:p>
      <w:pPr>
        <w:pStyle w:val="Compact"/>
        <w:numPr>
          <w:ilvl w:val="0"/>
          <w:numId w:val="1025"/>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5"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6"/>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6"/>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6"/>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8"/>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8"/>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8"/>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0"/>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0"/>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0"/>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1"/>
        </w:numPr>
      </w:pPr>
      <m:oMath>
        <m:sSub>
          <m:e>
            <m:r>
              <m:t>y</m:t>
            </m:r>
          </m:e>
          <m:sub>
            <m:r>
              <m:rPr>
                <m:nor/>
                <m:sty m:val="p"/>
              </m:rPr>
              <m:t>obs</m:t>
            </m:r>
          </m:sub>
        </m:sSub>
      </m:oMath>
      <w:r>
        <w:t xml:space="preserve">: measured serum antibody concentration</w:t>
      </w:r>
    </w:p>
    <w:p>
      <w:pPr>
        <w:pStyle w:val="Compact"/>
        <w:numPr>
          <w:ilvl w:val="0"/>
          <w:numId w:val="1031"/>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1"/>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2"/>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2"/>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r>
        <w:t xml:space="preserve"> </w:t>
      </w:r>
      <w:r>
        <w:t xml:space="preserve">It is defined by a CV (coefficient of variation) as the ratio of the standard deviation to the mean for replicates.</w:t>
      </w:r>
      <w:r>
        <w:t xml:space="preserve"> </w:t>
      </w:r>
      <w:r>
        <w:t xml:space="preserve">Note that the CV should ideally be measured across plates rather than within the same plate.</w:t>
      </w:r>
    </w:p>
    <w:bookmarkEnd w:id="91"/>
    <w:bookmarkStart w:id="96" w:name="multiple-biomarkers"/>
    <w:p>
      <w:pPr>
        <w:pStyle w:val="Heading2"/>
      </w:pPr>
      <w:r>
        <w:t xml:space="preserve">5.8 Multiple biomarkers</w:t>
      </w:r>
    </w:p>
    <w:tbl>
      <w:tblPr>
        <w:tblStyle w:val="Table"/>
        <w:tblW w:type="pct" w:w="5000"/>
        <w:tblLayout w:type="fixed"/>
        <w:tblLook w:firstRow="0" w:lastRow="0" w:firstColumn="0" w:lastColumn="0" w:noHBand="0" w:noVBand="0" w:val="0000"/>
      </w:tblPr>
      <w:tblGrid>
        <w:gridCol w:w="7920"/>
      </w:tblGrid>
      <w:tr>
        <w:tc>
          <w:tcPr/>
          <w:bookmarkStart w:id="95" w:name="fig-loglik"/>
          <w:p>
            <w:pPr>
              <w:pStyle w:val="Compact"/>
              <w:jc w:val="center"/>
            </w:pPr>
            <w:r>
              <w:drawing>
                <wp:inline>
                  <wp:extent cx="4620126" cy="3696101"/>
                  <wp:effectExtent b="0" l="0" r="0" t="0"/>
                  <wp:docPr descr="" title="" id="93" name="Picture"/>
                  <a:graphic>
                    <a:graphicData uri="http://schemas.openxmlformats.org/drawingml/2006/picture">
                      <pic:pic>
                        <pic:nvPicPr>
                          <pic:cNvPr descr="methodology_files/figure-docx/fig-loglik-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5"/>
        </w:tc>
      </w:tr>
    </w:tbl>
    <w:bookmarkEnd w:id="96"/>
    <w:bookmarkStart w:id="100" w:name="X2f1a22e0e8bfbbb3bd4a9b4c70c58b4086e4038"/>
    <w:p>
      <w:pPr>
        <w:pStyle w:val="Heading2"/>
      </w:pPr>
      <w:r>
        <w:t xml:space="preserve">5.9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98" name="Picture"/>
            <a:graphic>
              <a:graphicData uri="http://schemas.openxmlformats.org/drawingml/2006/picture">
                <pic:pic>
                  <pic:nvPicPr>
                    <pic:cNvPr descr="../man/figures/kinetics-variation-1.png" id="99" name="Picture"/>
                    <pic:cNvPicPr>
                      <a:picLocks noChangeArrowheads="1" noChangeAspect="1"/>
                    </pic:cNvPicPr>
                  </pic:nvPicPr>
                  <pic:blipFill>
                    <a:blip r:embed="rId97"/>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0"/>
    <w:bookmarkStart w:id="104" w:name="Xe0d498a7f1d34353def60f09705ade4ab365d1e"/>
    <w:p>
      <w:pPr>
        <w:pStyle w:val="Heading2"/>
      </w:pPr>
      <w:r>
        <w:t xml:space="preserve">5.10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2" name="Picture"/>
            <a:graphic>
              <a:graphicData uri="http://schemas.openxmlformats.org/drawingml/2006/picture">
                <pic:pic>
                  <pic:nvPicPr>
                    <pic:cNvPr descr="../man/figures/kinetics-variation-2.png" id="103" name="Picture"/>
                    <pic:cNvPicPr>
                      <a:picLocks noChangeArrowheads="1" noChangeAspect="1"/>
                    </pic:cNvPicPr>
                  </pic:nvPicPr>
                  <pic:blipFill>
                    <a:blip r:embed="rId101"/>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4"/>
    <w:bookmarkEnd w:id="105"/>
    <w:bookmarkStart w:id="116" w:name="estimating-the-curves-with-serodynamics"/>
    <w:p>
      <w:pPr>
        <w:pStyle w:val="Heading1"/>
      </w:pPr>
      <w:r>
        <w:t xml:space="preserve">6. Estimating the curves with</w:t>
      </w:r>
      <w:r>
        <w:t xml:space="preserve"> </w:t>
      </w:r>
      <w:r>
        <w:rPr>
          <w:rStyle w:val="VerbatimChar"/>
        </w:rPr>
        <w:t xml:space="preserve">serodynamics</w:t>
      </w:r>
    </w:p>
    <w:bookmarkStart w:id="106"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3"/>
        </w:numPr>
      </w:pPr>
      <w:r>
        <w:t xml:space="preserve">baseline antibody level (</w:t>
      </w:r>
      <m:oMath>
        <m:sSub>
          <m:e>
            <m:r>
              <m:t>y</m:t>
            </m:r>
          </m:e>
          <m:sub>
            <m:r>
              <m:t>0</m:t>
            </m:r>
          </m:sub>
        </m:sSub>
      </m:oMath>
      <w:r>
        <w:t xml:space="preserve">)</w:t>
      </w:r>
    </w:p>
    <w:p>
      <w:pPr>
        <w:pStyle w:val="Compact"/>
        <w:numPr>
          <w:ilvl w:val="0"/>
          <w:numId w:val="1033"/>
        </w:numPr>
      </w:pPr>
      <w:r>
        <w:t xml:space="preserve">peak concentration (</w:t>
      </w:r>
      <m:oMath>
        <m:sSub>
          <m:e>
            <m:r>
              <m:t>y</m:t>
            </m:r>
          </m:e>
          <m:sub>
            <m:r>
              <m:t>1</m:t>
            </m:r>
          </m:sub>
        </m:sSub>
      </m:oMath>
      <w:r>
        <w:t xml:space="preserve">)</w:t>
      </w:r>
    </w:p>
    <w:p>
      <w:pPr>
        <w:pStyle w:val="Compact"/>
        <w:numPr>
          <w:ilvl w:val="0"/>
          <w:numId w:val="1033"/>
        </w:numPr>
      </w:pPr>
      <w:r>
        <w:t xml:space="preserve">time to peak (</w:t>
      </w:r>
      <m:oMath>
        <m:sSub>
          <m:e>
            <m:r>
              <m:t>t</m:t>
            </m:r>
          </m:e>
          <m:sub>
            <m:r>
              <m:t>1</m:t>
            </m:r>
          </m:sub>
        </m:sSub>
      </m:oMath>
      <w:r>
        <w:t xml:space="preserve">)</w:t>
      </w:r>
    </w:p>
    <w:p>
      <w:pPr>
        <w:pStyle w:val="Compact"/>
        <w:numPr>
          <w:ilvl w:val="0"/>
          <w:numId w:val="1033"/>
        </w:numPr>
      </w:pPr>
      <w:r>
        <w:t xml:space="preserve">decay rate (</w:t>
      </w:r>
      <m:oMath>
        <m:r>
          <m:t>α</m:t>
        </m:r>
      </m:oMath>
      <w:r>
        <w:t xml:space="preserve">)</w:t>
      </w:r>
    </w:p>
    <w:p>
      <w:pPr>
        <w:pStyle w:val="Compact"/>
        <w:numPr>
          <w:ilvl w:val="0"/>
          <w:numId w:val="1033"/>
        </w:numPr>
      </w:pPr>
      <w:r>
        <w:t xml:space="preserve">decay shape (</w:t>
      </w:r>
      <m:oMath>
        <m:r>
          <m:t>r</m:t>
        </m:r>
      </m:oMath>
      <w:r>
        <w:t xml:space="preserve">)</w:t>
      </w:r>
    </w:p>
    <w:bookmarkEnd w:id="106"/>
    <w:bookmarkStart w:id="108"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7">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08"/>
    <w:bookmarkStart w:id="109"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09"/>
    <w:bookmarkStart w:id="113"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1" name="Picture"/>
            <a:graphic>
              <a:graphicData uri="http://schemas.openxmlformats.org/drawingml/2006/picture">
                <pic:pic>
                  <pic:nvPicPr>
                    <pic:cNvPr descr="../man/figures/serodynamics-cached-fit.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3"/>
    <w:bookmarkStart w:id="114" w:name="two-packages-one-pipeline"/>
    <w:p>
      <w:pPr>
        <w:pStyle w:val="Heading2"/>
      </w:pPr>
      <w:r>
        <w:t xml:space="preserve">6.5 Two packages, one pipeline</w:t>
      </w:r>
    </w:p>
    <w:p>
      <w:pPr>
        <w:pStyle w:val="Compact"/>
        <w:numPr>
          <w:ilvl w:val="0"/>
          <w:numId w:val="1034"/>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4"/>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4"/>
    <w:bookmarkStart w:id="115"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5"/>
        </w:numPr>
      </w:pPr>
      <w:r>
        <w:rPr>
          <w:b/>
          <w:bCs/>
        </w:rPr>
        <w:t xml:space="preserve">estimation uncertainty</w:t>
      </w:r>
      <w:r>
        <w:t xml:space="preserve"> </w:t>
      </w:r>
      <w:r>
        <w:t xml:space="preserve">in the kinetics parameters, and</w:t>
      </w:r>
    </w:p>
    <w:p>
      <w:pPr>
        <w:pStyle w:val="Compact"/>
        <w:numPr>
          <w:ilvl w:val="0"/>
          <w:numId w:val="1035"/>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5"/>
    <w:bookmarkEnd w:id="116"/>
    <w:bookmarkStart w:id="125" w:name="using-serocalculator"/>
    <w:p>
      <w:pPr>
        <w:pStyle w:val="Heading1"/>
      </w:pPr>
      <w:r>
        <w:t xml:space="preserve">7. Using</w:t>
      </w:r>
      <w:r>
        <w:t xml:space="preserve"> </w:t>
      </w:r>
      <w:r>
        <w:rPr>
          <w:rStyle w:val="VerbatimChar"/>
        </w:rPr>
        <w:t xml:space="preserve">serocalculator</w:t>
      </w:r>
    </w:p>
    <w:bookmarkStart w:id="11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17">
        <w:r>
          <w:rPr>
            <w:rStyle w:val="VerbatimChar"/>
          </w:rPr>
          <w:t xml:space="preserve">serocalculator</w:t>
        </w:r>
      </w:hyperlink>
      <w:r>
        <w:t xml:space="preserve"> </w:t>
      </w:r>
      <w:r>
        <w:t xml:space="preserve">R package.</w:t>
      </w:r>
    </w:p>
    <w:bookmarkEnd w:id="118"/>
    <w:bookmarkStart w:id="119" w:name="estimating-seroincidence"/>
    <w:p>
      <w:pPr>
        <w:pStyle w:val="Heading2"/>
      </w:pPr>
      <w:r>
        <w:t xml:space="preserve">7.2 Estimating seroincidence</w:t>
      </w:r>
    </w:p>
    <w:bookmarkEnd w:id="119"/>
    <w:bookmarkStart w:id="124" w:name="interactive-shiny-app"/>
    <w:p>
      <w:pPr>
        <w:pStyle w:val="Heading2"/>
      </w:pPr>
      <w:r>
        <w:t xml:space="preserve">7.3 Interactive Shiny app</w:t>
      </w:r>
    </w:p>
    <w:p>
      <w:pPr>
        <w:pStyle w:val="FirstParagraph"/>
      </w:pPr>
      <w:r>
        <w:t xml:space="preserve">A point-and-click interface is available at</w:t>
      </w:r>
      <w:r>
        <w:t xml:space="preserve"> </w:t>
      </w:r>
      <w:hyperlink r:id="rId120">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2" name="Picture"/>
            <a:graphic>
              <a:graphicData uri="http://schemas.openxmlformats.org/drawingml/2006/picture">
                <pic:pic>
                  <pic:nvPicPr>
                    <pic:cNvPr descr="../man/figures/shiny-serocalculator.png" id="123" name="Picture"/>
                    <pic:cNvPicPr>
                      <a:picLocks noChangeArrowheads="1" noChangeAspect="1"/>
                    </pic:cNvPicPr>
                  </pic:nvPicPr>
                  <pic:blipFill>
                    <a:blip r:embed="rId121"/>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4"/>
    <w:bookmarkEnd w:id="125"/>
    <w:bookmarkStart w:id="146" w:name="X950effd5ffba89669b8964fc48817b69e54f5c8"/>
    <w:p>
      <w:pPr>
        <w:pStyle w:val="Heading1"/>
      </w:pPr>
      <w:r>
        <w:t xml:space="preserve">8. Validation: recovering known incidence rates</w:t>
      </w:r>
    </w:p>
    <w:bookmarkStart w:id="126"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6"/>
    <w:bookmarkStart w:id="130"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28" name="Picture"/>
            <a:graphic>
              <a:graphicData uri="http://schemas.openxmlformats.org/drawingml/2006/picture">
                <pic:pic>
                  <pic:nvPicPr>
                    <pic:cNvPr descr="../man/figures/sim-recovery.png" id="129" name="Picture"/>
                    <pic:cNvPicPr>
                      <a:picLocks noChangeArrowheads="1" noChangeAspect="1"/>
                    </pic:cNvPicPr>
                  </pic:nvPicPr>
                  <pic:blipFill>
                    <a:blip r:embed="rId12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0"/>
    <w:bookmarkStart w:id="132" w:name="in-progress-work"/>
    <w:p>
      <w:pPr>
        <w:pStyle w:val="Heading2"/>
      </w:pPr>
      <w:r>
        <w:t xml:space="preserve">8.3 In-progress work</w:t>
      </w:r>
    </w:p>
    <w:p>
      <w:pPr>
        <w:numPr>
          <w:ilvl w:val="0"/>
          <w:numId w:val="1036"/>
        </w:numPr>
      </w:pPr>
      <w:r>
        <w:t xml:space="preserve">Extending and improving existing Shiny apps for these methods</w:t>
      </w:r>
      <w:r>
        <w:t xml:space="preserve"> </w:t>
      </w:r>
      <w:r>
        <w:t xml:space="preserve">(e.g., the</w:t>
      </w:r>
      <w:r>
        <w:t xml:space="preserve"> </w:t>
      </w:r>
      <w:hyperlink r:id="rId120">
        <w:r>
          <w:rPr>
            <w:rStyle w:val="Hyperlink"/>
          </w:rPr>
          <w:t xml:space="preserve">serocalculator Shiny app</w:t>
        </w:r>
      </w:hyperlink>
      <w:r>
        <w:t xml:space="preserve">,</w:t>
      </w:r>
      <w:r>
        <w:t xml:space="preserve"> </w:t>
      </w:r>
      <w:hyperlink r:id="rId131">
        <w:r>
          <w:rPr>
            <w:rStyle w:val="Hyperlink"/>
          </w:rPr>
          <w:t xml:space="preserve">source</w:t>
        </w:r>
      </w:hyperlink>
      <w:r>
        <w:t xml:space="preserve">)</w:t>
      </w:r>
    </w:p>
    <w:p>
      <w:pPr>
        <w:numPr>
          <w:ilvl w:val="0"/>
          <w:numId w:val="1036"/>
        </w:numPr>
      </w:pPr>
      <w:r>
        <w:t xml:space="preserve">Multivariate modeling of biomarkers (relaxing conditional independence)</w:t>
      </w:r>
    </w:p>
    <w:p>
      <w:pPr>
        <w:numPr>
          <w:ilvl w:val="0"/>
          <w:numId w:val="1036"/>
        </w:numPr>
      </w:pPr>
      <w:r>
        <w:t xml:space="preserve">A graphical (Shiny) app for</w:t>
      </w:r>
      <w:r>
        <w:t xml:space="preserve"> </w:t>
      </w:r>
      <w:r>
        <w:rPr>
          <w:rStyle w:val="VerbatimChar"/>
        </w:rPr>
        <w:t xml:space="preserve">serodynamics</w:t>
      </w:r>
    </w:p>
    <w:p>
      <w:pPr>
        <w:numPr>
          <w:ilvl w:val="0"/>
          <w:numId w:val="1036"/>
        </w:numPr>
      </w:pPr>
      <w:r>
        <w:t xml:space="preserve">Modeling time-varying incidence rates</w:t>
      </w:r>
    </w:p>
    <w:p>
      <w:pPr>
        <w:numPr>
          <w:ilvl w:val="0"/>
          <w:numId w:val="1036"/>
        </w:numPr>
      </w:pPr>
      <w:r>
        <w:t xml:space="preserve">Accounting for re-exposure</w:t>
      </w:r>
    </w:p>
    <w:p>
      <w:pPr>
        <w:numPr>
          <w:ilvl w:val="0"/>
          <w:numId w:val="1036"/>
        </w:numPr>
      </w:pPr>
      <w:r>
        <w:t xml:space="preserve">Accounting for latent immunocompromised subpopulations</w:t>
      </w:r>
    </w:p>
    <w:p>
      <w:pPr>
        <w:numPr>
          <w:ilvl w:val="0"/>
          <w:numId w:val="1036"/>
        </w:numPr>
      </w:pPr>
      <w:r>
        <w:t xml:space="preserve">Calibrating to population demographics</w:t>
      </w:r>
    </w:p>
    <w:bookmarkEnd w:id="132"/>
    <w:bookmarkStart w:id="134"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3">
        <w:r>
          <w:rPr>
            <w:rStyle w:val="Hyperlink"/>
          </w:rPr>
          <w:t xml:space="preserve">UCD-SERG/shigella#13</w:t>
        </w:r>
      </w:hyperlink>
      <w:r>
        <w:t xml:space="preserve">).</w:t>
      </w:r>
    </w:p>
    <w:bookmarkEnd w:id="134"/>
    <w:bookmarkStart w:id="145" w:name="references"/>
    <w:p>
      <w:pPr>
        <w:pStyle w:val="Heading2"/>
      </w:pPr>
      <w:r>
        <w:t xml:space="preserve">References</w:t>
      </w:r>
    </w:p>
    <w:bookmarkStart w:id="144" w:name="refs"/>
    <w:bookmarkStart w:id="13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5">
        <w:r>
          <w:rPr>
            <w:rStyle w:val="Hyperlink"/>
          </w:rPr>
          <w:t xml:space="preserve">https://doi.org/10.1016/S2666-5247(22)00114-8</w:t>
        </w:r>
      </w:hyperlink>
      <w:r>
        <w:t xml:space="preserve">.</w:t>
      </w:r>
    </w:p>
    <w:bookmarkEnd w:id="136"/>
    <w:bookmarkStart w:id="13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37">
        <w:r>
          <w:rPr>
            <w:rStyle w:val="Hyperlink"/>
          </w:rPr>
          <w:t xml:space="preserve">https://doi.org/10.1016/j.epidem.2024.100806</w:t>
        </w:r>
      </w:hyperlink>
      <w:r>
        <w:t xml:space="preserve">.</w:t>
      </w:r>
    </w:p>
    <w:bookmarkEnd w:id="138"/>
    <w:bookmarkStart w:id="14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39">
        <w:r>
          <w:rPr>
            <w:rStyle w:val="Hyperlink"/>
          </w:rPr>
          <w:t xml:space="preserve">https://doi.org/10.1159/000286345</w:t>
        </w:r>
      </w:hyperlink>
      <w:r>
        <w:t xml:space="preserve">.</w:t>
      </w:r>
    </w:p>
    <w:bookmarkEnd w:id="140"/>
    <w:bookmarkStart w:id="14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1">
        <w:r>
          <w:rPr>
            <w:rStyle w:val="Hyperlink"/>
          </w:rPr>
          <w:t xml:space="preserve">https://doi.org/10.1016/j.epidem.2016.04.001</w:t>
        </w:r>
      </w:hyperlink>
      <w:r>
        <w:t xml:space="preserve">.</w:t>
      </w:r>
    </w:p>
    <w:bookmarkEnd w:id="142"/>
    <w:bookmarkStart w:id="14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3"/>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86" Target="media/rId86.svg" /><Relationship Type="http://schemas.openxmlformats.org/officeDocument/2006/relationships/image" Id="rId110" Target="media/rId110.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51" Target="media/rId51.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35" Target="https://doi.org/10.1016/S2666-5247(22)00114-8" TargetMode="External" /><Relationship Type="http://schemas.openxmlformats.org/officeDocument/2006/relationships/hyperlink" Id="rId141" Target="https://doi.org/10.1016/j.epidem.2016.04.001" TargetMode="External" /><Relationship Type="http://schemas.openxmlformats.org/officeDocument/2006/relationships/hyperlink" Id="rId137" Target="https://doi.org/10.1016/j.epidem.2024.100806" TargetMode="External" /><Relationship Type="http://schemas.openxmlformats.org/officeDocument/2006/relationships/hyperlink" Id="rId139" Target="https://doi.org/10.1159/000286345" TargetMode="External" /><Relationship Type="http://schemas.openxmlformats.org/officeDocument/2006/relationships/hyperlink" Id="rId117" Target="https://github.com/UCD-SERG/serocalculator" TargetMode="External" /><Relationship Type="http://schemas.openxmlformats.org/officeDocument/2006/relationships/hyperlink" Id="rId107"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3" Target="https://github.com/UCD-SERG/shigella/pull/13" TargetMode="External" /><Relationship Type="http://schemas.openxmlformats.org/officeDocument/2006/relationships/hyperlink" Id="rId131"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0"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35" Target="https://doi.org/10.1016/S2666-5247(22)00114-8" TargetMode="External" /><Relationship Type="http://schemas.openxmlformats.org/officeDocument/2006/relationships/hyperlink" Id="rId141" Target="https://doi.org/10.1016/j.epidem.2016.04.001" TargetMode="External" /><Relationship Type="http://schemas.openxmlformats.org/officeDocument/2006/relationships/hyperlink" Id="rId137" Target="https://doi.org/10.1016/j.epidem.2024.100806" TargetMode="External" /><Relationship Type="http://schemas.openxmlformats.org/officeDocument/2006/relationships/hyperlink" Id="rId139" Target="https://doi.org/10.1159/000286345" TargetMode="External" /><Relationship Type="http://schemas.openxmlformats.org/officeDocument/2006/relationships/hyperlink" Id="rId117" Target="https://github.com/UCD-SERG/serocalculator" TargetMode="External" /><Relationship Type="http://schemas.openxmlformats.org/officeDocument/2006/relationships/hyperlink" Id="rId107"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3" Target="https://github.com/UCD-SERG/shigella/pull/13" TargetMode="External" /><Relationship Type="http://schemas.openxmlformats.org/officeDocument/2006/relationships/hyperlink" Id="rId131"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0"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2026-07-18T00:47:57Z</dcterms:created>
  <dcterms:modified xsi:type="dcterms:W3CDTF">2026-07-18T00:47:57Z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