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8.jpg" ContentType="image/jpeg"/>
  <Override PartName="/word/media/rId23.jpg" ContentType="image/jpeg"/>
  <Override PartName="/word/media/rId119.png" ContentType="image/png"/>
  <Override PartName="/word/media/rId123.png" ContentType="image/png"/>
  <Override PartName="/word/media/rId100.svg" ContentType="image/svg+xml"/>
  <Override PartName="/word/media/rId132.png" ContentType="image/png"/>
  <Override PartName="/word/media/rId156.png" ContentType="image/png"/>
  <Override PartName="/word/media/rId168.png" ContentType="image/png"/>
  <Override PartName="/word/media/rId108.png" ContentType="image/png"/>
  <Override PartName="/word/media/rId183.png" ContentType="image/png"/>
  <Override PartName="/word/media/rId149.png" ContentType="image/png"/>
  <Override PartName="/word/media/rId58.png" ContentType="image/png"/>
  <Override PartName="/word/media/rId114.png" ContentType="image/png"/>
  <Override PartName="/word/media/rId174.png" ContentType="image/png"/>
  <Override PartName="/word/media/rId95.png" ContentType="image/png"/>
  <Override PartName="/word/media/rId144.png" ContentType="image/png"/>
  <Override PartName="/word/media/rId161.png" ContentType="image/png"/>
  <Override PartName="/word/media/rId179.png" ContentType="image/png"/>
  <Override PartName="/word/media/rId188.png" ContentType="image/png"/>
  <Override PartName="/word/media/rId29.png" ContentType="image/png"/>
  <Override PartName="/word/media/rId70.png" ContentType="image/png"/>
  <Override PartName="/word/media/rId7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2026-08-09</w:t>
      </w:r>
    </w:p>
    <w:bookmarkStart w:id="28" w:name="infectious-disease-epidemiology"/>
    <w:p>
      <w:pPr>
        <w:pStyle w:val="Heading1"/>
      </w:pPr>
      <w:r>
        <w:t xml:space="preserve">1. Infectious disease epidemiology</w:t>
      </w:r>
    </w:p>
    <w:bookmarkStart w:id="17"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PHIL ID 2115)."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PHIL ID 2115).</w:t>
      </w:r>
    </w:p>
    <w:p>
      <w:pPr>
        <w:pStyle w:val="CaptionedFigure"/>
      </w:pP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5">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17"/>
    <w:bookmarkStart w:id="22"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9" name="Picture"/>
            <a:graphic>
              <a:graphicData uri="http://schemas.openxmlformats.org/drawingml/2006/picture">
                <pic:pic>
                  <pic:nvPicPr>
                    <pic:cNvPr descr="../man/figures/Shigella_stool.jpg" id="20" name="Picture"/>
                    <pic:cNvPicPr>
                      <a:picLocks noChangeArrowheads="1" noChangeAspect="1"/>
                    </pic:cNvPicPr>
                  </pic:nvPicPr>
                  <pic:blipFill>
                    <a:blip r:embed="rId18"/>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1">
        <w:r>
          <w:rPr>
            <w:rStyle w:val="Hyperlink"/>
          </w:rPr>
          <w:t xml:space="preserve">Wikimedia Commons</w:t>
        </w:r>
      </w:hyperlink>
      <w:r>
        <w:t xml:space="preserve">.</w:t>
      </w:r>
    </w:p>
    <w:bookmarkEnd w:id="22"/>
    <w:bookmarkStart w:id="27"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4" name="Picture"/>
            <a:graphic>
              <a:graphicData uri="http://schemas.openxmlformats.org/drawingml/2006/picture">
                <pic:pic>
                  <pic:nvPicPr>
                    <pic:cNvPr descr="../man/figures/Trombicula-larva-stylostome.jp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6">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27"/>
    <w:bookmarkEnd w:id="28"/>
    <w:bookmarkStart w:id="40" w:name="why-estimate-incidence-from-serosurveys"/>
    <w:p>
      <w:pPr>
        <w:pStyle w:val="Heading1"/>
      </w:pPr>
      <w:r>
        <w:t xml:space="preserve">2. Why estimate incidence from serosurveys?</w:t>
      </w:r>
    </w:p>
    <w:bookmarkStart w:id="32"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0" name="Picture"/>
            <a:graphic>
              <a:graphicData uri="http://schemas.openxmlformats.org/drawingml/2006/picture">
                <pic:pic>
                  <pic:nvPicPr>
                    <pic:cNvPr descr="methodology_files/figure-docx/unnamed-chunk-2-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2"/>
    <w:bookmarkStart w:id="33"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3"/>
    <w:bookmarkStart w:id="36" w:name="defining-incidence"/>
    <w:p>
      <w:pPr>
        <w:pStyle w:val="Heading2"/>
      </w:pPr>
      <w:r>
        <w:t xml:space="preserve">2.3 Defining incidence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(Population incidence rate)</w:t>
            </w:r>
          </w:p>
          <w:bookmarkStart w:id="34" w:name="def-incidence"/>
          <w:p>
            <w:pPr>
              <w:pStyle w:val="BodyText"/>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Example (Population incidence rate)</w:t>
            </w:r>
          </w:p>
        </w:tc>
      </w:tr>
      <w:tr>
        <w:trPr>
          <w:cantSplit/>
        </w:trPr>
        <w:tc>
          <w:tcPr>
            <w:tcMar>
              <w:top w:w="108" w:type="dxa"/>
              <w:bottom w:w="108" w:type="dxa"/>
            </w:tcMar>
          </w:tcPr>
          <w:bookmarkStart w:id="35"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5"/>
          <w:p/>
        </w:tc>
      </w:tr>
    </w:tbl>
    <w:bookmarkEnd w:id="36"/>
    <w:bookmarkStart w:id="37"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7"/>
    <w:bookmarkStart w:id="38"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8"/>
    <w:bookmarkStart w:id="39"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9"/>
    <w:bookmarkEnd w:id="40"/>
    <w:bookmarkStart w:id="44" w:name="X692dd3848eaa2be35c7162f2cc08762f080ab63"/>
    <w:p>
      <w:pPr>
        <w:pStyle w:val="Heading1"/>
      </w:pPr>
      <w:r>
        <w:t xml:space="preserve">3. Study designs for estimating incidence rates</w:t>
      </w:r>
    </w:p>
    <w:bookmarkStart w:id="41"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1"/>
    <w:bookmarkStart w:id="42"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2"/>
    <w:bookmarkStart w:id="43"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3"/>
    <w:bookmarkEnd w:id="44"/>
    <w:bookmarkStart w:id="90" w:name="Xbe5ebe555b3ef679e4d759bfe9ee88c74ef3ef7"/>
    <w:p>
      <w:pPr>
        <w:pStyle w:val="Heading1"/>
      </w:pPr>
      <w:r>
        <w:t xml:space="preserve">4. Estimating incidence from cross-sectional serosurveys</w:t>
      </w:r>
    </w:p>
    <w:bookmarkStart w:id="45"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5"/>
    <w:bookmarkStart w:id="46"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6"/>
    <w:bookmarkStart w:id="47"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7"/>
    <w:bookmarkStart w:id="50" w:name="modeling-assumptions"/>
    <w:p>
      <w:pPr>
        <w:pStyle w:val="Heading2"/>
      </w:pPr>
      <w:r>
        <w:t xml:space="preserve">4.4 Modeling assumptions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(Constant-incidence model)</w:t>
            </w:r>
          </w:p>
          <w:bookmarkStart w:id="48" w:name="def-constant-incidence-model"/>
          <w:p>
            <w:pPr>
              <w:pStyle w:val="BodyText"/>
            </w:pPr>
            <w:r>
              <w:rPr>
                <w:b/>
                <w:bCs/>
              </w:rPr>
              <w:t xml:space="preserve">Definition 2 (Constant-incidence model)</w:t>
            </w:r>
            <w:r>
              <w:t xml:space="preserve"> </w:t>
            </w:r>
            <w:r>
              <w:t xml:space="preserve">In the</w:t>
            </w:r>
            <w:r>
              <w:t xml:space="preserve"> </w:t>
            </w:r>
            <w:r>
              <w:rPr>
                <w:b/>
                <w:bCs/>
              </w:rPr>
              <w:t xml:space="preserve">constant-incidence model</w:t>
            </w:r>
            <w:r>
              <w:t xml:space="preserve">:</w:t>
            </w:r>
          </w:p>
          <w:p>
            <w:pPr>
              <w:numPr>
                <w:ilvl w:val="0"/>
                <w:numId w:val="1014"/>
              </w:numPr>
            </w:pPr>
            <w:r>
              <w:t xml:space="preserve">incidence is</w:t>
            </w:r>
            <w:r>
              <w:t xml:space="preserve"> </w:t>
            </w:r>
            <w:r>
              <w:rPr>
                <w:b/>
                <w:bCs/>
              </w:rPr>
              <w:t xml:space="preserve">constant over time</w:t>
            </w:r>
            <w:r>
              <w:t xml:space="preserve"> </w:t>
            </w:r>
            <w:r>
              <w:t xml:space="preserve">and</w:t>
            </w:r>
            <w:r>
              <w:t xml:space="preserve"> </w:t>
            </w:r>
            <w:r>
              <w:rPr>
                <w:b/>
                <w:bCs/>
              </w:rPr>
              <w:t xml:space="preserve">homogeneous across the</w:t>
            </w:r>
            <w:r>
              <w:rPr>
                <w:b/>
                <w:bCs/>
              </w:rPr>
              <w:t xml:space="preserve"> </w:t>
            </w:r>
            <w:r>
              <w:rPr>
                <w:b/>
                <w:bCs/>
              </w:rPr>
              <w:t xml:space="preserve">population</w:t>
            </w:r>
            <w:r>
              <w:t xml:space="preserve">, so a single number describes the whole sample,</w:t>
            </w:r>
          </w:p>
          <w:p>
            <w:pPr>
              <w:pStyle w:val="BodyText"/>
            </w:pPr>
            <m:oMathPara>
              <m:oMathParaPr>
                <m:jc m:val="center"/>
              </m:oMathParaPr>
              <m:oMath>
                <m:sSub>
                  <m:e>
                    <m:r>
                      <m:t>λ</m:t>
                    </m:r>
                  </m:e>
                  <m:sub>
                    <m:r>
                      <m:t>i</m:t>
                    </m:r>
                    <m:r>
                      <m:rPr>
                        <m:sty m:val="p"/>
                      </m:rPr>
                      <m:t>,</m:t>
                    </m:r>
                    <m:r>
                      <m:t>t</m:t>
                    </m:r>
                  </m:sub>
                </m:sSub>
                <m:r>
                  <m:rPr>
                    <m:sty m:val="p"/>
                  </m:rPr>
                  <m:t>=</m:t>
                </m:r>
                <m:r>
                  <m:t>λ</m:t>
                </m:r>
                <m:r>
                  <m:rPr>
                    <m:sty m:val="p"/>
                  </m:rPr>
                  <m:t>,</m:t>
                </m:r>
                <m:r>
                  <m:t> </m:t>
                </m:r>
                <m:r>
                  <m:rPr>
                    <m:sty m:val="p"/>
                  </m:rPr>
                  <m:t>∀</m:t>
                </m:r>
                <m:r>
                  <m:t>i</m:t>
                </m:r>
                <m:r>
                  <m:rPr>
                    <m:sty m:val="p"/>
                  </m:rPr>
                  <m:t>,</m:t>
                </m:r>
                <m:r>
                  <m:t>t</m:t>
                </m:r>
              </m:oMath>
            </m:oMathPara>
          </w:p>
          <w:p>
            <w:pPr>
              <w:numPr>
                <w:ilvl w:val="0"/>
                <w:numId w:val="1000"/>
              </w:numPr>
            </w:pPr>
            <w:r>
              <w:t xml:space="preserve">(subpopulations can be analyzed separately to make this more</w:t>
            </w:r>
            <w:r>
              <w:t xml:space="preserve"> </w:t>
            </w:r>
            <w:r>
              <w:t xml:space="preserve">plausible); and</w:t>
            </w:r>
          </w:p>
          <w:p>
            <w:pPr>
              <w:numPr>
                <w:ilvl w:val="0"/>
                <w:numId w:val="1014"/>
              </w:numPr>
            </w:pPr>
            <w:r>
              <w:t xml:space="preserve">there is</w:t>
            </w:r>
            <w:r>
              <w:t xml:space="preserve"> </w:t>
            </w:r>
            <w:r>
              <w:rPr>
                <w:b/>
                <w:bCs/>
              </w:rPr>
              <w:t xml:space="preserve">no lasting immunity</w:t>
            </w:r>
            <w:r>
              <w:t xml:space="preserve">: participants are always at risk of</w:t>
            </w:r>
            <w:r>
              <w:t xml:space="preserve"> </w:t>
            </w:r>
            <w:r>
              <w:t xml:space="preserve">a new infection, regardless of how recently they were last infected.</w:t>
            </w:r>
          </w:p>
          <w:bookmarkEnd w:id="48"/>
        </w:tc>
      </w:tr>
    </w:tbl>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9">
        <w:r>
          <w:rPr>
            <w:rStyle w:val="Hyperlink"/>
          </w:rPr>
          <w:t xml:space="preserve">on our to-do list</w:t>
        </w:r>
      </w:hyperlink>
      <w:r>
        <w:t xml:space="preserve">).</w:t>
      </w:r>
    </w:p>
    <w:bookmarkEnd w:id="50"/>
    <w:bookmarkStart w:id="52" w:name="time-since-infection-and-incidence"/>
    <w:p>
      <w:pPr>
        <w:pStyle w:val="Heading2"/>
      </w:pPr>
      <w:r>
        <w:t xml:space="preserve">4.5 Time since infection and incidence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Proposition (Distribution of time since last infection)</w:t>
            </w:r>
          </w:p>
          <w:bookmarkStart w:id="51" w:name="prp-time-since-infection"/>
          <w:p>
            <w:pPr>
              <w:pStyle w:val="BodyText"/>
            </w:pPr>
            <w:r>
              <w:rPr>
                <w:b/>
                <w:bCs/>
              </w:rPr>
              <w:t xml:space="preserve">Proposition 1 (Distribution of time since last infection)</w:t>
            </w:r>
            <w:r>
              <w:t xml:space="preserve"> </w:t>
            </w:r>
            <w:r>
              <w:t xml:space="preserve">Under the constant-incidence model (</w:t>
            </w:r>
            <w:hyperlink w:anchor="def-constant-incidence-model">
              <w:r>
                <w:rPr>
                  <w:rStyle w:val="Hyperlink"/>
                </w:rPr>
                <w:t xml:space="preserve">Definition 2</w:t>
              </w:r>
            </w:hyperlink>
            <w:r>
              <w:t xml:space="preserve">), a participant’s time since last</w:t>
            </w:r>
            <w:r>
              <w:t xml:space="preserve"> </w:t>
            </w:r>
            <w:r>
              <w:t xml:space="preserve">infection,</w:t>
            </w:r>
            <w:r>
              <w:t xml:space="preserve"> </w:t>
            </w:r>
            <m:oMath>
              <m:r>
                <m:t>T</m:t>
              </m:r>
            </m:oMath>
            <w:r>
              <w:t xml:space="preserve">, is</w:t>
            </w:r>
            <w:r>
              <w:t xml:space="preserve"> </w:t>
            </w:r>
            <w:r>
              <w:rPr>
                <w:b/>
                <w:bCs/>
              </w:rPr>
              <w:t xml:space="preserve">exponentially distributed with rate</w:t>
            </w:r>
            <w:r>
              <w:rPr>
                <w:b/>
                <w:bCs/>
              </w:rPr>
              <w:t xml:space="preserve"> </w:t>
            </w:r>
            <m:oMath>
              <m:r>
                <m:t>λ</m:t>
              </m:r>
            </m:oMath>
            <w:r>
              <w:t xml:space="preserve">,</w:t>
            </w:r>
            <w:r>
              <w:t xml:space="preserve"> </w:t>
            </w:r>
            <w:r>
              <w:t xml:space="preserve">truncated at their age</w:t>
            </w:r>
            <w:r>
              <w:t xml:space="preserve"> </w:t>
            </w:r>
            <m:oMath>
              <m:r>
                <m:t>a</m:t>
              </m:r>
            </m:oMath>
            <w:r>
              <w:t xml:space="preserve">: no one can have been infected before they</w:t>
            </w:r>
            <w:r>
              <w:t xml:space="preserve"> </w:t>
            </w:r>
            <w:r>
              <w:t xml:space="preserve">were born, so the density is supported on</w:t>
            </w:r>
            <w:r>
              <w:t xml:space="preserve"> </w:t>
            </w:r>
            <m:oMath>
              <m:r>
                <m:rPr>
                  <m:sty m:val="p"/>
                </m:rPr>
                <m:t>[</m:t>
              </m:r>
              <m:r>
                <m:t>0</m:t>
              </m:r>
              <m:r>
                <m:rPr>
                  <m:sty m:val="p"/>
                </m:rPr>
                <m:t>,</m:t>
              </m:r>
              <m:r>
                <m:t>a</m:t>
              </m:r>
              <m:r>
                <m:rPr>
                  <m:sty m:val="p"/>
                </m:rPr>
                <m:t>]</m:t>
              </m:r>
            </m:oMath>
            <w:r>
              <w:t xml:space="preserve"> </w:t>
            </w:r>
            <w:r>
              <w:t xml:space="preserve">and the remaining</w:t>
            </w:r>
            <w:r>
              <w:t xml:space="preserve"> </w:t>
            </w:r>
            <w:r>
              <w:t xml:space="preserve">probability,</w:t>
            </w:r>
            <w:r>
              <w:t xml:space="preserve"> </w:t>
            </w:r>
            <m:oMath>
              <m:r>
                <m:rPr>
                  <m:sty m:val="p"/>
                </m:rPr>
                <m:t>exp</m:t>
              </m:r>
              <m:r>
                <m:t>​</m:t>
              </m:r>
              <m:d>
                <m:dPr>
                  <m:begChr m:val="{"/>
                  <m:sepChr m:val=""/>
                  <m:endChr m:val="}"/>
                  <m:grow/>
                </m:dPr>
                <m:e>
                  <m:r>
                    <m:rPr>
                      <m:sty m:val="p"/>
                    </m:rPr>
                    <m:t>−</m:t>
                  </m:r>
                  <m:r>
                    <m:t>λ</m:t>
                  </m:r>
                  <m:r>
                    <m:t>a</m:t>
                  </m:r>
                </m:e>
              </m:d>
              <m:r>
                <m:t>​</m:t>
              </m:r>
            </m:oMath>
            <w:r>
              <w:t xml:space="preserve">, falls on</w:t>
            </w:r>
            <w:r>
              <w:t xml:space="preserve"> </w:t>
            </w:r>
            <w:r>
              <w:t xml:space="preserve">“never infected”</w:t>
            </w:r>
            <w:r>
              <w:t xml:space="preserve">:</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Its rate parameter is exactly the incidence rate of</w:t>
            </w:r>
            <w:r>
              <w:t xml:space="preserve"> </w:t>
            </w:r>
            <w:hyperlink w:anchor="def-incidence">
              <w:r>
                <w:rPr>
                  <w:rStyle w:val="Hyperlink"/>
                </w:rPr>
                <w:t xml:space="preserve">Definition 1</w:t>
              </w:r>
            </w:hyperlink>
            <w:r>
              <w:t xml:space="preserve">, which is what makes</w:t>
            </w:r>
            <w:r>
              <w:t xml:space="preserve"> </w:t>
            </w:r>
            <m:oMath>
              <m:r>
                <m:t>T</m:t>
              </m:r>
            </m:oMath>
            <w:r>
              <w:t xml:space="preserve"> </w:t>
            </w:r>
            <w:r>
              <w:t xml:space="preserve">worth recovering.</w:t>
            </w:r>
          </w:p>
          <w:bookmarkEnd w:id="51"/>
        </w:tc>
      </w:tr>
    </w:tbl>
    <w:p>
      <w:pPr>
        <w:pStyle w:val="BodyText"/>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52"/>
    <w:bookmarkStart w:id="55" w:name="maximum-likelihood-estimation"/>
    <w:p>
      <w:pPr>
        <w:pStyle w:val="Heading2"/>
      </w:pPr>
      <w:r>
        <w:t xml:space="preserve">4.6 Maximum likelihood estimation</w:t>
      </w:r>
    </w:p>
    <w:p>
      <w:pPr>
        <w:pStyle w:val="FirstParagraph"/>
      </w:pPr>
      <w:r>
        <w:t xml:space="preserve">Estimating</w:t>
      </w:r>
      <w:r>
        <w:t xml:space="preserve"> </w:t>
      </w:r>
      <m:oMath>
        <m:r>
          <m:t>λ</m:t>
        </m:r>
      </m:oMath>
      <w:r>
        <w:t xml:space="preserve"> </w:t>
      </w:r>
      <w:r>
        <w:t xml:space="preserve">from the data means finding the value that makes</w:t>
      </w:r>
      <w:r>
        <w:t xml:space="preserve"> </w:t>
      </w:r>
      <w:r>
        <w:t xml:space="preserve">the data most probable, which takes two definitions.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(Likelihood and log-likelihood)</w:t>
            </w:r>
          </w:p>
          <w:bookmarkStart w:id="53" w:name="def-likelihood"/>
          <w:p>
            <w:pPr>
              <w:pStyle w:val="BodyText"/>
            </w:pPr>
            <w:r>
              <w:rPr>
                <w:b/>
                <w:bCs/>
              </w:rPr>
              <w:t xml:space="preserve">Definition 3 (Likelihood and log-likelihood)</w:t>
            </w:r>
            <w:r>
              <w:t xml:space="preserve"> </w:t>
            </w:r>
            <w:r>
              <w:t xml:space="preserve">The</w:t>
            </w:r>
            <w:r>
              <w:t xml:space="preserve"> </w:t>
            </w:r>
            <w:r>
              <w:rPr>
                <w:b/>
                <w:bCs/>
              </w:rPr>
              <w:t xml:space="preserve">likelihood</w:t>
            </w:r>
            <w:r>
              <w:t xml:space="preserve"> </w:t>
            </w:r>
            <w:r>
              <w:t xml:space="preserve">is the probability (or density) of the observed</w:t>
            </w:r>
            <w:r>
              <w:t xml:space="preserve"> </w:t>
            </w:r>
            <w:r>
              <w:t xml:space="preserve">data, read as a function of the parameter rather than of the data:</w:t>
            </w:r>
          </w:p>
          <w:p>
            <w:pPr>
              <w:pStyle w:val="BodyText"/>
            </w:pPr>
            <m:oMathPara>
              <m:oMathParaPr>
                <m:jc m:val="center"/>
              </m:oMathParaPr>
              <m:oMath>
                <m:r>
                  <m:rPr>
                    <m:scr m:val="script"/>
                    <m:sty m:val="p"/>
                  </m:rPr>
                  <m:t>L</m:t>
                </m:r>
                <m:r>
                  <m:rPr>
                    <m:sty m:val="p"/>
                  </m:rPr>
                  <m:t>(</m:t>
                </m:r>
                <m:r>
                  <m:t>λ</m:t>
                </m:r>
                <m:r>
                  <m:rPr>
                    <m:sty m:val="p"/>
                  </m:rPr>
                  <m:t>)</m:t>
                </m:r>
                <m:limUpp>
                  <m:e>
                    <m:r>
                      <m:rPr>
                        <m:sty m:val="p"/>
                      </m:rPr>
                      <m:t>=</m:t>
                    </m:r>
                  </m:e>
                  <m:lim>
                    <m:r>
                      <m:rPr>
                        <m:nor/>
                        <m:sty m:val="p"/>
                      </m:rPr>
                      <m:t>def</m:t>
                    </m:r>
                  </m:lim>
                </m:limUpp>
                <m:r>
                  <m:rPr>
                    <m:sty m:val="p"/>
                  </m:rPr>
                  <m:t>p</m:t>
                </m:r>
                <m:r>
                  <m:rPr>
                    <m:sty m:val="p"/>
                  </m:rPr>
                  <m:t>(</m:t>
                </m:r>
                <m:r>
                  <m:rPr>
                    <m:nor/>
                    <m:sty m:val="p"/>
                  </m:rPr>
                  <m:t>data</m:t>
                </m:r>
                <m:r>
                  <m:rPr>
                    <m:sty m:val="p"/>
                  </m:rPr>
                  <m:t>∣</m:t>
                </m:r>
                <m:r>
                  <m:t>λ</m:t>
                </m:r>
                <m:r>
                  <m:rPr>
                    <m:sty m:val="p"/>
                  </m:rPr>
                  <m:t>)</m:t>
                </m:r>
              </m:oMath>
            </m:oMathPara>
          </w:p>
          <w:p>
            <w:pPr>
              <w:pStyle w:val="FirstParagraph"/>
            </w:pPr>
            <w:r>
              <w:t xml:space="preserve">The</w:t>
            </w:r>
            <w:r>
              <w:t xml:space="preserve"> </w:t>
            </w:r>
            <w:r>
              <w:rPr>
                <w:b/>
                <w:bCs/>
              </w:rPr>
              <w:t xml:space="preserve">log-likelihood</w:t>
            </w:r>
            <w:r>
              <w:t xml:space="preserve"> </w:t>
            </w:r>
            <m:oMath>
              <m:r>
                <m:t>ℓ</m:t>
              </m:r>
              <m:r>
                <m:rPr>
                  <m:sty m:val="p"/>
                </m:rPr>
                <m:t>(</m:t>
              </m:r>
              <m:r>
                <m:t>λ</m:t>
              </m:r>
              <m:r>
                <m:rPr>
                  <m:sty m:val="p"/>
                </m:rPr>
                <m:t>)</m:t>
              </m:r>
              <m:limUpp>
                <m:e>
                  <m:r>
                    <m:rPr>
                      <m:sty m:val="p"/>
                    </m:rPr>
                    <m:t>=</m:t>
                  </m:r>
                </m:e>
                <m:lim>
                  <m:r>
                    <m:rPr>
                      <m:nor/>
                      <m:sty m:val="p"/>
                    </m:rPr>
                    <m:t>def</m:t>
                  </m:r>
                </m:lim>
              </m:limUpp>
              <m:r>
                <m:rPr>
                  <m:sty m:val="p"/>
                </m:rPr>
                <m:t>log</m:t>
              </m:r>
              <m:r>
                <m:t>​</m:t>
              </m:r>
              <m:d>
                <m:dPr>
                  <m:begChr m:val="{"/>
                  <m:sepChr m:val=""/>
                  <m:endChr m:val="}"/>
                  <m:grow/>
                </m:dPr>
                <m:e>
                  <m:r>
                    <m:rPr>
                      <m:scr m:val="script"/>
                      <m:sty m:val="p"/>
                    </m:rPr>
                    <m:t>L</m:t>
                  </m:r>
                  <m:r>
                    <m:rPr>
                      <m:sty m:val="p"/>
                    </m:rPr>
                    <m:t>(</m:t>
                  </m:r>
                  <m:r>
                    <m:t>λ</m:t>
                  </m:r>
                  <m:r>
                    <m:rPr>
                      <m:sty m:val="p"/>
                    </m:rPr>
                    <m:t>)</m:t>
                  </m:r>
                </m:e>
              </m:d>
              <m:r>
                <m:t>​</m:t>
              </m:r>
            </m:oMath>
            <w:r>
              <w:t xml:space="preserve"> </w:t>
            </w:r>
            <w:r>
              <w:t xml:space="preserve">is</w:t>
            </w:r>
            <w:r>
              <w:t xml:space="preserve"> </w:t>
            </w:r>
            <w:r>
              <w:t xml:space="preserve">maximized at the same</w:t>
            </w:r>
            <w:r>
              <w:t xml:space="preserve"> </w:t>
            </w:r>
            <m:oMath>
              <m:r>
                <m:t>λ</m:t>
              </m:r>
            </m:oMath>
            <w:r>
              <w:t xml:space="preserve">, and is easier to work with because it</w:t>
            </w:r>
            <w:r>
              <w:t xml:space="preserve"> </w:t>
            </w:r>
            <w:r>
              <w:t xml:space="preserve">turns products into sums.</w:t>
            </w:r>
          </w:p>
          <w:bookmarkEnd w:id="53"/>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(Score function)</w:t>
            </w:r>
          </w:p>
          <w:bookmarkStart w:id="54" w:name="def-score"/>
          <w:p>
            <w:pPr>
              <w:pStyle w:val="BodyText"/>
            </w:pPr>
            <w:r>
              <w:rPr>
                <w:b/>
                <w:bCs/>
              </w:rPr>
              <w:t xml:space="preserve">Definition 4 (Score function)</w:t>
            </w:r>
            <w:r>
              <w:t xml:space="preserve"> </w:t>
            </w:r>
            <w:r>
              <w:t xml:space="preserve">The</w:t>
            </w:r>
            <w:r>
              <w:t xml:space="preserve"> </w:t>
            </w:r>
            <w:r>
              <w:rPr>
                <w:b/>
                <w:bCs/>
              </w:rPr>
              <w:t xml:space="preserve">score function</w:t>
            </w:r>
            <w:r>
              <w:t xml:space="preserve"> </w:t>
            </w:r>
            <w:r>
              <w:t xml:space="preserve">is the derivative of the log-likelihood with</w:t>
            </w:r>
            <w:r>
              <w:t xml:space="preserve"> </w:t>
            </w:r>
            <w:r>
              <w:t xml:space="preserve">respect to the parameter (in general, its gradient):</w:t>
            </w:r>
          </w:p>
          <w:p>
            <w:pPr>
              <w:pStyle w:val="BodyText"/>
            </w:pPr>
            <m:oMathPara>
              <m:oMathParaPr>
                <m:jc m:val="center"/>
              </m:oMathParaPr>
              <m:oMath>
                <m:sSup>
                  <m:e>
                    <m:r>
                      <m:t>ℓ</m:t>
                    </m:r>
                  </m:e>
                  <m:sup>
                    <m:r>
                      <m:rPr>
                        <m:sty m:val="p"/>
                      </m:rPr>
                      <m:t>′</m:t>
                    </m:r>
                  </m:sup>
                </m:sSup>
                <m:r>
                  <m:rPr>
                    <m:sty m:val="p"/>
                  </m:rPr>
                  <m:t>(</m:t>
                </m:r>
                <m:r>
                  <m:t>λ</m:t>
                </m:r>
                <m:r>
                  <m:rPr>
                    <m:sty m:val="p"/>
                  </m:rPr>
                  <m:t>)</m:t>
                </m:r>
                <m:limUpp>
                  <m:e>
                    <m:r>
                      <m:rPr>
                        <m:sty m:val="p"/>
                      </m:rPr>
                      <m:t>=</m:t>
                    </m:r>
                  </m:e>
                  <m:lim>
                    <m:r>
                      <m:rPr>
                        <m:nor/>
                        <m:sty m:val="p"/>
                      </m:rPr>
                      <m:t>def</m:t>
                    </m:r>
                  </m:lim>
                </m:limUpp>
                <m:f>
                  <m:fPr>
                    <m:type m:val="bar"/>
                  </m:fPr>
                  <m:num>
                    <m:r>
                      <m:rPr>
                        <m:sty m:val="p"/>
                      </m:rPr>
                      <m:t>∂</m:t>
                    </m:r>
                  </m:num>
                  <m:den>
                    <m:r>
                      <m:rPr>
                        <m:sty m:val="p"/>
                      </m:rPr>
                      <m:t>∂</m:t>
                    </m:r>
                    <m:r>
                      <m:t>λ</m:t>
                    </m:r>
                  </m:den>
                </m:f>
                <m:r>
                  <m:t>ℓ</m:t>
                </m:r>
                <m:r>
                  <m:rPr>
                    <m:sty m:val="p"/>
                  </m:rPr>
                  <m:t>(</m:t>
                </m:r>
                <m:r>
                  <m:t>λ</m:t>
                </m:r>
                <m:r>
                  <m:rPr>
                    <m:sty m:val="p"/>
                  </m:rPr>
                  <m:t>)</m:t>
                </m:r>
              </m:oMath>
            </m:oMathPara>
          </w:p>
          <w:p>
            <w:pPr>
              <w:pStyle w:val="FirstParagraph"/>
            </w:pPr>
            <w:r>
              <w:t xml:space="preserve">A maximum likelihood estimate</w:t>
            </w:r>
            <w:r>
              <w:t xml:space="preserve"> </w:t>
            </w:r>
            <m:oMath>
              <m:acc>
                <m:accPr>
                  <m:chr m:val="̂"/>
                </m:accPr>
                <m:e>
                  <m:r>
                    <m:t>λ</m:t>
                  </m:r>
                </m:e>
              </m:acc>
            </m:oMath>
            <w:r>
              <w:t xml:space="preserve"> </w:t>
            </w:r>
            <w:r>
              <w:t xml:space="preserve">solves the</w:t>
            </w:r>
            <w:r>
              <w:t xml:space="preserve"> </w:t>
            </w:r>
            <w:r>
              <w:rPr>
                <w:b/>
                <w:bCs/>
              </w:rPr>
              <w:t xml:space="preserve">score</w:t>
            </w:r>
            <w:r>
              <w:rPr>
                <w:b/>
                <w:bCs/>
              </w:rPr>
              <w:t xml:space="preserve"> </w:t>
            </w:r>
            <w:r>
              <w:rPr>
                <w:b/>
                <w:bCs/>
              </w:rPr>
              <w:t xml:space="preserve">equation</w:t>
            </w:r>
            <w:r>
              <w:t xml:space="preserve"> </w:t>
            </w:r>
            <m:oMath>
              <m:sSup>
                <m:e>
                  <m:r>
                    <m:t>ℓ</m:t>
                  </m:r>
                </m:e>
                <m:sup>
                  <m:r>
                    <m:rPr>
                      <m:sty m:val="p"/>
                    </m:rPr>
                    <m:t>′</m:t>
                  </m:r>
                </m:sup>
              </m:sSup>
              <m:r>
                <m:rPr>
                  <m:sty m:val="p"/>
                </m:rPr>
                <m:t>(</m:t>
              </m:r>
              <m:acc>
                <m:accPr>
                  <m:chr m:val="̂"/>
                </m:accPr>
                <m:e>
                  <m:r>
                    <m:t>λ</m:t>
                  </m:r>
                </m:e>
              </m:acc>
              <m:r>
                <m:rPr>
                  <m:sty m:val="p"/>
                </m:rPr>
                <m:t>)</m:t>
              </m:r>
              <m:r>
                <m:rPr>
                  <m:sty m:val="p"/>
                </m:rPr>
                <m:t>=</m:t>
              </m:r>
              <m:r>
                <m:t>0</m:t>
              </m:r>
            </m:oMath>
            <w:r>
              <w:t xml:space="preserve">.</w:t>
            </w:r>
          </w:p>
          <w:bookmarkEnd w:id="54"/>
        </w:tc>
      </w:tr>
    </w:tbl>
    <w:bookmarkEnd w:id="55"/>
    <w:bookmarkStart w:id="57" w:name="likelihood-of-latent-infection-times"/>
    <w:p>
      <w:pPr>
        <w:pStyle w:val="Heading2"/>
      </w:pPr>
      <w:r>
        <w:t xml:space="preserve">4.7 Likelihood of latent infection times</w:t>
      </w:r>
    </w:p>
    <w:p>
      <w:pPr>
        <w:pStyle w:val="FirstParagraph"/>
      </w:pPr>
      <w:r>
        <w:t xml:space="preserve">If the infection times</w:t>
      </w:r>
      <w:r>
        <w:t xml:space="preserve"> </w:t>
      </w:r>
      <m:oMath>
        <m:r>
          <m:t>T</m:t>
        </m:r>
      </m:oMath>
      <w:r>
        <w:t xml:space="preserve"> </w:t>
      </w:r>
      <w:r>
        <w:t xml:space="preserve">were observed directly, these would all</w:t>
      </w:r>
      <w:r>
        <w:t xml:space="preserve"> </w:t>
      </w:r>
      <w:r>
        <w:t xml:space="preserve">take a simple closed form:</w:t>
      </w:r>
    </w:p>
    <w:p>
      <w:pPr>
        <w:pStyle w:val="BodyText"/>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 (</w:t>
      </w:r>
      <w:hyperlink w:anchor="def-likelihood">
        <w:r>
          <w:rPr>
            <w:rStyle w:val="Hyperlink"/>
          </w:rPr>
          <w:t xml:space="preserve">Definition 3</w:t>
        </w:r>
      </w:hyperlink>
      <w:r>
        <w:t xml:space="preserve">), which multiplies</w:t>
      </w:r>
      <w:r>
        <w:t xml:space="preserve"> </w:t>
      </w:r>
      <w:r>
        <w:t xml:space="preserve">participants’ contributions because we treat them as independent:</w:t>
      </w:r>
    </w:p>
    <w:p>
      <w:pPr>
        <w:pStyle w:val="BodyText"/>
      </w:pPr>
      <m:oMathPara>
        <m:oMathParaPr>
          <m:jc m:val="center"/>
        </m:oMathParaPr>
        <m:oMath>
          <m:sSup>
            <m:e>
              <m:r>
                <m:rPr>
                  <m:scr m:val="script"/>
                  <m:sty m:val="p"/>
                </m:rPr>
                <m:t>L</m:t>
              </m:r>
            </m:e>
            <m:sup>
              <m:r>
                <m:rPr>
                  <m:sty m:val="p"/>
                </m:rPr>
                <m:t>*</m:t>
              </m:r>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r>
            <m:t>​</m:t>
          </m:r>
        </m:oMath>
      </m:oMathPara>
    </w:p>
    <w:p>
      <w:pPr>
        <w:pStyle w:val="FirstParagraph"/>
      </w:pPr>
      <w:r>
        <w:t xml:space="preserve">. . .</w:t>
      </w:r>
    </w:p>
    <w:p>
      <w:pPr>
        <w:pStyle w:val="BodyText"/>
      </w:pPr>
      <w:r>
        <w:t xml:space="preserve">Taking the derivative of that log-likelihood to find the score function</w:t>
      </w:r>
      <w:r>
        <w:t xml:space="preserve"> </w:t>
      </w:r>
      <w:r>
        <w:t xml:space="preserve">(</w:t>
      </w:r>
      <w:hyperlink w:anchor="def-score">
        <w:r>
          <w:rPr>
            <w:rStyle w:val="Hyperlink"/>
          </w:rPr>
          <w:t xml:space="preserve">Definition 4</w:t>
        </w:r>
      </w:hyperlink>
      <w:r>
        <w:t xml:space="preserve">):</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r>
            <m:t>​</m:t>
          </m:r>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Proposition (MLE when infection times are fully observed)</w:t>
            </w:r>
          </w:p>
          <w:bookmarkStart w:id="56" w:name="prp-mle-fully-observed"/>
          <w:p>
            <w:pPr>
              <w:pStyle w:val="BodyText"/>
            </w:pPr>
            <w:r>
              <w:rPr>
                <w:b/>
                <w:bCs/>
              </w:rPr>
              <w:t xml:space="preserve">Proposition 2 (MLE when infection times are fully observed)</w:t>
            </w:r>
            <w:r>
              <w:t xml:space="preserve"> </w:t>
            </w:r>
            <w:r>
              <w:t xml:space="preserve">If the latent infection times</w:t>
            </w:r>
            <w:r>
              <w:t xml:space="preserve"> </w:t>
            </w:r>
            <m:oMath>
              <m:sSub>
                <m:e>
                  <m:r>
                    <m:t>t</m:t>
                  </m:r>
                </m:e>
                <m:sub>
                  <m:r>
                    <m:t>1</m:t>
                  </m:r>
                </m:sub>
              </m:sSub>
              <m:r>
                <m:rPr>
                  <m:sty m:val="p"/>
                </m:rPr>
                <m:t>,</m:t>
              </m:r>
              <m:r>
                <m:rPr>
                  <m:sty m:val="p"/>
                </m:rPr>
                <m:t>…</m:t>
              </m:r>
              <m:r>
                <m:rPr>
                  <m:sty m:val="p"/>
                </m:rPr>
                <m:t>,</m:t>
              </m:r>
              <m:sSub>
                <m:e>
                  <m:r>
                    <m:t>t</m:t>
                  </m:r>
                </m:e>
                <m:sub>
                  <m:r>
                    <m:t>n</m:t>
                  </m:r>
                </m:sub>
              </m:sSub>
            </m:oMath>
            <w:r>
              <w:t xml:space="preserve"> </w:t>
            </w:r>
            <w:r>
              <w:t xml:space="preserve">were fully observed,</w:t>
            </w:r>
            <w:r>
              <w:t xml:space="preserve"> </w:t>
            </w:r>
            <w:r>
              <w:t xml:space="preserve">solving the score equation (</w:t>
            </w:r>
            <w:hyperlink w:anchor="def-score">
              <w:r>
                <w:rPr>
                  <w:rStyle w:val="Hyperlink"/>
                </w:rPr>
                <w:t xml:space="preserve">Definition 4</w:t>
              </w:r>
            </w:hyperlink>
            <w:r>
              <w:t xml:space="preserve">) would estimate</w:t>
            </w:r>
            <w:r>
              <w:t xml:space="preserve"> </w:t>
            </w:r>
            <m:oMath>
              <m:r>
                <m:t>λ</m:t>
              </m:r>
            </m:oMath>
            <w:r>
              <w:t xml:space="preserve"> </w:t>
            </w:r>
            <w:r>
              <w:t xml:space="preserve">as</w:t>
            </w:r>
            <w:r>
              <w:t xml:space="preserve"> </w:t>
            </w:r>
            <w:r>
              <w:t xml:space="preserve">the reciprocal of their mean:</w:t>
            </w:r>
          </w:p>
          <w:p>
            <w:pPr>
              <w:pStyle w:val="BodyText"/>
            </w:pPr>
            <m:oMathPara>
              <m:oMathParaPr>
                <m:jc m:val="center"/>
              </m:oMathParaPr>
              <m:oMath>
                <m:sSub>
                  <m:e>
                    <m:acc>
                      <m:accPr>
                        <m:chr m:val="̂"/>
                      </m:accPr>
                      <m:e>
                        <m:r>
                          <m:t>λ</m:t>
                        </m:r>
                      </m:e>
                    </m:acc>
                  </m:e>
                  <m:sub>
                    <m:r>
                      <m:rPr>
                        <m:nor/>
                        <m:sty m:val="p"/>
                      </m:rPr>
                      <m:t>ML</m:t>
                    </m:r>
                  </m:sub>
                </m:sSub>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r>
                  <m:rPr>
                    <m:sty m:val="p"/>
                  </m:rPr>
                  <m:t>=</m:t>
                </m:r>
                <m:f>
                  <m:fPr>
                    <m:type m:val="bar"/>
                  </m:fPr>
                  <m:num>
                    <m:r>
                      <m:t>1</m:t>
                    </m:r>
                  </m:num>
                  <m:den>
                    <m:acc>
                      <m:accPr>
                        <m:chr m:val="‾"/>
                      </m:accPr>
                      <m:e>
                        <m:r>
                          <m:t>t</m:t>
                        </m:r>
                      </m:e>
                    </m:acc>
                  </m:den>
                </m:f>
              </m:oMath>
            </m:oMathPara>
          </w:p>
          <w:bookmarkEnd w:id="56"/>
        </w:tc>
      </w:tr>
    </w:tbl>
    <w:bookmarkEnd w:id="57"/>
    <w:bookmarkStart w:id="62" w:name="example-log-likelihood-curves"/>
    <w:p>
      <w:pPr>
        <w:pStyle w:val="Heading2"/>
      </w:pPr>
      <w:r>
        <w:t xml:space="preserve">4.8 Example log-likelihood curves</w:t>
      </w:r>
    </w:p>
    <w:p>
      <w:pPr>
        <w:pStyle w:val="FirstParagraph"/>
      </w:pPr>
      <w:r>
        <w:t xml:space="preserve">Here’s what that would look like:</w:t>
      </w:r>
    </w:p>
    <w:tbl>
      <w:tblPr>
        <w:tblStyle w:val="Table"/>
        <w:tblW w:type="pct" w:w="5000"/>
        <w:tblLayout w:type="fixed"/>
        <w:tblLook w:firstRow="0" w:lastRow="0" w:firstColumn="0" w:lastColumn="0" w:noHBand="0" w:noVBand="0" w:val="0000"/>
      </w:tblPr>
      <w:tblGrid>
        <w:gridCol w:w="7920"/>
      </w:tblGrid>
      <w:tr>
        <w:tc>
          <w:tcPr/>
          <w:bookmarkStart w:id="61" w:name="fig-ex-lik-curves"/>
          <w:p>
            <w:pPr>
              <w:pStyle w:val="Compact"/>
              <w:jc w:val="center"/>
            </w:pPr>
            <w:r>
              <w:drawing>
                <wp:inline>
                  <wp:extent cx="4620126" cy="3696101"/>
                  <wp:effectExtent b="0" l="0" r="0" t="0"/>
                  <wp:docPr descr="" title="" id="59" name="Picture"/>
                  <a:graphic>
                    <a:graphicData uri="http://schemas.openxmlformats.org/drawingml/2006/picture">
                      <pic:pic>
                        <pic:nvPicPr>
                          <pic:cNvPr descr="methodology_files/figure-docx/fig-ex-lik-curves-1.png" id="60" name="Picture"/>
                          <pic:cNvPicPr>
                            <a:picLocks noChangeArrowheads="1" noChangeAspect="1"/>
                          </pic:cNvPicPr>
                        </pic:nvPicPr>
                        <pic:blipFill>
                          <a:blip r:embed="rId5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61"/>
        </w:tc>
      </w:tr>
    </w:tbl>
    <w:bookmarkEnd w:id="62"/>
    <w:bookmarkStart w:id="66" w:name="standard-errors"/>
    <w:p>
      <w:pPr>
        <w:pStyle w:val="Heading2"/>
      </w:pPr>
      <w:r>
        <w:t xml:space="preserve">4.9 Standard errors</w:t>
      </w:r>
    </w:p>
    <w:p>
      <w:pPr>
        <w:pStyle w:val="FirstParagraph"/>
      </w:pPr>
      <w:r>
        <w:t xml:space="preserve">How precisely the data pin down</w:t>
      </w:r>
      <w:r>
        <w:t xml:space="preserve"> </w:t>
      </w:r>
      <m:oMath>
        <m:acc>
          <m:accPr>
            <m:chr m:val="̂"/>
          </m:accPr>
          <m:e>
            <m:r>
              <m:t>λ</m:t>
            </m:r>
          </m:e>
        </m:acc>
      </m:oMath>
      <w:r>
        <w:t xml:space="preserve"> </w:t>
      </w:r>
      <w:r>
        <w:t xml:space="preserve">depends on how sharply</w:t>
      </w:r>
      <w:r>
        <w:t xml:space="preserve"> </w:t>
      </w:r>
      <w:r>
        <w:t xml:space="preserve">the log-likelihood peaks at its maximum, which takes two more</w:t>
      </w:r>
      <w:r>
        <w:t xml:space="preserve"> </w:t>
      </w:r>
      <w:r>
        <w:t xml:space="preserve">definitions to make precise.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(Hessian)</w:t>
            </w:r>
          </w:p>
          <w:bookmarkStart w:id="63" w:name="def-hessian"/>
          <w:p>
            <w:pPr>
              <w:pStyle w:val="BodyText"/>
            </w:pPr>
            <w:r>
              <w:rPr>
                <w:b/>
                <w:bCs/>
              </w:rPr>
              <w:t xml:space="preserve">Definition 5 (Hessian)</w:t>
            </w:r>
            <w:r>
              <w:t xml:space="preserve"> </w:t>
            </w:r>
            <w:r>
              <w:t xml:space="preserve">The</w:t>
            </w:r>
            <w:r>
              <w:t xml:space="preserve"> </w:t>
            </w:r>
            <w:r>
              <w:rPr>
                <w:b/>
                <w:bCs/>
              </w:rPr>
              <w:t xml:space="preserve">Hessian</w:t>
            </w:r>
            <w:r>
              <w:t xml:space="preserve"> </w:t>
            </w:r>
            <w:r>
              <w:t xml:space="preserve">is the second derivative of the log-likelihood with</w:t>
            </w:r>
            <w:r>
              <w:t xml:space="preserve"> </w:t>
            </w:r>
            <w:r>
              <w:t xml:space="preserve">respect to the parameter (in general, the matrix of its second partial</w:t>
            </w:r>
            <w:r>
              <w:t xml:space="preserve"> </w:t>
            </w:r>
            <w:r>
              <w:t xml:space="preserve">derivatives):</w:t>
            </w:r>
          </w:p>
          <w:p>
            <w:pPr>
              <w:pStyle w:val="BodyText"/>
            </w:pPr>
            <m:oMathPara>
              <m:oMathParaPr>
                <m:jc m:val="center"/>
              </m:oMathParaPr>
              <m:oMath>
                <m:sSup>
                  <m:e>
                    <m:r>
                      <m:t>ℓ</m:t>
                    </m:r>
                  </m:e>
                  <m:sup>
                    <m:r>
                      <m:rPr>
                        <m:sty m:val="p"/>
                      </m:rPr>
                      <m:t>″</m:t>
                    </m:r>
                  </m:sup>
                </m:sSup>
                <m:r>
                  <m:rPr>
                    <m:sty m:val="p"/>
                  </m:rPr>
                  <m:t>(</m:t>
                </m:r>
                <m:r>
                  <m:t>λ</m:t>
                </m:r>
                <m:r>
                  <m:rPr>
                    <m:sty m:val="p"/>
                  </m:rPr>
                  <m:t>)</m:t>
                </m:r>
                <m:limUpp>
                  <m:e>
                    <m:r>
                      <m:rPr>
                        <m:sty m:val="p"/>
                      </m:rPr>
                      <m:t>=</m:t>
                    </m:r>
                  </m:e>
                  <m:lim>
                    <m:r>
                      <m:rPr>
                        <m:nor/>
                        <m:sty m:val="p"/>
                      </m:rPr>
                      <m:t>def</m:t>
                    </m:r>
                  </m:lim>
                </m:limUpp>
                <m:f>
                  <m:fPr>
                    <m:type m:val="bar"/>
                  </m:fPr>
                  <m:num>
                    <m:sSup>
                      <m:e>
                        <m:r>
                          <m:rPr>
                            <m:sty m:val="p"/>
                          </m:rPr>
                          <m:t>∂</m:t>
                        </m:r>
                      </m:e>
                      <m:sup>
                        <m:r>
                          <m:t>2</m:t>
                        </m:r>
                      </m:sup>
                    </m:sSup>
                  </m:num>
                  <m:den>
                    <m:r>
                      <m:rPr>
                        <m:sty m:val="p"/>
                      </m:rPr>
                      <m:t>∂</m:t>
                    </m:r>
                    <m:sSup>
                      <m:e>
                        <m:r>
                          <m:t>λ</m:t>
                        </m:r>
                      </m:e>
                      <m:sup>
                        <m:r>
                          <m:t>2</m:t>
                        </m:r>
                      </m:sup>
                    </m:sSup>
                  </m:den>
                </m:f>
                <m:r>
                  <m:t>ℓ</m:t>
                </m:r>
                <m:r>
                  <m:rPr>
                    <m:sty m:val="p"/>
                  </m:rPr>
                  <m:t>(</m:t>
                </m:r>
                <m:r>
                  <m:t>λ</m:t>
                </m:r>
                <m:r>
                  <m:rPr>
                    <m:sty m:val="p"/>
                  </m:rPr>
                  <m:t>)</m:t>
                </m:r>
              </m:oMath>
            </m:oMathPara>
          </w:p>
          <w:bookmarkEnd w:id="63"/>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(Observed information)</w:t>
            </w:r>
          </w:p>
          <w:bookmarkStart w:id="64" w:name="def-observed-information"/>
          <w:p>
            <w:pPr>
              <w:pStyle w:val="BodyText"/>
            </w:pPr>
            <w:r>
              <w:rPr>
                <w:b/>
                <w:bCs/>
              </w:rPr>
              <w:t xml:space="preserve">Definition 6 (Observed information)</w:t>
            </w:r>
            <w:r>
              <w:t xml:space="preserve"> </w:t>
            </w:r>
            <w:r>
              <w:t xml:space="preserve">The</w:t>
            </w:r>
            <w:r>
              <w:t xml:space="preserve"> </w:t>
            </w:r>
            <w:r>
              <w:rPr>
                <w:b/>
                <w:bCs/>
              </w:rPr>
              <w:t xml:space="preserve">observed information</w:t>
            </w:r>
            <w:r>
              <w:t xml:space="preserve"> </w:t>
            </w:r>
            <w:r>
              <w:t xml:space="preserve">is the negative Hessian (</w:t>
            </w:r>
            <w:hyperlink w:anchor="def-hessian">
              <w:r>
                <w:rPr>
                  <w:rStyle w:val="Hyperlink"/>
                </w:rPr>
                <w:t xml:space="preserve">Definition 5</w:t>
              </w:r>
            </w:hyperlink>
            <w:r>
              <w:t xml:space="preserve">):</w:t>
            </w:r>
          </w:p>
          <w:p>
            <w:pPr>
              <w:pStyle w:val="BodyText"/>
            </w:pPr>
            <m:oMathPara>
              <m:oMathParaPr>
                <m:jc m:val="center"/>
              </m:oMathParaPr>
              <m:oMath>
                <m:r>
                  <m:t>I</m:t>
                </m:r>
                <m:r>
                  <m:rPr>
                    <m:sty m:val="p"/>
                  </m:rPr>
                  <m:t>(</m:t>
                </m:r>
                <m:r>
                  <m:t>λ</m:t>
                </m:r>
                <m:r>
                  <m:rPr>
                    <m:sty m:val="p"/>
                  </m:rPr>
                  <m:t>)</m:t>
                </m:r>
                <m:limUpp>
                  <m:e>
                    <m:r>
                      <m:rPr>
                        <m:sty m:val="p"/>
                      </m:rPr>
                      <m:t>=</m:t>
                    </m:r>
                  </m:e>
                  <m:lim>
                    <m:r>
                      <m:rPr>
                        <m:nor/>
                        <m:sty m:val="p"/>
                      </m:rPr>
                      <m:t>def</m:t>
                    </m:r>
                  </m:lim>
                </m:limUpp>
                <m:r>
                  <m:rPr>
                    <m:sty m:val="p"/>
                  </m:rPr>
                  <m:t>−</m:t>
                </m:r>
                <m:sSup>
                  <m:e>
                    <m:r>
                      <m:t>ℓ</m:t>
                    </m:r>
                  </m:e>
                  <m:sup>
                    <m:r>
                      <m:rPr>
                        <m:sty m:val="p"/>
                      </m:rPr>
                      <m:t>″</m:t>
                    </m:r>
                  </m:sup>
                </m:sSup>
                <m:r>
                  <m:rPr>
                    <m:sty m:val="p"/>
                  </m:rPr>
                  <m:t>(</m:t>
                </m:r>
                <m:r>
                  <m:t>λ</m:t>
                </m:r>
                <m:r>
                  <m:rPr>
                    <m:sty m:val="p"/>
                  </m:rPr>
                  <m:t>)</m:t>
                </m:r>
              </m:oMath>
            </m:oMathPara>
          </w:p>
          <w:p>
            <w:pPr>
              <w:pStyle w:val="FirstParagraph"/>
            </w:pPr>
            <w:r>
              <w:t xml:space="preserve">A sharper peak at the maximum means a larger observed information.</w:t>
            </w:r>
          </w:p>
          <w:bookmarkEnd w:id="6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Theorem (Asymptotic variance of the MLE)</w:t>
            </w:r>
          </w:p>
          <w:bookmarkStart w:id="65" w:name="thm-mle-asymptotic-variance"/>
          <w:p>
            <w:pPr>
              <w:pStyle w:val="BodyText"/>
            </w:pPr>
            <w:r>
              <w:rPr>
                <w:b/>
                <w:bCs/>
              </w:rPr>
              <w:t xml:space="preserve">Theorem 1 (Asymptotic variance of the MLE)</w:t>
            </w:r>
            <w:r>
              <w:t xml:space="preserve"> </w:t>
            </w:r>
            <w:r>
              <w:t xml:space="preserve">Under standard regularity conditions, the variance of a maximum</w:t>
            </w:r>
            <w:r>
              <w:t xml:space="preserve"> </w:t>
            </w:r>
            <w:r>
              <w:t xml:space="preserve">likelihood estimate is approximately the inverse of the observed</w:t>
            </w:r>
            <w:r>
              <w:t xml:space="preserve"> </w:t>
            </w:r>
            <w:r>
              <w:t xml:space="preserve">information (</w:t>
            </w:r>
            <w:hyperlink w:anchor="def-observed-information">
              <w:r>
                <w:rPr>
                  <w:rStyle w:val="Hyperlink"/>
                </w:rPr>
                <w:t xml:space="preserve">Definition 6</w:t>
              </w:r>
            </w:hyperlink>
            <w:r>
              <w:t xml:space="preserve">) at that estimate:</w:t>
            </w:r>
          </w:p>
          <w:p>
            <w:pPr>
              <w:pStyle w:val="BodyText"/>
            </w:pPr>
            <m:oMathPara>
              <m:oMathParaPr>
                <m:jc m:val="center"/>
              </m:oMathParaPr>
              <m:oMath>
                <m:r>
                  <m:rPr>
                    <m:sty m:val="p"/>
                  </m:rPr>
                  <m:t/>
                </m:r>
                <m:r>
                  <m:t>​</m:t>
                </m:r>
                <m:d>
                  <m:dPr>
                    <m:begChr m:val="("/>
                    <m:sepChr m:val=""/>
                    <m:endChr m:val=")"/>
                    <m:grow/>
                  </m:dPr>
                  <m:e>
                    <m:acc>
                      <m:accPr>
                        <m:chr m:val="̂"/>
                      </m:accPr>
                      <m:e>
                        <m:r>
                          <m:t>λ</m:t>
                        </m:r>
                      </m:e>
                    </m:acc>
                  </m:e>
                </m:d>
                <m:r>
                  <m:t>​</m:t>
                </m:r>
                <m:r>
                  <m:rPr>
                    <m:sty m:val="p"/>
                  </m:rPr>
                  <m:t>≈</m:t>
                </m:r>
                <m:r>
                  <m:t>​</m:t>
                </m:r>
                <m:d>
                  <m:dPr>
                    <m:begChr m:val="["/>
                    <m:sepChr m:val=""/>
                    <m:endChr m:val="]"/>
                    <m:grow/>
                  </m:dPr>
                  <m:e>
                    <m:r>
                      <m:t>I</m:t>
                    </m:r>
                    <m:r>
                      <m:rPr>
                        <m:sty m:val="p"/>
                      </m:rPr>
                      <m:t>(</m:t>
                    </m:r>
                    <m:acc>
                      <m:accPr>
                        <m:chr m:val="̂"/>
                      </m:accPr>
                      <m:e>
                        <m:r>
                          <m:t>λ</m:t>
                        </m:r>
                      </m:e>
                    </m:acc>
                    <m:r>
                      <m:rPr>
                        <m:sty m:val="p"/>
                      </m:rPr>
                      <m:t>)</m:t>
                    </m:r>
                  </m:e>
                </m:d>
                <m:sSup>
                  <m:e>
                    <m:r>
                      <m:t>​</m:t>
                    </m:r>
                  </m:e>
                  <m:sup>
                    <m:r>
                      <m:rPr>
                        <m:sty m:val="p"/>
                      </m:rPr>
                      <m:t>−</m:t>
                    </m:r>
                    <m:r>
                      <m:t>1</m:t>
                    </m:r>
                  </m:sup>
                </m:sSup>
              </m:oMath>
            </m:oMathPara>
          </w:p>
          <w:bookmarkEnd w:id="65"/>
        </w:tc>
      </w:tr>
    </w:tbl>
    <w:p>
      <w:pPr>
        <w:pStyle w:val="FirstParagraph"/>
      </w:pPr>
      <w:r>
        <w:t xml:space="preserve">The standard error is the square root of that variance, so:</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more observed information</w:t>
      </w:r>
      <w:r>
        <w:t xml:space="preserve"> </w:t>
      </w:r>
      <m:oMath>
        <m:r>
          <m:rPr>
            <m:sty m:val="p"/>
          </m:rPr>
          <m:t>→</m:t>
        </m:r>
      </m:oMath>
      <w:r>
        <w:t xml:space="preserve"> </w:t>
      </w:r>
      <w:r>
        <w:t xml:space="preserve">smaller standard errors.</w:t>
      </w:r>
    </w:p>
    <w:bookmarkEnd w:id="66"/>
    <w:bookmarkStart w:id="68" w:name="hessian-for-the-exponential-model"/>
    <w:p>
      <w:pPr>
        <w:pStyle w:val="Heading2"/>
      </w:pPr>
      <w:r>
        <w:t xml:space="preserve">4.10 Hessian for the exponential model</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Example (Latent-time exponential model)</w:t>
            </w:r>
          </w:p>
        </w:tc>
      </w:tr>
      <w:tr>
        <w:trPr>
          <w:cantSplit/>
        </w:trPr>
        <w:tc>
          <w:tcPr>
            <w:tcMar>
              <w:top w:w="108" w:type="dxa"/>
              <w:bottom w:w="108" w:type="dxa"/>
            </w:tcMar>
          </w:tcPr>
          <w:bookmarkStart w:id="67" w:name="exm-hessian-exponential"/>
          <w:p>
            <w:pPr>
              <w:pStyle w:val="BodyText"/>
            </w:pPr>
            <w:r>
              <w:rPr>
                <w:b/>
                <w:bCs/>
              </w:rPr>
              <w:t xml:space="preserve">Example 2 (Latent-time exponential model)</w:t>
            </w:r>
            <w:r>
              <w:t xml:space="preserve"> </w:t>
            </w:r>
            <w:r>
              <w:t xml:space="preserve">For the latent-time model of</w:t>
            </w:r>
            <w:r>
              <w:t xml:space="preserve"> </w:t>
            </w:r>
            <w:hyperlink w:anchor="prp-mle-fully-observed">
              <w:r>
                <w:rPr>
                  <w:rStyle w:val="Hyperlink"/>
                </w:rPr>
                <w:t xml:space="preserve">Proposition 2</w:t>
              </w:r>
            </w:hyperlink>
            <w:r>
              <w:t xml:space="preserve">,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its score (</w:t>
            </w:r>
            <w:hyperlink w:anchor="def-score">
              <w:r>
                <w:rPr>
                  <w:rStyle w:val="Hyperlink"/>
                </w:rPr>
                <w:t xml:space="preserve">Definition 4</w:t>
              </w:r>
            </w:hyperlink>
            <w:r>
              <w:t xml:space="preserve">) and Hessian (</w:t>
            </w:r>
            <w:hyperlink w:anchor="def-hessian">
              <w:r>
                <w:rPr>
                  <w:rStyle w:val="Hyperlink"/>
                </w:rPr>
                <w:t xml:space="preserve">Definition 5</w:t>
              </w:r>
            </w:hyperlink>
            <w:r>
              <w:t xml:space="preserve">) are</w:t>
            </w:r>
          </w:p>
          <w:p>
            <w:pPr>
              <w:pStyle w:val="BodyText"/>
            </w:pPr>
            <m:oMathPara>
              <m:oMathParaPr>
                <m:jc m:val="center"/>
              </m:oMathParaPr>
              <m:oMath>
                <m:sSup>
                  <m:e>
                    <m:r>
                      <m:t>ℓ</m:t>
                    </m:r>
                  </m:e>
                  <m:sup>
                    <m:r>
                      <m:rPr>
                        <m:sty m:val="p"/>
                      </m:rPr>
                      <m:t>*</m:t>
                    </m:r>
                    <m:r>
                      <m:rPr>
                        <m:sty m:val="p"/>
                      </m:rPr>
                      <m:t>′</m:t>
                    </m:r>
                  </m:sup>
                </m:sSup>
                <m:r>
                  <m:rPr>
                    <m:sty m:val="p"/>
                  </m:rPr>
                  <m:t>(</m:t>
                </m:r>
                <m:r>
                  <m:t>λ</m:t>
                </m:r>
                <m:r>
                  <m:rPr>
                    <m:sty m:val="p"/>
                  </m:rPr>
                  <m:t>)</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r>
                  <m:rPr>
                    <m:sty m:val="p"/>
                  </m:rPr>
                  <m:t>,</m:t>
                </m:r>
                <m:r>
                  <m:t>  </m:t>
                </m:r>
                <m:sSup>
                  <m:e>
                    <m:r>
                      <m:t>ℓ</m:t>
                    </m:r>
                  </m:e>
                  <m:sup>
                    <m:r>
                      <m:rPr>
                        <m:sty m:val="p"/>
                      </m:rPr>
                      <m:t>*</m:t>
                    </m:r>
                    <m:r>
                      <m:rPr>
                        <m:sty m:val="p"/>
                      </m:rPr>
                      <m:t>′</m:t>
                    </m:r>
                    <m:r>
                      <m:rPr>
                        <m:sty m:val="p"/>
                      </m:rPr>
                      <m:t>′</m:t>
                    </m:r>
                  </m:sup>
                </m:sSup>
                <m:r>
                  <m:rPr>
                    <m:sty m:val="p"/>
                  </m:rPr>
                  <m:t>(</m:t>
                </m:r>
                <m:r>
                  <m:t>λ</m:t>
                </m:r>
                <m:r>
                  <m:rPr>
                    <m:sty m:val="p"/>
                  </m:rPr>
                  <m:t>)</m:t>
                </m:r>
                <m:r>
                  <m:rPr>
                    <m:sty m:val="p"/>
                  </m:rPr>
                  <m:t>=</m:t>
                </m:r>
                <m:r>
                  <m:rPr>
                    <m:sty m:val="p"/>
                  </m:rPr>
                  <m:t>−</m:t>
                </m:r>
                <m:f>
                  <m:fPr>
                    <m:type m:val="bar"/>
                  </m:fPr>
                  <m:num>
                    <m:r>
                      <m:t>n</m:t>
                    </m:r>
                  </m:num>
                  <m:den>
                    <m:sSup>
                      <m:e>
                        <m:r>
                          <m:t>λ</m:t>
                        </m:r>
                      </m:e>
                      <m:sup>
                        <m:r>
                          <m:t>2</m:t>
                        </m:r>
                      </m:sup>
                    </m:sSup>
                  </m:den>
                </m:f>
              </m:oMath>
            </m:oMathPara>
          </w:p>
          <w:p>
            <w:pPr>
              <w:pStyle w:val="FirstParagraph"/>
            </w:pPr>
            <w:r>
              <w:t xml:space="preserve">and its observed information (</w:t>
            </w:r>
            <w:hyperlink w:anchor="def-observed-information">
              <w:r>
                <w:rPr>
                  <w:rStyle w:val="Hyperlink"/>
                </w:rPr>
                <w:t xml:space="preserve">Definition 6</w:t>
              </w:r>
            </w:hyperlink>
            <w:r>
              <w:t xml:space="preserve">) is</w:t>
            </w:r>
            <w:r>
              <w:t xml:space="preserve"> </w:t>
            </w:r>
            <m:oMath>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At the MLE</w:t>
            </w:r>
            <w:r>
              <w:t xml:space="preserve"> </w:t>
            </w:r>
            <m:oMath>
              <m:acc>
                <m:accPr>
                  <m:chr m:val="̂"/>
                </m:accPr>
                <m:e>
                  <m:r>
                    <m:t>λ</m:t>
                  </m:r>
                </m:e>
              </m:acc>
              <m:r>
                <m:rPr>
                  <m:sty m:val="p"/>
                </m:rPr>
                <m:t>=</m:t>
              </m:r>
              <m:r>
                <m:t>1</m:t>
              </m:r>
              <m:r>
                <m:rPr>
                  <m:sty m:val="p"/>
                </m:rPr>
                <m:t>/</m:t>
              </m:r>
              <m:acc>
                <m:accPr>
                  <m:chr m:val="‾"/>
                </m:accPr>
                <m:e>
                  <m:r>
                    <m:t>t</m:t>
                  </m:r>
                </m:e>
              </m:acc>
            </m:oMath>
            <w:r>
              <w:t xml:space="preserve">,</w:t>
            </w:r>
            <w:r>
              <w:t xml:space="preserve"> </w:t>
            </w:r>
            <w:hyperlink w:anchor="thm-mle-asymptotic-variance">
              <w:r>
                <w:rPr>
                  <w:rStyle w:val="Hyperlink"/>
                </w:rPr>
                <w:t xml:space="preserve">Theorem 1</w:t>
              </w:r>
            </w:hyperlink>
            <w:r>
              <w:t xml:space="preserve"> </w:t>
            </w:r>
            <w:r>
              <w:t xml:space="preserve">then gives</w:t>
            </w:r>
          </w:p>
          <w:p>
            <w:pPr>
              <w:pStyle w:val="BodyText"/>
            </w:pPr>
            <m:oMathPara>
              <m:oMathParaPr>
                <m:jc m:val="center"/>
              </m:oMathParaPr>
              <m:oMath>
                <m:r>
                  <m:rPr>
                    <m:sty m:val="p"/>
                  </m:rPr>
                  <m:t/>
                </m:r>
                <m:r>
                  <m:t>​</m:t>
                </m:r>
                <m:d>
                  <m:dPr>
                    <m:begChr m:val="("/>
                    <m:sepChr m:val=""/>
                    <m:endChr m:val=")"/>
                    <m:grow/>
                  </m:dPr>
                  <m:e>
                    <m:acc>
                      <m:accPr>
                        <m:chr m:val="̂"/>
                      </m:accPr>
                      <m:e>
                        <m:r>
                          <m:t>λ</m:t>
                        </m:r>
                      </m:e>
                    </m:acc>
                  </m:e>
                </m:d>
                <m:r>
                  <m:t>​</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r>
                  <m:rPr>
                    <m:sty m:val="p"/>
                  </m:rPr>
                  <m:t>=</m:t>
                </m:r>
                <m:f>
                  <m:fPr>
                    <m:type m:val="bar"/>
                  </m:fPr>
                  <m:num>
                    <m:sSup>
                      <m:e>
                        <m:acc>
                          <m:accPr>
                            <m:chr m:val="̂"/>
                          </m:accPr>
                          <m:e>
                            <m:r>
                              <m:t>λ</m:t>
                            </m:r>
                          </m:e>
                        </m:acc>
                      </m:e>
                      <m:sup>
                        <m:r>
                          <m:t>2</m:t>
                        </m:r>
                      </m:sup>
                    </m:sSup>
                  </m:num>
                  <m:den>
                    <m:r>
                      <m:t>n</m:t>
                    </m:r>
                  </m:den>
                </m:f>
                <m:r>
                  <m:rPr>
                    <m:sty m:val="p"/>
                  </m:rPr>
                  <m:t>,</m:t>
                </m:r>
                <m:r>
                  <m:t>  </m:t>
                </m:r>
                <m:r>
                  <m:rPr>
                    <m:sty m:val="p"/>
                  </m:rPr>
                  <m:t/>
                </m:r>
                <m:r>
                  <m:t>​</m:t>
                </m:r>
                <m:d>
                  <m:dPr>
                    <m:begChr m:val="("/>
                    <m:sepChr m:val=""/>
                    <m:endChr m:val=")"/>
                    <m:grow/>
                  </m:dPr>
                  <m:e>
                    <m:acc>
                      <m:accPr>
                        <m:chr m:val="̂"/>
                      </m:accPr>
                      <m:e>
                        <m:r>
                          <m:t>λ</m:t>
                        </m:r>
                      </m:e>
                    </m:acc>
                  </m:e>
                </m:d>
                <m:r>
                  <m:t>​</m:t>
                </m:r>
                <m:r>
                  <m:rPr>
                    <m:sty m:val="p"/>
                  </m:rPr>
                  <m:t>≈</m:t>
                </m:r>
                <m:f>
                  <m:fPr>
                    <m:type m:val="bar"/>
                  </m:fPr>
                  <m:num>
                    <m:acc>
                      <m:accPr>
                        <m:chr m:val="̂"/>
                      </m:accPr>
                      <m:e>
                        <m:r>
                          <m:t>λ</m:t>
                        </m:r>
                      </m:e>
                    </m:acc>
                  </m:num>
                  <m:den>
                    <m:rad>
                      <m:radPr>
                        <m:degHide m:val="on"/>
                      </m:radPr>
                      <m:deg/>
                      <m:e>
                        <m:r>
                          <m:t>n</m:t>
                        </m:r>
                      </m:e>
                    </m:rad>
                  </m:den>
                </m:f>
              </m:oMath>
            </m:oMathPara>
          </w:p>
          <w:p>
            <w:pPr>
              <w:pStyle w:val="FirstParagraph"/>
            </w:pPr>
            <w:r>
              <w:t xml:space="preserve">so the standard error shrinks like</w:t>
            </w:r>
            <w:r>
              <w:t xml:space="preserve"> </w:t>
            </w:r>
            <m:oMath>
              <m:r>
                <m:t>1</m:t>
              </m:r>
              <m:r>
                <m:rPr>
                  <m:sty m:val="p"/>
                </m:rPr>
                <m:t>/</m:t>
              </m:r>
              <m:rad>
                <m:radPr>
                  <m:degHide m:val="on"/>
                </m:radPr>
                <m:deg/>
                <m:e>
                  <m:r>
                    <m:t>n</m:t>
                  </m:r>
                </m:e>
              </m:rad>
            </m:oMath>
            <w:r>
              <w:t xml:space="preserve">: quadrupling the sample</w:t>
            </w:r>
            <w:r>
              <w:t xml:space="preserve"> </w:t>
            </w:r>
            <w:r>
              <w:t xml:space="preserve">size halves it.</w:t>
            </w:r>
          </w:p>
          <w:bookmarkEnd w:id="67"/>
          <w:p/>
        </w:tc>
      </w:tr>
    </w:tbl>
    <w:bookmarkEnd w:id="68"/>
    <w:bookmarkStart w:id="69" w:name="likelihood-of-observed-data"/>
    <w:p>
      <w:pPr>
        <w:pStyle w:val="Heading2"/>
      </w:pPr>
      <w:r>
        <w:t xml:space="preserve">4.11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69"/>
    <w:bookmarkStart w:id="78" w:name="antibody-response-curves"/>
    <w:p>
      <w:pPr>
        <w:pStyle w:val="Heading2"/>
      </w:pPr>
      <w:r>
        <w:t xml:space="preserve">4.12 Antibody response curves</w:t>
      </w:r>
    </w:p>
    <w:tbl>
      <w:tblPr>
        <w:tblStyle w:val="Table"/>
        <w:tblW w:type="pct" w:w="5000"/>
        <w:tblLayout w:type="fixed"/>
        <w:tblLook w:firstRow="0" w:lastRow="0" w:firstColumn="0" w:lastColumn="0" w:noHBand="0" w:noVBand="0" w:val="0000"/>
      </w:tblPr>
      <w:tblGrid>
        <w:gridCol w:w="7920"/>
      </w:tblGrid>
      <w:tr>
        <w:tc>
          <w:tcPr/>
          <w:bookmarkStart w:id="73" w:name="fig-sim-case-data"/>
          <w:p>
            <w:pPr>
              <w:jc w:val="center"/>
            </w:pPr>
            <w:r>
              <w:drawing>
                <wp:inline>
                  <wp:extent cx="4620126" cy="3696101"/>
                  <wp:effectExtent b="0" l="0" r="0" t="0"/>
                  <wp:docPr descr="" title="" id="71" name="Picture"/>
                  <a:graphic>
                    <a:graphicData uri="http://schemas.openxmlformats.org/drawingml/2006/picture">
                      <pic:pic>
                        <pic:nvPicPr>
                          <pic:cNvPr descr="methodology_files/figure-docx/unnamed-chunk-4-1.png" id="72" name="Picture"/>
                          <pic:cNvPicPr>
                            <a:picLocks noChangeArrowheads="1" noChangeAspect="1"/>
                          </pic:cNvPicPr>
                        </pic:nvPicPr>
                        <pic:blipFill>
                          <a:blip r:embed="rId7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73"/>
        </w:tc>
      </w:tr>
    </w:tbl>
    <w:p/>
    <w:tbl>
      <w:tblPr>
        <w:tblStyle w:val="Table"/>
        <w:tblW w:type="pct" w:w="5000"/>
        <w:tblLayout w:type="fixed"/>
        <w:tblLook w:firstRow="0" w:lastRow="0" w:firstColumn="0" w:lastColumn="0" w:noHBand="0" w:noVBand="0" w:val="0000"/>
      </w:tblPr>
      <w:tblGrid>
        <w:gridCol w:w="7920"/>
      </w:tblGrid>
      <w:tr>
        <w:tc>
          <w:tcPr/>
          <w:bookmarkStart w:id="77" w:name="fig-decay"/>
          <w:p>
            <w:pPr>
              <w:jc w:val="center"/>
            </w:pPr>
            <w:r>
              <w:drawing>
                <wp:inline>
                  <wp:extent cx="4620126" cy="3696101"/>
                  <wp:effectExtent b="0" l="0" r="0" t="0"/>
                  <wp:docPr descr="" title="" id="75" name="Picture"/>
                  <a:graphic>
                    <a:graphicData uri="http://schemas.openxmlformats.org/drawingml/2006/picture">
                      <pic:pic>
                        <pic:nvPicPr>
                          <pic:cNvPr descr="methodology_files/figure-docx/unnamed-chunk-5-1.png" id="76" name="Picture"/>
                          <pic:cNvPicPr>
                            <a:picLocks noChangeArrowheads="1" noChangeAspect="1"/>
                          </pic:cNvPicPr>
                        </pic:nvPicPr>
                        <pic:blipFill>
                          <a:blip r:embed="rId7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77"/>
        </w:tc>
      </w:tr>
    </w:tbl>
    <w:bookmarkEnd w:id="78"/>
    <w:bookmarkStart w:id="80" w:name="the-per-person-likelihood"/>
    <w:p>
      <w:pPr>
        <w:pStyle w:val="Heading2"/>
      </w:pPr>
      <w:r>
        <w:t xml:space="preserve">4.13 The per-person likelihood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Proposition (Marginal likelihood of one participant’s data)</w:t>
            </w:r>
          </w:p>
          <w:bookmarkStart w:id="79" w:name="prp-marginal-likelihood"/>
          <w:p>
            <w:pPr>
              <w:pStyle w:val="BodyText"/>
            </w:pPr>
            <w:r>
              <w:rPr>
                <w:b/>
                <w:bCs/>
              </w:rPr>
              <w:t xml:space="preserve">Proposition 3 (Marginal likelihood of one participant’s data)</w:t>
            </w:r>
            <w:r>
              <w:t xml:space="preserve"> </w:t>
            </w:r>
            <w:r>
              <w:t xml:space="preserve">Substituting</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t> </m:t>
              </m:r>
              <m:r>
                <m:rPr>
                  <m:sty m:val="p"/>
                </m:rPr>
                <m:t>p</m:t>
              </m:r>
              <m:r>
                <m:rPr>
                  <m:sty m:val="p"/>
                </m:rPr>
                <m:t>(</m:t>
              </m:r>
              <m:r>
                <m:t>T</m:t>
              </m:r>
              <m:r>
                <m:rPr>
                  <m:sty m:val="p"/>
                </m:rPr>
                <m:t>=</m:t>
              </m:r>
              <m:r>
                <m:t>t</m:t>
              </m:r>
              <m:r>
                <m:rPr>
                  <m:sty m:val="p"/>
                </m:rPr>
                <m:t>)</m:t>
              </m:r>
            </m:oMath>
            <w:r>
              <w:t xml:space="preserve"> </w:t>
            </w:r>
            <w:r>
              <w:t xml:space="preserve">into the</w:t>
            </w:r>
            <w:r>
              <w:t xml:space="preserve"> </w:t>
            </w:r>
            <w:r>
              <w:t xml:space="preserve">expression for</w:t>
            </w:r>
            <w:r>
              <w:t xml:space="preserve"> </w:t>
            </w:r>
            <m:oMath>
              <m:r>
                <m:rPr>
                  <m:sty m:val="p"/>
                </m:rPr>
                <m:t>p</m:t>
              </m:r>
              <m:r>
                <m:rPr>
                  <m:sty m:val="p"/>
                </m:rPr>
                <m:t>(</m:t>
              </m:r>
              <m:r>
                <m:t>Y</m:t>
              </m:r>
              <m:r>
                <m:rPr>
                  <m:sty m:val="p"/>
                </m:rPr>
                <m:t>=</m:t>
              </m:r>
              <m:r>
                <m:t>y</m:t>
              </m:r>
              <m:r>
                <m:rPr>
                  <m:sty m:val="p"/>
                </m:rPr>
                <m:t>)</m:t>
              </m:r>
            </m:oMath>
            <w:r>
              <w:t xml:space="preserve"> </w:t>
            </w:r>
            <w:r>
              <w:t xml:space="preserve">above gives one participant’s contribution:</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 </m:t>
                </m:r>
                <m:r>
                  <m:rPr>
                    <m:sty m:val="p"/>
                  </m:rPr>
                  <m:t>p</m:t>
                </m:r>
                <m:r>
                  <m:rPr>
                    <m:sty m:val="p"/>
                  </m:rPr>
                  <m:t>(</m:t>
                </m:r>
                <m:r>
                  <m:t>T</m:t>
                </m:r>
                <m:r>
                  <m:rPr>
                    <m:sty m:val="p"/>
                  </m:rPr>
                  <m:t>=</m:t>
                </m:r>
                <m:r>
                  <m:t>t</m:t>
                </m:r>
                <m:r>
                  <m:rPr>
                    <m:sty m:val="p"/>
                  </m:rPr>
                  <m:t>)</m:t>
                </m:r>
                <m:r>
                  <m:t> </m:t>
                </m:r>
                <m:r>
                  <m:t>d</m:t>
                </m:r>
                <m:r>
                  <m:t>t</m:t>
                </m:r>
              </m:oMath>
            </m:oMathPara>
          </w:p>
          <w:p>
            <w:pPr>
              <w:pStyle w:val="FirstParagraph"/>
            </w:pPr>
            <w:r>
              <w:t xml:space="preserve">That integral is shorthand, because</w:t>
            </w:r>
            <w:r>
              <w:t xml:space="preserve"> </w:t>
            </w:r>
            <m:oMath>
              <m:r>
                <m:t>T</m:t>
              </m:r>
            </m:oMath>
            <w:r>
              <w:t xml:space="preserve"> </w:t>
            </w:r>
            <w:r>
              <w:t xml:space="preserve">is not purely continuous: it has</w:t>
            </w:r>
            <w:r>
              <w:t xml:space="preserve"> </w:t>
            </w:r>
            <w:r>
              <w:t xml:space="preserve">the</w:t>
            </w:r>
            <w:r>
              <w:t xml:space="preserve"> </w:t>
            </w:r>
            <w:r>
              <w:rPr>
                <w:b/>
                <w:bCs/>
              </w:rPr>
              <w:t xml:space="preserve">mixed</w:t>
            </w:r>
            <w:r>
              <w:t xml:space="preserve"> </w:t>
            </w:r>
            <w:r>
              <w:t xml:space="preserve">distribution of</w:t>
            </w:r>
            <w:r>
              <w:t xml:space="preserve"> </w:t>
            </w:r>
            <w:hyperlink w:anchor="prp-time-since-infection">
              <w:r>
                <w:rPr>
                  <w:rStyle w:val="Hyperlink"/>
                </w:rPr>
                <w:t xml:space="preserve">Proposition 1</w:t>
              </w:r>
            </w:hyperlink>
            <w:r>
              <w:t xml:space="preserve">, continuous on</w:t>
            </w:r>
            <w:r>
              <w:t xml:space="preserve"> </w:t>
            </w:r>
            <m:oMath>
              <m:r>
                <m:rPr>
                  <m:sty m:val="p"/>
                </m:rPr>
                <m:t>[</m:t>
              </m:r>
              <m:r>
                <m:t>0</m:t>
              </m:r>
              <m:r>
                <m:rPr>
                  <m:sty m:val="p"/>
                </m:rPr>
                <m:t>,</m:t>
              </m:r>
              <m:r>
                <m:t>a</m:t>
              </m:r>
              <m:r>
                <m:rPr>
                  <m:sty m:val="p"/>
                </m:rPr>
                <m:t>]</m:t>
              </m:r>
            </m:oMath>
            <w:r>
              <w:t xml:space="preserve"> </w:t>
            </w:r>
            <w:r>
              <w:t xml:space="preserve">plus an atom at</w:t>
            </w:r>
            <w:r>
              <w:t xml:space="preserve"> </w:t>
            </w:r>
            <m:oMath>
              <m:r>
                <m:t>T</m:t>
              </m:r>
              <m:r>
                <m:rPr>
                  <m:sty m:val="p"/>
                </m:rPr>
                <m:t>=</m:t>
              </m:r>
              <m:r>
                <m:rPr>
                  <m:nor/>
                  <m:sty m:val="p"/>
                </m:rPr>
                <m:t>NA</m:t>
              </m:r>
            </m:oMath>
            <w:r>
              <w:t xml:space="preserve">.</w:t>
            </w:r>
            <w:r>
              <w:t xml:space="preserve"> </w:t>
            </w:r>
            <w:r>
              <w:t xml:space="preserve">Written out, it is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rPr>
                        <m:sty m:val="p"/>
                      </m:rP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rPr>
                    <m:sty m:val="p"/>
                  </m:rP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bookmarkEnd w:id="79"/>
        </w:tc>
      </w:tr>
    </w:tbl>
    <w:p>
      <w:pPr>
        <w:pStyle w:val="BodyText"/>
      </w:pPr>
      <w:r>
        <w:t xml:space="preserve">Two pieces here were not yet defined:</w:t>
      </w:r>
    </w:p>
    <w:p>
      <w:pPr>
        <w:pStyle w:val="Compact"/>
        <w:numPr>
          <w:ilvl w:val="0"/>
          <w:numId w:val="1017"/>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hyperlink w:anchor="prp-time-since-infection">
        <w:r>
          <w:rPr>
            <w:rStyle w:val="Hyperlink"/>
          </w:rPr>
          <w:t xml:space="preserve">Proposition 1</w:t>
        </w:r>
      </w:hyperlink>
      <w:r>
        <w:t xml:space="preserve">.</w:t>
      </w:r>
    </w:p>
    <w:p>
      <w:pPr>
        <w:pStyle w:val="Compact"/>
        <w:numPr>
          <w:ilvl w:val="0"/>
          <w:numId w:val="1017"/>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80"/>
    <w:bookmarkStart w:id="82" w:name="the-full-sample-likelihood"/>
    <w:p>
      <w:pPr>
        <w:pStyle w:val="Heading2"/>
      </w:pPr>
      <w:r>
        <w:t xml:space="preserve">4.14 The full-sample likelihood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Proposition (Full-sample likelihood, assuming independent participants)</w:t>
            </w:r>
          </w:p>
          <w:bookmarkStart w:id="81" w:name="prp-full-sample-likelihood"/>
          <w:p>
            <w:pPr>
              <w:pStyle w:val="BodyText"/>
            </w:pPr>
            <w:r>
              <w:rPr>
                <w:b/>
                <w:bCs/>
              </w:rPr>
              <w:t xml:space="preserve">Proposition 4 (Full-sample likelihood, assuming independent participants)</w:t>
            </w:r>
            <w:r>
              <w:t xml:space="preserve"> </w:t>
            </w:r>
            <w:r>
              <w:t xml:space="preserve">If participants are</w:t>
            </w:r>
            <w:r>
              <w:t xml:space="preserve"> </w:t>
            </w:r>
            <w:r>
              <w:rPr>
                <w:b/>
                <w:bCs/>
              </w:rPr>
              <w:t xml:space="preserve">independent</w:t>
            </w:r>
            <w:r>
              <w:t xml:space="preserve"> </w:t>
            </w:r>
            <w:r>
              <w:t xml:space="preserve">of one another, the likelihood</w:t>
            </w:r>
            <w:r>
              <w:t xml:space="preserve"> </w:t>
            </w:r>
            <w:r>
              <w:t xml:space="preserve">(</w:t>
            </w:r>
            <w:hyperlink w:anchor="def-likelihood">
              <w:r>
                <w:rPr>
                  <w:rStyle w:val="Hyperlink"/>
                </w:rPr>
                <w:t xml:space="preserve">Definition 3</w:t>
              </w:r>
            </w:hyperlink>
            <w:r>
              <w:t xml:space="preserve">) of the whole sample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sSub>
                <m:e>
                  <m:r>
                    <m:t>y</m:t>
                  </m:r>
                </m:e>
                <m:sub>
                  <m:r>
                    <m:t>n</m:t>
                  </m:r>
                </m:sub>
              </m:sSub>
              <m:r>
                <m:rPr>
                  <m:sty m:val="p"/>
                </m:rPr>
                <m:t>)</m:t>
              </m:r>
            </m:oMath>
            <w:r>
              <w:t xml:space="preserve"> </w:t>
            </w:r>
            <w:r>
              <w:t xml:space="preserve">factors into the product of their individual contributions</w:t>
            </w:r>
            <w:r>
              <w:t xml:space="preserve"> </w:t>
            </w:r>
            <w:r>
              <w:t xml:space="preserve">(</w:t>
            </w:r>
            <w:hyperlink w:anchor="prp-marginal-likelihood">
              <w:r>
                <w:rPr>
                  <w:rStyle w:val="Hyperlink"/>
                </w:rPr>
                <w:t xml:space="preserve">Proposition 3</w:t>
              </w:r>
            </w:hyperlink>
            <w:r>
              <w:t xml:space="preserve">):</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rPr>
                                <m:sty m:val="p"/>
                              </m:rPr>
                              <m:t>p</m:t>
                            </m:r>
                          </m:e>
                        </m:nary>
                      </m:e>
                    </m:nary>
                    <m:r>
                      <m:rPr>
                        <m:sty m:val="p"/>
                      </m:rPr>
                      <m:t>(</m:t>
                    </m:r>
                    <m:r>
                      <m:t>Y</m:t>
                    </m:r>
                    <m:r>
                      <m:rPr>
                        <m:sty m:val="p"/>
                      </m:rPr>
                      <m:t>=</m:t>
                    </m:r>
                    <m:sSub>
                      <m:e>
                        <m:r>
                          <m:t>y</m:t>
                        </m:r>
                      </m:e>
                      <m:sub>
                        <m:r>
                          <m:t>i</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e>
                  <m:e/>
                </m:eqArr>
              </m:oMath>
            </m:oMathPara>
          </w:p>
          <w:bookmarkEnd w:id="81"/>
        </w:tc>
      </w:tr>
    </w:tbl>
    <w:p>
      <w:pPr>
        <w:pStyle w:val="FirstParagraph"/>
      </w:pPr>
      <w:r>
        <w:t xml:space="preserve">Independence is what licenses the product; the latent-time likelihood</w:t>
      </w:r>
      <w:r>
        <w:t xml:space="preserve"> </w:t>
      </w:r>
      <m:oMath>
        <m:sSup>
          <m:e>
            <m:r>
              <m:rPr>
                <m:scr m:val="script"/>
                <m:sty m:val="p"/>
              </m:rPr>
              <m:t>L</m:t>
            </m:r>
          </m:e>
          <m:sup>
            <m:r>
              <m:rPr>
                <m:sty m:val="p"/>
              </m:rPr>
              <m:t>*</m:t>
            </m:r>
          </m:sup>
        </m:sSup>
      </m:oMath>
      <w:r>
        <w:t xml:space="preserve"> </w:t>
      </w:r>
      <w:r>
        <w:t xml:space="preserve">above multiplies participants’ contributions for the same</w:t>
      </w:r>
      <w:r>
        <w:t xml:space="preserve"> </w:t>
      </w:r>
      <w:r>
        <w:t xml:space="preserve">reason.</w:t>
      </w:r>
      <w:r>
        <w:t xml:space="preserve"> </w:t>
      </w:r>
      <w:r>
        <w:t xml:space="preserve">It is an assumption about the</w:t>
      </w:r>
      <w:r>
        <w:t xml:space="preserve"> </w:t>
      </w:r>
      <w:r>
        <w:rPr>
          <w:b/>
          <w:bCs/>
        </w:rPr>
        <w:t xml:space="preserve">sampling design</w:t>
      </w:r>
      <w:r>
        <w:t xml:space="preserve">, separate from the</w:t>
      </w:r>
      <w:r>
        <w:t xml:space="preserve"> </w:t>
      </w:r>
      <w:r>
        <w:t xml:space="preserve">assumptions about disease dynamics in</w:t>
      </w:r>
      <w:r>
        <w:t xml:space="preserve"> </w:t>
      </w:r>
      <w:hyperlink w:anchor="def-constant-incidence-model">
        <w:r>
          <w:rPr>
            <w:rStyle w:val="Hyperlink"/>
          </w:rPr>
          <w:t xml:space="preserve">Definition 2</w:t>
        </w:r>
      </w:hyperlink>
      <w:r>
        <w:t xml:space="preserve">.</w:t>
      </w:r>
    </w:p>
    <w:p>
      <w:pPr>
        <w:pStyle w:val="BodyText"/>
      </w:pPr>
      <w:r>
        <w:t xml:space="preserve">If we know</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w:t>
      </w:r>
      <w:r>
        <w:t xml:space="preserve"> </w:t>
      </w:r>
      <w:r>
        <w:t xml:space="preserve">denoted</w:t>
      </w:r>
      <w:r>
        <w:t xml:space="preserve"> </w:t>
      </w:r>
      <m:oMath>
        <m:acc>
          <m:accPr>
            <m:chr m:val="̂"/>
          </m:accPr>
          <m:e>
            <m:r>
              <m:t>λ</m:t>
            </m:r>
          </m:e>
        </m:acc>
      </m:oMath>
      <w:r>
        <w:t xml:space="preserve">.</w:t>
      </w:r>
    </w:p>
    <w:bookmarkEnd w:id="82"/>
    <w:bookmarkStart w:id="83" w:name="finding-the-mle-numerically"/>
    <w:p>
      <w:pPr>
        <w:pStyle w:val="Heading2"/>
      </w:pPr>
      <w:r>
        <w:t xml:space="preserve">4.15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t>ℓ</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rPr>
                          <m:sty m:val="p"/>
                        </m:rPr>
                        <m:t>p</m:t>
                      </m:r>
                    </m:e>
                  </m:nary>
                </m:e>
              </m:nary>
              <m:r>
                <m:rPr>
                  <m:sty m:val="p"/>
                </m:rPr>
                <m:t>(</m:t>
              </m:r>
              <m:r>
                <m:t>Y</m:t>
              </m:r>
              <m:r>
                <m:rPr>
                  <m:sty m:val="p"/>
                </m:rPr>
                <m:t>=</m:t>
              </m:r>
              <m:sSub>
                <m:e>
                  <m:r>
                    <m:t>y</m:t>
                  </m:r>
                </m:e>
                <m:sub>
                  <m:r>
                    <m:t>i</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rPr>
                          <m:sty m:val="p"/>
                        </m:rPr>
                        <m:t>p</m:t>
                      </m:r>
                    </m:e>
                  </m:nary>
                  <m:r>
                    <m:rPr>
                      <m:sty m:val="p"/>
                    </m:rPr>
                    <m:t>(</m:t>
                  </m:r>
                  <m:r>
                    <m:t>Y</m:t>
                  </m:r>
                  <m:r>
                    <m:rPr>
                      <m:sty m:val="p"/>
                    </m:rPr>
                    <m:t>=</m:t>
                  </m:r>
                  <m:sSub>
                    <m:e>
                      <m:r>
                        <m:t>y</m:t>
                      </m:r>
                    </m:e>
                    <m:sub>
                      <m:r>
                        <m:t>i</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w:t>
      </w:r>
      <w:r>
        <w:t xml:space="preserve"> </w:t>
      </w:r>
      <w:r>
        <w:t xml:space="preserve">That algorithm also returns a numerical Hessian (</w:t>
      </w:r>
      <w:hyperlink w:anchor="def-hessian">
        <w:r>
          <w:rPr>
            <w:rStyle w:val="Hyperlink"/>
          </w:rPr>
          <w:t xml:space="preserve">Definition 5</w:t>
        </w:r>
      </w:hyperlink>
      <w:r>
        <w:t xml:space="preserve">) at the maximum, which is what</w:t>
      </w:r>
      <w:r>
        <w:t xml:space="preserve"> </w:t>
      </w:r>
      <w:hyperlink w:anchor="thm-mle-asymptotic-variance">
        <w:r>
          <w:rPr>
            <w:rStyle w:val="Hyperlink"/>
          </w:rPr>
          <w:t xml:space="preserve">Theorem 1</w:t>
        </w:r>
      </w:hyperlink>
      <w:r>
        <w:t xml:space="preserve"> </w:t>
      </w:r>
      <w:r>
        <w:t xml:space="preserve">turns into a standard error.</w:t>
      </w:r>
    </w:p>
    <w:bookmarkEnd w:id="83"/>
    <w:bookmarkStart w:id="89" w:name="X5bf3afb032987a059a98cb4220d3ca0c37d3f71"/>
    <w:p>
      <w:pPr>
        <w:pStyle w:val="Heading2"/>
      </w:pPr>
      <w:r>
        <w:t xml:space="preserve">4.16 Cluster-robust standard errors for clustered sampling designs</w:t>
      </w:r>
    </w:p>
    <w:p>
      <w:pPr>
        <w:pStyle w:val="FirstParagraph"/>
      </w:pPr>
      <w:r>
        <w:t xml:space="preserve">In many survey designs, observations are clustered (e.g., multiple individuals from the same household, school, or geographic area).</w:t>
      </w:r>
      <w:r>
        <w:t xml:space="preserve"> </w:t>
      </w:r>
      <w:r>
        <w:t xml:space="preserve">Observations within the same cluster are often more similar to each other than to observations from different clusters, which violates the independence assumption of</w:t>
      </w:r>
      <w:r>
        <w:t xml:space="preserve"> </w:t>
      </w:r>
      <w:hyperlink w:anchor="prp-full-sample-likelihood">
        <w:r>
          <w:rPr>
            <w:rStyle w:val="Hyperlink"/>
          </w:rPr>
          <w:t xml:space="preserve">Proposition 4</w:t>
        </w:r>
      </w:hyperlink>
      <w:r>
        <w:t xml:space="preserve">.</w:t>
      </w:r>
      <w:r>
        <w:t xml:space="preserve"> </w:t>
      </w:r>
      <w:r>
        <w:t xml:space="preserve">The estimate</w:t>
      </w:r>
      <w:r>
        <w:t xml:space="preserve"> </w:t>
      </w:r>
      <m:oMath>
        <m:acc>
          <m:accPr>
            <m:chr m:val="̂"/>
          </m:accPr>
          <m:e>
            <m:r>
              <m:t>λ</m:t>
            </m:r>
          </m:e>
        </m:acc>
      </m:oMath>
      <w:r>
        <w:t xml:space="preserve"> </w:t>
      </w:r>
      <w:r>
        <w:t xml:space="preserve">itself remains usable, but the inverse-information standard error of</w:t>
      </w:r>
      <w:r>
        <w:t xml:space="preserve"> </w:t>
      </w:r>
      <w:hyperlink w:anchor="thm-mle-asymptotic-variance">
        <w:r>
          <w:rPr>
            <w:rStyle w:val="Hyperlink"/>
          </w:rPr>
          <w:t xml:space="preserve">Theorem 1</w:t>
        </w:r>
      </w:hyperlink>
      <w:r>
        <w:t xml:space="preserve"> </w:t>
      </w:r>
      <w:r>
        <w:t xml:space="preserve">no longer applies to it.</w:t>
      </w:r>
    </w:p>
    <w:bookmarkStart w:id="84" w:name="why-clustering-matters"/>
    <w:p>
      <w:pPr>
        <w:pStyle w:val="Heading3"/>
      </w:pPr>
      <w:r>
        <w:t xml:space="preserve">4.16.1 Why clustering matters</w:t>
      </w:r>
    </w:p>
    <w:p>
      <w:pPr>
        <w:pStyle w:val="FirstParagraph"/>
      </w:pPr>
      <w:r>
        <w:t xml:space="preserve">When observations are clustered:</w:t>
      </w:r>
    </w:p>
    <w:p>
      <w:pPr>
        <w:pStyle w:val="Compact"/>
        <w:numPr>
          <w:ilvl w:val="0"/>
          <w:numId w:val="1018"/>
        </w:numPr>
      </w:pPr>
      <w:r>
        <w:t xml:space="preserve">Individuals within the same cluster share common exposures or characteristics</w:t>
      </w:r>
    </w:p>
    <w:p>
      <w:pPr>
        <w:pStyle w:val="Compact"/>
        <w:numPr>
          <w:ilvl w:val="0"/>
          <w:numId w:val="1018"/>
        </w:numPr>
      </w:pPr>
      <w:r>
        <w:t xml:space="preserve">Standard errors that ignore clustering will be</w:t>
      </w:r>
      <w:r>
        <w:t xml:space="preserve"> </w:t>
      </w:r>
      <w:r>
        <w:rPr>
          <w:b/>
          <w:bCs/>
        </w:rPr>
        <w:t xml:space="preserve">too small</w:t>
      </w:r>
      <w:r>
        <w:t xml:space="preserve"> </w:t>
      </w:r>
      <w:r>
        <w:t xml:space="preserve">(anti-conservative)</w:t>
      </w:r>
    </w:p>
    <w:p>
      <w:pPr>
        <w:pStyle w:val="Compact"/>
        <w:numPr>
          <w:ilvl w:val="0"/>
          <w:numId w:val="1018"/>
        </w:numPr>
      </w:pPr>
      <w:r>
        <w:t xml:space="preserve">Confidence intervals will be</w:t>
      </w:r>
      <w:r>
        <w:t xml:space="preserve"> </w:t>
      </w:r>
      <w:r>
        <w:rPr>
          <w:b/>
          <w:bCs/>
        </w:rPr>
        <w:t xml:space="preserve">too narrow</w:t>
      </w:r>
    </w:p>
    <w:p>
      <w:pPr>
        <w:pStyle w:val="Compact"/>
        <w:numPr>
          <w:ilvl w:val="0"/>
          <w:numId w:val="1018"/>
        </w:numPr>
      </w:pPr>
      <w:r>
        <w:t xml:space="preserve">p-values will be</w:t>
      </w:r>
      <w:r>
        <w:t xml:space="preserve"> </w:t>
      </w:r>
      <w:r>
        <w:rPr>
          <w:b/>
          <w:bCs/>
        </w:rPr>
        <w:t xml:space="preserve">too optimistic</w:t>
      </w:r>
    </w:p>
    <w:bookmarkEnd w:id="84"/>
    <w:bookmarkStart w:id="86" w:name="cluster-robust-variance-estimation"/>
    <w:p>
      <w:pPr>
        <w:pStyle w:val="Heading3"/>
      </w:pPr>
      <w:r>
        <w:t xml:space="preserve">4.16.2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 also known as the Huber-White robust variance estimator</w:t>
      </w:r>
      <w:r>
        <w:t xml:space="preserve"> </w:t>
      </w:r>
      <w:r>
        <w:t xml:space="preserve">(Huber 1967; White 1980)</w:t>
      </w:r>
      <w:r>
        <w:t xml:space="preserve">, generalized to clustered/grouped data by</w:t>
      </w:r>
      <w:r>
        <w:t xml:space="preserve"> </w:t>
      </w:r>
      <w:r>
        <w:t xml:space="preserve">Liang and Zeger (1986)</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(Sandwich variance estimator)</w:t>
            </w:r>
          </w:p>
          <w:bookmarkStart w:id="85" w:name="def-cluster-robust-variance"/>
          <w:p>
            <w:pPr>
              <w:pStyle w:val="BodyText"/>
            </w:pPr>
            <w:r>
              <w:rPr>
                <w:b/>
                <w:bCs/>
              </w:rPr>
              <w:t xml:space="preserve">Definition 7 (Sandwich variance estimator)</w:t>
            </w:r>
            <w:r>
              <w:t xml:space="preserve"> </w:t>
            </w:r>
            <w:r>
              <w:t xml:space="preserve">Let</w:t>
            </w:r>
            <w:r>
              <w:t xml:space="preserve"> </w:t>
            </w:r>
            <m:oMath>
              <m:r>
                <m:t>C</m:t>
              </m:r>
            </m:oMath>
            <w:r>
              <w:t xml:space="preserve"> </w:t>
            </w:r>
            <w:r>
              <w:t xml:space="preserve">be the total number of non-overlapping clusters in the sample,</w:t>
            </w:r>
            <w:r>
              <w:t xml:space="preserve"> </w:t>
            </w:r>
            <w:r>
              <w:t xml:space="preserve">let</w:t>
            </w:r>
            <w:r>
              <w:t xml:space="preserve"> </w:t>
            </w:r>
            <m:oMath>
              <m:r>
                <m:t>H</m:t>
              </m:r>
              <m:r>
                <m:rPr>
                  <m:sty m:val="p"/>
                </m:rPr>
                <m:t>=</m:t>
              </m:r>
              <m:sSup>
                <m:e>
                  <m:r>
                    <m:t>ℓ</m:t>
                  </m:r>
                </m:e>
                <m:sup>
                  <m:r>
                    <m:rPr>
                      <m:sty m:val="p"/>
                    </m:rPr>
                    <m:t>″</m:t>
                  </m:r>
                </m:sup>
              </m:sSup>
              <m:r>
                <m:rPr>
                  <m:sty m:val="p"/>
                </m:rPr>
                <m:t>(</m:t>
              </m:r>
              <m:acc>
                <m:accPr>
                  <m:chr m:val="̂"/>
                </m:accPr>
                <m:e>
                  <m:r>
                    <m:t>λ</m:t>
                  </m:r>
                </m:e>
              </m:acc>
              <m:r>
                <m:rPr>
                  <m:sty m:val="p"/>
                </m:rPr>
                <m:t>)</m:t>
              </m:r>
            </m:oMath>
            <w:r>
              <w:t xml:space="preserve"> </w:t>
            </w:r>
            <w:r>
              <w:t xml:space="preserve">be the Hessian (</w:t>
            </w:r>
            <w:hyperlink w:anchor="def-hessian">
              <w:r>
                <w:rPr>
                  <w:rStyle w:val="Hyperlink"/>
                </w:rPr>
                <w:t xml:space="preserve">Definition 5</w:t>
              </w:r>
            </w:hyperlink>
            <w:r>
              <w:t xml:space="preserve">) at the MLE,</w:t>
            </w:r>
            <w:r>
              <w:t xml:space="preserve"> </w:t>
            </w:r>
            <w:r>
              <w:t xml:space="preserve">and let</w:t>
            </w:r>
          </w:p>
          <w:p>
            <w:pPr>
              <w:pStyle w:val="BodyText"/>
            </w:pPr>
            <m:oMathPara>
              <m:oMathParaPr>
                <m:jc m:val="center"/>
              </m:oMathParaPr>
              <m:oMath>
                <m:sSub>
                  <m:e>
                    <m:r>
                      <m:t>U</m:t>
                    </m:r>
                  </m:e>
                  <m:sub>
                    <m:r>
                      <m:t>c</m:t>
                    </m:r>
                  </m:sub>
                </m:sSub>
                <m:r>
                  <m:rPr>
                    <m:sty m:val="p"/>
                  </m:rPr>
                  <m:t>=</m:t>
                </m:r>
                <m:nary>
                  <m:naryPr>
                    <m:chr m:val="∑"/>
                    <m:limLoc m:val="undOvr"/>
                    <m:subHide m:val="off"/>
                    <m:supHide m:val="on"/>
                  </m:naryPr>
                  <m:sub>
                    <m:r>
                      <m:t>i</m:t>
                    </m:r>
                    <m:r>
                      <m:rPr>
                        <m:sty m:val="p"/>
                      </m:rPr>
                      <m:t>∈</m:t>
                    </m:r>
                    <m:r>
                      <m:t>c</m:t>
                    </m:r>
                  </m:sub>
                  <m:sup>
                    <m:r>
                      <m:t>​</m:t>
                    </m:r>
                  </m:sup>
                  <m:e>
                    <m:sSub>
                      <m:e>
                        <m:r>
                          <m:rPr>
                            <m:sty m:val="p"/>
                          </m:rPr>
                          <m:t>∇</m:t>
                        </m:r>
                      </m:e>
                      <m:sub>
                        <m:r>
                          <m:t>λ</m:t>
                        </m:r>
                      </m:sub>
                    </m:sSub>
                  </m:e>
                </m:nary>
                <m:r>
                  <m:rPr>
                    <m:sty m:val="p"/>
                  </m:rPr>
                  <m:t>log</m:t>
                </m:r>
                <m:r>
                  <m:rPr>
                    <m:sty m:val="p"/>
                  </m:rPr>
                  <m:t>p</m:t>
                </m:r>
                <m:r>
                  <m:rPr>
                    <m:sty m:val="p"/>
                  </m:rPr>
                  <m:t>(</m:t>
                </m:r>
                <m:sSub>
                  <m:e>
                    <m:r>
                      <m:t>Y</m:t>
                    </m:r>
                  </m:e>
                  <m:sub>
                    <m:r>
                      <m:t>i</m:t>
                    </m:r>
                  </m:sub>
                </m:sSub>
                <m:r>
                  <m:rPr>
                    <m:sty m:val="p"/>
                  </m:rPr>
                  <m:t>∣</m:t>
                </m:r>
                <m:r>
                  <m:t>λ</m:t>
                </m:r>
                <m:r>
                  <m:rPr>
                    <m:sty m:val="p"/>
                  </m:rPr>
                  <m:t>)</m:t>
                </m:r>
              </m:oMath>
            </m:oMathPara>
          </w:p>
          <w:p>
            <w:pPr>
              <w:pStyle w:val="FirstParagraph"/>
            </w:pPr>
            <w:r>
              <w:t xml:space="preserve">be the total score contribution (</w:t>
            </w:r>
            <w:hyperlink w:anchor="def-score">
              <w:r>
                <w:rPr>
                  <w:rStyle w:val="Hyperlink"/>
                </w:rPr>
                <w:t xml:space="preserve">Definition 4</w:t>
              </w:r>
            </w:hyperlink>
            <w:r>
              <w:t xml:space="preserve">) of the observations in</w:t>
            </w:r>
            <w:r>
              <w:t xml:space="preserve"> </w:t>
            </w:r>
            <w:r>
              <w:t xml:space="preserve">cluster</w:t>
            </w:r>
            <w:r>
              <w:t xml:space="preserve"> </w:t>
            </w:r>
            <m:oMath>
              <m:r>
                <m:t>c</m:t>
              </m:r>
            </m:oMath>
            <w:r>
              <w:t xml:space="preserve">, where</w:t>
            </w:r>
            <w:r>
              <w:t xml:space="preserve"> </w:t>
            </w:r>
            <m:oMath>
              <m:sSub>
                <m:e>
                  <m:r>
                    <m:rPr>
                      <m:sty m:val="p"/>
                    </m:rPr>
                    <m:t>∇</m:t>
                  </m:r>
                </m:e>
                <m:sub>
                  <m:r>
                    <m:t>λ</m:t>
                  </m:r>
                </m:sub>
              </m:sSub>
            </m:oMath>
            <w:r>
              <w:t xml:space="preserve"> </w:t>
            </w:r>
            <w:r>
              <w:t xml:space="preserve">denotes the gradient with respect</w:t>
            </w:r>
            <w:r>
              <w:t xml:space="preserve"> </w:t>
            </w:r>
            <w:r>
              <w:t xml:space="preserve">to</w:t>
            </w:r>
            <w:r>
              <w:t xml:space="preserve"> </w:t>
            </w:r>
            <m:oMath>
              <m:r>
                <m:t>λ</m:t>
              </m:r>
            </m:oMath>
            <w:r>
              <w:t xml:space="preserve">.</w:t>
            </w:r>
            <w:r>
              <w:t xml:space="preserve"> </w:t>
            </w:r>
            <w:r>
              <w:t xml:space="preserve">The</w:t>
            </w:r>
            <w:r>
              <w:t xml:space="preserve"> </w:t>
            </w:r>
            <w:r>
              <w:rPr>
                <w:b/>
                <w:bCs/>
              </w:rPr>
              <w:t xml:space="preserve">cluster-robust variance-covariance matrix</w:t>
            </w:r>
            <w:r>
              <w:t xml:space="preserve"> </w:t>
            </w:r>
            <w:r>
              <w:t xml:space="preserve">for the parameter</w:t>
            </w:r>
            <w:r>
              <w:t xml:space="preserve"> </w:t>
            </w:r>
            <w:r>
              <w:t xml:space="preserve">estimates is then</w:t>
            </w:r>
          </w:p>
          <w:p>
            <w:pPr>
              <w:pStyle w:val="BodyText"/>
            </w:pPr>
            <m:oMathPara>
              <m:oMathParaPr>
                <m:jc m:val="center"/>
              </m:oMathParaPr>
              <m:oMath>
                <m:sSub>
                  <m:e>
                    <m:r>
                      <m:t>V</m:t>
                    </m:r>
                  </m:e>
                  <m:sub>
                    <m:r>
                      <m:rPr>
                        <m:nor/>
                        <m:sty m:val="p"/>
                      </m:rPr>
                      <m:t>robust</m:t>
                    </m:r>
                  </m:sub>
                </m:sSub>
                <m:r>
                  <m:rPr>
                    <m:sty m:val="p"/>
                  </m:rPr>
                  <m:t>=</m:t>
                </m:r>
                <m:sSup>
                  <m:e>
                    <m:r>
                      <m:t>H</m:t>
                    </m:r>
                  </m:e>
                  <m:sup>
                    <m:r>
                      <m:rPr>
                        <m:sty m:val="p"/>
                      </m:rPr>
                      <m:t>−</m:t>
                    </m:r>
                    <m:r>
                      <m:t>1</m:t>
                    </m:r>
                  </m:sup>
                </m:sSup>
                <m:r>
                  <m:t>B</m:t>
                </m:r>
                <m:sSup>
                  <m:e>
                    <m:r>
                      <m:t>H</m:t>
                    </m:r>
                  </m:e>
                  <m:sup>
                    <m:r>
                      <m:rPr>
                        <m:sty m:val="p"/>
                      </m:rPr>
                      <m:t>−</m:t>
                    </m:r>
                    <m:r>
                      <m:t>1</m:t>
                    </m:r>
                  </m:sup>
                </m:sSup>
                <m:r>
                  <m:rPr>
                    <m:sty m:val="p"/>
                  </m:rPr>
                  <m:t>,</m:t>
                </m:r>
                <m:r>
                  <m:t>  </m:t>
                </m:r>
                <m:r>
                  <m:t>B</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oMath>
            </m:oMathPara>
          </w:p>
          <w:p>
            <w:pPr>
              <w:pStyle w:val="FirstParagraph"/>
            </w:pPr>
            <w:r>
              <w:t xml:space="preserve">with</w:t>
            </w:r>
            <w:r>
              <w:t xml:space="preserve"> </w:t>
            </w:r>
            <m:oMath>
              <m:r>
                <m:t>B</m:t>
              </m:r>
            </m:oMath>
            <w:r>
              <w:t xml:space="preserve"> </w:t>
            </w:r>
            <w:r>
              <w:t xml:space="preserve">the</w:t>
            </w:r>
            <w:r>
              <w:t xml:space="preserve"> </w:t>
            </w:r>
            <w:r>
              <w:t xml:space="preserve">“meat”</w:t>
            </w:r>
            <w:r>
              <w:t xml:space="preserve"> </w:t>
            </w:r>
            <w:r>
              <w:t xml:space="preserve">of the sandwich.</w:t>
            </w:r>
          </w:p>
          <w:bookmarkEnd w:id="85"/>
        </w:tc>
      </w:tr>
    </w:tbl>
    <w:p>
      <w:pPr>
        <w:pStyle w:val="BodyText"/>
      </w:pPr>
      <w:r>
        <w:t xml:space="preserve">The sign convention does not matter here:</w:t>
      </w:r>
      <w:r>
        <w:t xml:space="preserve"> </w:t>
      </w:r>
      <m:oMath>
        <m:r>
          <m:t>H</m:t>
        </m:r>
      </m:oMath>
      <w:r>
        <w:t xml:space="preserve"> </w:t>
      </w:r>
      <w:r>
        <w:t xml:space="preserve">appears twice, so</w:t>
      </w:r>
      <w:r>
        <w:t xml:space="preserve"> </w:t>
      </w:r>
      <w:r>
        <w:t xml:space="preserve">substituting the observed information</w:t>
      </w:r>
      <w:r>
        <w:t xml:space="preserve"> </w:t>
      </w:r>
      <m:oMath>
        <m:r>
          <m:t>I</m:t>
        </m:r>
        <m:r>
          <m:rPr>
            <m:sty m:val="p"/>
          </m:rPr>
          <m:t>(</m:t>
        </m:r>
        <m:acc>
          <m:accPr>
            <m:chr m:val="̂"/>
          </m:accPr>
          <m:e>
            <m:r>
              <m:t>λ</m:t>
            </m:r>
          </m:e>
        </m:acc>
        <m:r>
          <m:rPr>
            <m:sty m:val="p"/>
          </m:rPr>
          <m:t>)</m:t>
        </m:r>
        <m:r>
          <m:rPr>
            <m:sty m:val="p"/>
          </m:rPr>
          <m:t>=</m:t>
        </m:r>
        <m:r>
          <m:rPr>
            <m:sty m:val="p"/>
          </m:rPr>
          <m:t>−</m:t>
        </m:r>
        <m:r>
          <m:t>H</m:t>
        </m:r>
      </m:oMath>
      <w:r>
        <w:t xml:space="preserve"> </w:t>
      </w:r>
      <w:r>
        <w:t xml:space="preserve">(</w:t>
      </w:r>
      <w:hyperlink w:anchor="def-observed-information">
        <w:r>
          <w:rPr>
            <w:rStyle w:val="Hyperlink"/>
          </w:rPr>
          <w:t xml:space="preserve">Definition 6</w:t>
        </w:r>
      </w:hyperlink>
      <w:r>
        <w:t xml:space="preserve">) leaves</w:t>
      </w:r>
      <w:r>
        <w:t xml:space="preserve"> </w:t>
      </w:r>
      <m:oMath>
        <m:sSub>
          <m:e>
            <m:r>
              <m:t>V</m:t>
            </m:r>
          </m:e>
          <m:sub>
            <m:r>
              <m:rPr>
                <m:nor/>
                <m:sty m:val="p"/>
              </m:rPr>
              <m:t>robust</m:t>
            </m:r>
          </m:sub>
        </m:sSub>
      </m:oMath>
      <w:r>
        <w:t xml:space="preserve"> </w:t>
      </w:r>
      <w:r>
        <w:t xml:space="preserve">unchanged.</w:t>
      </w:r>
    </w:p>
    <w:p>
      <w:pPr>
        <w:pStyle w:val="BodyText"/>
      </w:pPr>
      <w:r>
        <w:t xml:space="preserve">The sandwich generalizes</w:t>
      </w:r>
      <w:r>
        <w:t xml:space="preserve"> </w:t>
      </w:r>
      <w:hyperlink w:anchor="thm-mle-asymptotic-variance">
        <w:r>
          <w:rPr>
            <w:rStyle w:val="Hyperlink"/>
          </w:rPr>
          <w:t xml:space="preserve">Theorem 1</w:t>
        </w:r>
      </w:hyperlink>
      <w:r>
        <w:t xml:space="preserve"> </w:t>
      </w:r>
      <w:r>
        <w:t xml:space="preserve">rather than</w:t>
      </w:r>
      <w:r>
        <w:t xml:space="preserve"> </w:t>
      </w:r>
      <w:r>
        <w:t xml:space="preserve">replacing it.</w:t>
      </w:r>
      <w:r>
        <w:t xml:space="preserve"> </w:t>
      </w:r>
      <w:r>
        <w:t xml:space="preserve">When the model is correctly specified and observations really are</w:t>
      </w:r>
      <w:r>
        <w:t xml:space="preserve"> </w:t>
      </w:r>
      <w:r>
        <w:t xml:space="preserve">independent,</w:t>
      </w:r>
      <w:r>
        <w:t xml:space="preserve"> </w:t>
      </w:r>
      <m:oMath>
        <m:r>
          <m:t>B</m:t>
        </m:r>
      </m:oMath>
      <w:r>
        <w:t xml:space="preserve"> </w:t>
      </w:r>
      <w:r>
        <w:t xml:space="preserve">estimates the same information as</w:t>
      </w:r>
      <w:r>
        <w:t xml:space="preserve"> </w:t>
      </w:r>
      <m:oMath>
        <m:r>
          <m:rPr>
            <m:sty m:val="p"/>
          </m:rPr>
          <m:t>−</m:t>
        </m:r>
        <m:r>
          <m:t>H</m:t>
        </m:r>
      </m:oMath>
      <w:r>
        <w:t xml:space="preserve"> </w:t>
      </w:r>
      <w:r>
        <w:t xml:space="preserve">does, and</w:t>
      </w:r>
      <w:r>
        <w:t xml:space="preserve"> </w:t>
      </w:r>
      <m:oMath>
        <m:sSup>
          <m:e>
            <m:r>
              <m:t>H</m:t>
            </m:r>
          </m:e>
          <m:sup>
            <m:r>
              <m:rPr>
                <m:sty m:val="p"/>
              </m:rPr>
              <m:t>−</m:t>
            </m:r>
            <m:r>
              <m:t>1</m:t>
            </m:r>
          </m:sup>
        </m:sSup>
        <m:r>
          <m:t>B</m:t>
        </m:r>
        <m:sSup>
          <m:e>
            <m:r>
              <m:t>H</m:t>
            </m:r>
          </m:e>
          <m:sup>
            <m:r>
              <m:rPr>
                <m:sty m:val="p"/>
              </m:rPr>
              <m:t>−</m:t>
            </m:r>
            <m:r>
              <m:t>1</m:t>
            </m:r>
          </m:sup>
        </m:sSup>
      </m:oMath>
      <w:r>
        <w:t xml:space="preserve"> </w:t>
      </w:r>
      <w:r>
        <w:t xml:space="preserve">collapses to</w:t>
      </w:r>
      <w:r>
        <w:t xml:space="preserve"> </w:t>
      </w:r>
      <m:oMath>
        <m:r>
          <m:t>​</m:t>
        </m:r>
        <m:d>
          <m:dPr>
            <m:begChr m:val="["/>
            <m:sepChr m:val=""/>
            <m:endChr m:val="]"/>
            <m:grow/>
          </m:dPr>
          <m:e>
            <m:r>
              <m:t>I</m:t>
            </m:r>
            <m:r>
              <m:rPr>
                <m:sty m:val="p"/>
              </m:rPr>
              <m:t>(</m:t>
            </m:r>
            <m:acc>
              <m:accPr>
                <m:chr m:val="̂"/>
              </m:accPr>
              <m:e>
                <m:r>
                  <m:t>λ</m:t>
                </m:r>
              </m:e>
            </m:acc>
            <m:r>
              <m:rPr>
                <m:sty m:val="p"/>
              </m:rPr>
              <m:t>)</m:t>
            </m:r>
          </m:e>
        </m:d>
        <m:sSup>
          <m:e>
            <m:r>
              <m:t>​</m:t>
            </m:r>
          </m:e>
          <m:sup>
            <m:r>
              <m:rPr>
                <m:sty m:val="p"/>
              </m:rPr>
              <m:t>−</m:t>
            </m:r>
            <m:r>
              <m:t>1</m:t>
            </m:r>
          </m:sup>
        </m:sSup>
      </m:oMath>
      <w:r>
        <w:t xml:space="preserve"> </w:t>
      </w:r>
      <w:r>
        <w:t xml:space="preserve">— the</w:t>
      </w:r>
      <w:r>
        <w:t xml:space="preserve"> </w:t>
      </w:r>
      <w:r>
        <w:t xml:space="preserve">ordinary standard error.</w:t>
      </w:r>
      <w:r>
        <w:t xml:space="preserve"> </w:t>
      </w:r>
      <w:r>
        <w:t xml:space="preserve">Clustering is what drives the two apart, and the gap between them is</w:t>
      </w:r>
      <w:r>
        <w:t xml:space="preserve"> </w:t>
      </w:r>
      <w:r>
        <w:t xml:space="preserve">what the correction recovers.</w:t>
      </w:r>
    </w:p>
    <w:bookmarkEnd w:id="86"/>
    <w:bookmarkStart w:id="87" w:name="implementation-in-serocalculator"/>
    <w:p>
      <w:pPr>
        <w:pStyle w:val="Heading3"/>
      </w:pPr>
      <w:r>
        <w:t xml:space="preserve">4.16.3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p>
      <w:pPr>
        <w:pStyle w:val="BodyText"/>
      </w:pPr>
      <w:r>
        <w:t xml:space="preserve">Internally the optimization is parameterized by</w:t>
      </w:r>
      <w:r>
        <w:t xml:space="preserve"> </w:t>
      </w:r>
      <m:oMath>
        <m:r>
          <m:rPr>
            <m:sty m:val="p"/>
          </m:rPr>
          <m:t>log</m:t>
        </m:r>
        <m:r>
          <m:t>λ</m:t>
        </m:r>
      </m:oMath>
      <w:r>
        <w:t xml:space="preserve"> </w:t>
      </w:r>
      <w:r>
        <w:t xml:space="preserve">rather</w:t>
      </w:r>
      <w:r>
        <w:t xml:space="preserve"> </w:t>
      </w:r>
      <w:r>
        <w:t xml:space="preserve">than</w:t>
      </w:r>
      <w:r>
        <w:t xml:space="preserve"> </w:t>
      </w:r>
      <m:oMath>
        <m:r>
          <m:t>λ</m:t>
        </m:r>
      </m:oMath>
      <w:r>
        <w:t xml:space="preserve">, which keeps the estimate positive, so the sandwich</w:t>
      </w:r>
      <w:r>
        <w:t xml:space="preserve"> </w:t>
      </w:r>
      <w:r>
        <w:t xml:space="preserve">above is evaluated on that scale and</w:t>
      </w:r>
      <w:r>
        <w:t xml:space="preserve"> </w:t>
      </w:r>
      <w:r>
        <w:rPr>
          <w:rStyle w:val="VerbatimChar"/>
        </w:rPr>
        <w:t xml:space="preserve">summary()</w:t>
      </w:r>
      <w:r>
        <w:t xml:space="preserve"> </w:t>
      </w:r>
      <w:r>
        <w:t xml:space="preserve">converts the result</w:t>
      </w:r>
      <w:r>
        <w:t xml:space="preserve"> </w:t>
      </w:r>
      <w:r>
        <w:t xml:space="preserve">back with the delta method</w:t>
      </w:r>
      <w:r>
        <w:t xml:space="preserve"> </w:t>
      </w:r>
      <w:r>
        <w:t xml:space="preserve">(</w:t>
      </w:r>
      <m:oMath>
        <m:r>
          <m:rPr>
            <m:sty m:val="p"/>
          </m:rPr>
          <m:t/>
        </m:r>
        <m:r>
          <m:t>​</m:t>
        </m:r>
        <m:d>
          <m:dPr>
            <m:begChr m:val="("/>
            <m:sepChr m:val=""/>
            <m:endChr m:val=")"/>
            <m:grow/>
          </m:dPr>
          <m:e>
            <m:acc>
              <m:accPr>
                <m:chr m:val="̂"/>
              </m:accPr>
              <m:e>
                <m:r>
                  <m:t>λ</m:t>
                </m:r>
              </m:e>
            </m:acc>
          </m:e>
        </m:d>
        <m:r>
          <m:t>​</m:t>
        </m:r>
        <m:r>
          <m:rPr>
            <m:sty m:val="p"/>
          </m:rPr>
          <m:t>=</m:t>
        </m:r>
        <m:acc>
          <m:accPr>
            <m:chr m:val="̂"/>
          </m:accPr>
          <m:e>
            <m:r>
              <m:t>λ</m:t>
            </m:r>
          </m:e>
        </m:acc>
        <m:r>
          <m:rPr>
            <m:sty m:val="p"/>
          </m:rPr>
          <m:t>⋅</m:t>
        </m:r>
        <m:r>
          <m:rPr>
            <m:sty m:val="p"/>
          </m:rPr>
          <m:t/>
        </m:r>
        <m:r>
          <m:t>​</m:t>
        </m:r>
        <m:d>
          <m:dPr>
            <m:begChr m:val="("/>
            <m:sepChr m:val=""/>
            <m:endChr m:val=")"/>
            <m:grow/>
          </m:dPr>
          <m:e>
            <m:r>
              <m:rPr>
                <m:sty m:val="p"/>
              </m:rPr>
              <m:t>log</m:t>
            </m:r>
            <m:acc>
              <m:accPr>
                <m:chr m:val="̂"/>
              </m:accPr>
              <m:e>
                <m:r>
                  <m:t>λ</m:t>
                </m:r>
              </m:e>
            </m:acc>
          </m:e>
        </m:d>
        <m:r>
          <m:t>​</m:t>
        </m:r>
      </m:oMath>
      <w:r>
        <w:t xml:space="preserve">).</w:t>
      </w:r>
    </w:p>
    <w:bookmarkEnd w:id="87"/>
    <w:bookmarkStart w:id="88" w:name="effect-on-results"/>
    <w:p>
      <w:pPr>
        <w:pStyle w:val="Heading3"/>
      </w:pPr>
      <w:r>
        <w:t xml:space="preserve">4.16.4 Effect on results</w:t>
      </w:r>
    </w:p>
    <w:p>
      <w:pPr>
        <w:pStyle w:val="Compact"/>
        <w:numPr>
          <w:ilvl w:val="0"/>
          <w:numId w:val="1019"/>
        </w:numPr>
      </w:pPr>
      <w:r>
        <w:rPr>
          <w:b/>
          <w:bCs/>
        </w:rPr>
        <w:t xml:space="preserve">Point estimates</w:t>
      </w:r>
      <w:r>
        <w:t xml:space="preserve"> </w:t>
      </w:r>
      <w:r>
        <w:t xml:space="preserve">(incidence rates) remain unchanged</w:t>
      </w:r>
    </w:p>
    <w:p>
      <w:pPr>
        <w:pStyle w:val="Compact"/>
        <w:numPr>
          <w:ilvl w:val="0"/>
          <w:numId w:val="1019"/>
        </w:numPr>
      </w:pPr>
      <w:r>
        <w:rPr>
          <w:b/>
          <w:bCs/>
        </w:rPr>
        <w:t xml:space="preserve">Standard errors</w:t>
      </w:r>
      <w:r>
        <w:t xml:space="preserve"> </w:t>
      </w:r>
      <w:r>
        <w:t xml:space="preserve">often increase to reflect within-cluster correlation</w:t>
      </w:r>
    </w:p>
    <w:p>
      <w:pPr>
        <w:pStyle w:val="Compact"/>
        <w:numPr>
          <w:ilvl w:val="0"/>
          <w:numId w:val="1019"/>
        </w:numPr>
      </w:pPr>
      <w:r>
        <w:rPr>
          <w:b/>
          <w:bCs/>
        </w:rPr>
        <w:t xml:space="preserve">Confidence intervals</w:t>
      </w:r>
      <w:r>
        <w:t xml:space="preserve"> </w:t>
      </w:r>
      <w:r>
        <w:t xml:space="preserve">appropriately widen to account for reduced effective sample size</w:t>
      </w:r>
    </w:p>
    <w:bookmarkEnd w:id="88"/>
    <w:bookmarkEnd w:id="89"/>
    <w:bookmarkEnd w:id="90"/>
    <w:bookmarkStart w:id="127"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91"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0"/>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0"/>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0"/>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2"/>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2"/>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2"/>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91"/>
    <w:bookmarkStart w:id="92"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92"/>
    <w:bookmarkStart w:id="93"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93"/>
    <w:bookmarkStart w:id="94"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94"/>
    <w:bookmarkStart w:id="103"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24"/>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24"/>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24"/>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98" w:name="fig-response-graph"/>
          <w:p>
            <w:pPr>
              <w:pStyle w:val="Compact"/>
              <w:jc w:val="center"/>
            </w:pPr>
            <w:r>
              <w:drawing>
                <wp:inline>
                  <wp:extent cx="4620126" cy="3696101"/>
                  <wp:effectExtent b="0" l="0" r="0" t="0"/>
                  <wp:docPr descr="" title="" id="96" name="Picture"/>
                  <a:graphic>
                    <a:graphicData uri="http://schemas.openxmlformats.org/drawingml/2006/picture">
                      <pic:pic>
                        <pic:nvPicPr>
                          <pic:cNvPr descr="methodology_files/figure-docx/fig-response-graph-1.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98"/>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99">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101" name="Picture"/>
            <a:graphic>
              <a:graphicData uri="http://schemas.openxmlformats.org/drawingml/2006/picture">
                <pic:pic>
                  <pic:nvPicPr>
                    <pic:cNvPr descr="../man/figures/qr_akm2.svg" id="10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0"/>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103"/>
    <w:bookmarkStart w:id="104" w:name="sec-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25"/>
        </w:numPr>
      </w:pPr>
      <m:oMath>
        <m:sSub>
          <m:e>
            <m:r>
              <m:t>y</m:t>
            </m:r>
          </m:e>
          <m:sub>
            <m:r>
              <m:rPr>
                <m:nor/>
                <m:sty m:val="p"/>
              </m:rPr>
              <m:t>obs</m:t>
            </m:r>
          </m:sub>
        </m:sSub>
      </m:oMath>
      <w:r>
        <w:t xml:space="preserve">: measured serum antibody concentration</w:t>
      </w:r>
    </w:p>
    <w:p>
      <w:pPr>
        <w:pStyle w:val="Compact"/>
        <w:numPr>
          <w:ilvl w:val="0"/>
          <w:numId w:val="1025"/>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25"/>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26"/>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2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104"/>
    <w:bookmarkStart w:id="105"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27"/>
        </w:numPr>
      </w:pPr>
      <m:oMath>
        <m:sSub>
          <m:e>
            <m:r>
              <m:t>y</m:t>
            </m:r>
          </m:e>
          <m:sub>
            <m:r>
              <m:rPr>
                <m:nor/>
                <m:sty m:val="p"/>
              </m:rPr>
              <m:t>obs</m:t>
            </m:r>
          </m:sub>
        </m:sSub>
      </m:oMath>
      <w:r>
        <w:t xml:space="preserve">: measured serum antibody concentration</w:t>
      </w:r>
    </w:p>
    <w:p>
      <w:pPr>
        <w:pStyle w:val="Compact"/>
        <w:numPr>
          <w:ilvl w:val="0"/>
          <w:numId w:val="1027"/>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27"/>
        </w:numPr>
      </w:pPr>
      <m:oMath>
        <m:r>
          <m:t>ξ</m:t>
        </m:r>
      </m:oMath>
      <w:r>
        <w:t xml:space="preserve">: relative measurement error</w:t>
      </w:r>
    </w:p>
    <w:p>
      <w:pPr>
        <w:pStyle w:val="Compact"/>
        <w:numPr>
          <w:ilvl w:val="0"/>
          <w:numId w:val="1027"/>
        </w:numPr>
      </w:pPr>
      <m:oMath>
        <m:r>
          <m:t>ε</m:t>
        </m:r>
      </m:oMath>
      <w:r>
        <w:t xml:space="preserve">: bound on the relative error</w:t>
      </w:r>
    </w:p>
    <w:p>
      <w:pPr>
        <w:pStyle w:val="FirstParagraph"/>
      </w:pPr>
      <w:r>
        <w:t xml:space="preserve">Model:</w:t>
      </w:r>
    </w:p>
    <w:p>
      <w:pPr>
        <w:pStyle w:val="Compact"/>
        <w:numPr>
          <w:ilvl w:val="0"/>
          <w:numId w:val="1028"/>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28"/>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105"/>
    <w:bookmarkStart w:id="106"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29"/>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29"/>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29"/>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106"/>
    <w:bookmarkStart w:id="107"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0"/>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0"/>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107"/>
    <w:bookmarkStart w:id="112" w:name="variation-across-the-posterior"/>
    <w:p>
      <w:pPr>
        <w:pStyle w:val="Heading2"/>
      </w:pPr>
      <w:r>
        <w:t xml:space="preserve">5.10 Variation across the posterior</w:t>
      </w:r>
    </w:p>
    <w:p>
      <w:pPr>
        <w:pStyle w:val="FirstParagraph"/>
      </w:pPr>
      <w:r>
        <w:t xml:space="preserve">The figure above draws one curve to name the parameters. The fitted model is</w:t>
      </w:r>
      <w:r>
        <w:t xml:space="preserve"> </w:t>
      </w:r>
      <w:r>
        <w:t xml:space="preserve">really a</w:t>
      </w:r>
      <w:r>
        <w:t xml:space="preserve"> </w:t>
      </w:r>
      <w:r>
        <w:rPr>
          <w:i/>
          <w:iCs/>
        </w:rPr>
        <w:t xml:space="preserve">posterior sample</w:t>
      </w:r>
      <w:r>
        <w:t xml:space="preserve"> </w:t>
      </w:r>
      <w:r>
        <w:t xml:space="preserve">of such curves, and</w:t>
      </w:r>
      <w:r>
        <w:t xml:space="preserve"> </w:t>
      </w:r>
      <w:r>
        <w:rPr>
          <w:rStyle w:val="VerbatimChar"/>
        </w:rPr>
        <w:t xml:space="preserve">autoplot()</w:t>
      </w:r>
      <w:r>
        <w:t xml:space="preserve"> </w:t>
      </w:r>
      <w:r>
        <w:t xml:space="preserve">on a</w:t>
      </w:r>
      <w:r>
        <w:t xml:space="preserve"> </w:t>
      </w:r>
      <w:r>
        <w:rPr>
          <w:rStyle w:val="VerbatimChar"/>
        </w:rPr>
        <w:t xml:space="preserve">curve_params</w:t>
      </w:r>
      <w:r>
        <w:t xml:space="preserve"> </w:t>
      </w:r>
      <w:r>
        <w:t xml:space="preserve">object shows their spread:</w:t>
      </w:r>
    </w:p>
    <w:tbl>
      <w:tblPr>
        <w:tblStyle w:val="Table"/>
        <w:tblW w:type="pct" w:w="5000"/>
        <w:tblLayout w:type="fixed"/>
        <w:tblLook w:firstRow="0" w:lastRow="0" w:firstColumn="0" w:lastColumn="0" w:noHBand="0" w:noVBand="0" w:val="0000"/>
      </w:tblPr>
      <w:tblGrid>
        <w:gridCol w:w="7920"/>
      </w:tblGrid>
      <w:tr>
        <w:tc>
          <w:tcPr/>
          <w:bookmarkStart w:id="111" w:name="fig-curve-posterior"/>
          <w:p>
            <w:pPr>
              <w:pStyle w:val="Compact"/>
              <w:jc w:val="center"/>
            </w:pPr>
            <w:r>
              <w:drawing>
                <wp:inline>
                  <wp:extent cx="4620126" cy="3696101"/>
                  <wp:effectExtent b="0" l="0" r="0" t="0"/>
                  <wp:docPr descr="" title="" id="109" name="Picture"/>
                  <a:graphic>
                    <a:graphicData uri="http://schemas.openxmlformats.org/drawingml/2006/picture">
                      <pic:pic>
                        <pic:nvPicPr>
                          <pic:cNvPr descr="methodology_files/figure-docx/fig-curve-posterior-1.png" id="110" name="Picture"/>
                          <pic:cNvPicPr>
                            <a:picLocks noChangeArrowheads="1" noChangeAspect="1"/>
                          </pic:cNvPicPr>
                        </pic:nvPicPr>
                        <pic:blipFill>
                          <a:blip r:embed="rId10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draws of the antibody-decay curve per antigen-isotype, with the 10%, 50%, and 90% point-wise quantiles overlaid.</w:t>
            </w:r>
          </w:p>
          <w:bookmarkEnd w:id="111"/>
        </w:tc>
      </w:tr>
    </w:tbl>
    <w:p>
      <w:pPr>
        <w:pStyle w:val="BodyText"/>
      </w:pPr>
      <w:r>
        <w:rPr>
          <w:rStyle w:val="VerbatimChar"/>
        </w:rPr>
        <w:t xml:space="preserve">curves</w:t>
      </w:r>
      <w:r>
        <w:t xml:space="preserve"> </w:t>
      </w:r>
      <w:r>
        <w:t xml:space="preserve">holds 49 draws per antigen-isotype</w:t>
      </w:r>
      <w:r>
        <w:t xml:space="preserve"> </w:t>
      </w:r>
      <w:r>
        <w:t xml:space="preserve">here, since it was thinned to</w:t>
      </w:r>
      <w:r>
        <w:t xml:space="preserve"> </w:t>
      </w:r>
      <w:r>
        <w:rPr>
          <w:rStyle w:val="VerbatimChar"/>
        </w:rPr>
        <w:t xml:space="preserve">iter &lt; 50</w:t>
      </w:r>
      <w:r>
        <w:t xml:space="preserve"> </w:t>
      </w:r>
      <w:r>
        <w:t xml:space="preserve">when it was loaded.</w:t>
      </w:r>
    </w:p>
    <w:p>
      <w:pPr>
        <w:pStyle w:val="BodyText"/>
      </w:pPr>
      <w:r>
        <w:rPr>
          <w:rStyle w:val="VerbatimChar"/>
        </w:rPr>
        <w:t xml:space="preserve">n_curves</w:t>
      </w:r>
      <w:r>
        <w:t xml:space="preserve"> </w:t>
      </w:r>
      <w:r>
        <w:t xml:space="preserve">caps how many draws are drawn rather than setting a target, so</w:t>
      </w:r>
      <w:r>
        <w:t xml:space="preserve"> </w:t>
      </w:r>
      <w:r>
        <w:t xml:space="preserve">asking for more than the object holds simply draws them all. Passing</w:t>
      </w:r>
      <w:r>
        <w:t xml:space="preserve"> </w:t>
      </w:r>
      <w:r>
        <w:rPr>
          <w:rStyle w:val="VerbatimChar"/>
        </w:rPr>
        <w:t xml:space="preserve">quantiles = NULL</w:t>
      </w:r>
      <w:r>
        <w:t xml:space="preserve"> </w:t>
      </w:r>
      <w:r>
        <w:t xml:space="preserve">omits the overlay, and</w:t>
      </w:r>
      <w:r>
        <w:t xml:space="preserve"> </w:t>
      </w:r>
      <w:r>
        <w:rPr>
          <w:rStyle w:val="VerbatimChar"/>
        </w:rPr>
        <w:t xml:space="preserve">log_x = FALSE</w:t>
      </w:r>
      <w:r>
        <w:t xml:space="preserve"> </w:t>
      </w:r>
      <w:r>
        <w:t xml:space="preserve">puts time on a</w:t>
      </w:r>
      <w:r>
        <w:t xml:space="preserve"> </w:t>
      </w:r>
      <w:r>
        <w:t xml:space="preserve">linear scale.</w:t>
      </w:r>
    </w:p>
    <w:p>
      <w:pPr>
        <w:pStyle w:val="BodyText"/>
      </w:pPr>
      <w:r>
        <w:t xml:space="preserve">This spread is what the incidence likelihood averages over, as described</w:t>
      </w:r>
      <w:r>
        <w:t xml:space="preserve"> </w:t>
      </w:r>
      <w:r>
        <w:t xml:space="preserve">under</w:t>
      </w:r>
      <w:r>
        <w:t xml:space="preserve"> </w:t>
      </w:r>
      <w:r>
        <w:t xml:space="preserve">“Propagating uncertainty and heterogeneity”</w:t>
      </w:r>
      <w:r>
        <w:t xml:space="preserve"> </w:t>
      </w:r>
      <w:r>
        <w:t xml:space="preserve">above: each draw is one</w:t>
      </w:r>
      <w:r>
        <w:t xml:space="preserve"> </w:t>
      </w:r>
      <w:r>
        <w:t xml:space="preserve">plausible antibody-response curve, and together they carry both the</w:t>
      </w:r>
      <w:r>
        <w:t xml:space="preserve"> </w:t>
      </w:r>
      <w:r>
        <w:t xml:space="preserve">estimation uncertainty and the between-person heterogeneity.</w:t>
      </w:r>
    </w:p>
    <w:bookmarkEnd w:id="112"/>
    <w:bookmarkStart w:id="118" w:name="multiple-biomarkers"/>
    <w:p>
      <w:pPr>
        <w:pStyle w:val="Heading2"/>
      </w:pPr>
      <w:r>
        <w:t xml:space="preserve">5.11 Multiple biomarkers</w:t>
      </w:r>
    </w:p>
    <w:p>
      <w:pPr>
        <w:pStyle w:val="FirstParagraph"/>
      </w:pPr>
      <w:r>
        <w:t xml:space="preserve">A serosurvey usually measures more than one antigen-isotype per participant.</w:t>
      </w:r>
      <w:r>
        <w:t xml:space="preserve"> </w:t>
      </w:r>
      <w:r>
        <w:t xml:space="preserve">The current model treats biomarkers as</w:t>
      </w:r>
      <w:r>
        <w:t xml:space="preserve"> </w:t>
      </w:r>
      <w:r>
        <w:rPr>
          <w:b/>
          <w:bCs/>
        </w:rPr>
        <w:t xml:space="preserve">conditionally independent given the</w:t>
      </w:r>
      <w:r>
        <w:rPr>
          <w:b/>
          <w:bCs/>
        </w:rPr>
        <w:t xml:space="preserve"> </w:t>
      </w:r>
      <w:r>
        <w:rPr>
          <w:b/>
          <w:bCs/>
        </w:rPr>
        <w:t xml:space="preserve">time since infection</w:t>
      </w:r>
      <w:r>
        <w:t xml:space="preserve">, so their response densities multiply</w:t>
      </w:r>
      <w:r>
        <w:t xml:space="preserve"> </w:t>
      </w:r>
      <w:r>
        <w:rPr>
          <w:i/>
          <w:iCs/>
        </w:rPr>
        <w:t xml:space="preserve">inside</w:t>
      </w:r>
      <w:r>
        <w:t xml:space="preserve"> </w:t>
      </w:r>
      <w:r>
        <w:t xml:space="preserve">each</w:t>
      </w:r>
      <w:r>
        <w:t xml:space="preserve"> </w:t>
      </w:r>
      <w:r>
        <w:t xml:space="preserve">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w:t>
      </w:r>
      <w:r>
        <w:t xml:space="preserve"> </w:t>
      </w:r>
      <w:r>
        <w:t xml:space="preserve">likelihoods: the shared latent infection time</w:t>
      </w:r>
      <w:r>
        <w:t xml:space="preserve"> </w:t>
      </w:r>
      <m:oMath>
        <m:r>
          <m:t>t</m:t>
        </m:r>
      </m:oMath>
      <w:r>
        <w:t xml:space="preserve"> </w:t>
      </w:r>
      <w:r>
        <w:t xml:space="preserve">couples them.</w:t>
      </w:r>
    </w:p>
    <w:p>
      <w:pPr>
        <w:pStyle w:val="BodyText"/>
      </w:pPr>
      <w:r>
        <w:rPr>
          <w:rStyle w:val="VerbatimChar"/>
        </w:rPr>
        <w:t xml:space="preserve">log_likelihood()</w:t>
      </w:r>
      <w:r>
        <w:t xml:space="preserve"> </w:t>
      </w:r>
      <w:r>
        <w:t xml:space="preserve">evaluates the log-likelihood at a given</w:t>
      </w:r>
      <w:r>
        <w:t xml:space="preserve"> </w:t>
      </w:r>
      <m:oMath>
        <m:r>
          <m:t>λ</m:t>
        </m:r>
      </m:oMath>
      <w:r>
        <w:t xml:space="preserve">, which</w:t>
      </w:r>
      <w:r>
        <w:t xml:space="preserve"> </w:t>
      </w:r>
      <w:r>
        <w:t xml:space="preserve">lets us check that claim numerically:</w:t>
      </w:r>
    </w:p>
    <w:p>
      <w:pPr>
        <w:pStyle w:val="SourceCode"/>
      </w:pPr>
      <w:r>
        <w:rPr>
          <w:rStyle w:val="VerbatimChar"/>
        </w:rPr>
        <w:t xml:space="preserve">      IgA       IgG       sum     joint </w:t>
      </w:r>
      <w:r>
        <w:br/>
      </w:r>
      <w:r>
        <w:rPr>
          <w:rStyle w:val="VerbatimChar"/>
        </w:rPr>
        <w:t xml:space="preserve">-3801.688 -4918.504 -8720.192 -8720.192 </w:t>
      </w:r>
    </w:p>
    <w:p>
      <w:pPr>
        <w:pStyle w:val="FirstParagraph"/>
      </w:pPr>
      <w:r>
        <w:t xml:space="preserve">The two-biomarker value is</w:t>
      </w:r>
      <w:r>
        <w:t xml:space="preserve"> </w:t>
      </w:r>
      <w:r>
        <w:rPr>
          <w:b/>
          <w:bCs/>
        </w:rPr>
        <w:t xml:space="preserve">exactly</w:t>
      </w:r>
      <w:r>
        <w:t xml:space="preserve"> </w:t>
      </w:r>
      <w:r>
        <w:t xml:space="preserve">the sum of the separate ones. That is</w:t>
      </w:r>
      <w:r>
        <w:t xml:space="preserve"> </w:t>
      </w:r>
      <w:r>
        <w:t xml:space="preserve">worth pausing on, because the formula above says it should not be: one</w:t>
      </w:r>
      <w:r>
        <w:t xml:space="preserve"> </w:t>
      </w:r>
      <w:r>
        <w:t xml:space="preserve">integral over a shared</w:t>
      </w:r>
      <w:r>
        <w:t xml:space="preserve"> </w:t>
      </w:r>
      <m:oMath>
        <m:r>
          <m:t>t</m:t>
        </m:r>
      </m:oMath>
      <w:r>
        <w:t xml:space="preserve"> </w:t>
      </w:r>
      <w:r>
        <w:t xml:space="preserve">does not factor into two separate integrals.</w:t>
      </w:r>
    </w:p>
    <w:p>
      <w:pPr>
        <w:pStyle w:val="BodyText"/>
      </w:pPr>
      <w:r>
        <w:t xml:space="preserve">What it tells us is that</w:t>
      </w:r>
      <w:r>
        <w:t xml:space="preserve"> </w:t>
      </w:r>
      <w:r>
        <w:rPr>
          <w:rStyle w:val="VerbatimChar"/>
        </w:rPr>
        <w:t xml:space="preserve">log_likelihood()</w:t>
      </w:r>
      <w:r>
        <w:t xml:space="preserve"> </w:t>
      </w:r>
      <w:r>
        <w:t xml:space="preserve">currently combines biomarkers by</w:t>
      </w:r>
      <w:r>
        <w:t xml:space="preserve"> </w:t>
      </w:r>
      <w:r>
        <w:t xml:space="preserve">summing their individual log-likelihoods, which is the stronger assumption</w:t>
      </w:r>
      <w:r>
        <w:t xml:space="preserve"> </w:t>
      </w:r>
      <w:r>
        <w:t xml:space="preserve">that the biomarkers are independent</w:t>
      </w:r>
      <w:r>
        <w:t xml:space="preserve"> </w:t>
      </w:r>
      <w:r>
        <w:rPr>
          <w:i/>
          <w:iCs/>
        </w:rPr>
        <w:t xml:space="preserve">unconditionally</w:t>
      </w:r>
      <w:r>
        <w:t xml:space="preserve">, each with its own</w:t>
      </w:r>
      <w:r>
        <w:t xml:space="preserve"> </w:t>
      </w:r>
      <w:r>
        <w:t xml:space="preserve">latent infection time.</w:t>
      </w:r>
      <w:r>
        <w:t xml:space="preserve"> </w:t>
      </w:r>
      <w:r>
        <w:rPr>
          <w:rStyle w:val="VerbatimChar"/>
        </w:rPr>
        <w:t xml:space="preserve">est_seroincidence()</w:t>
      </w:r>
      <w:r>
        <w:t xml:space="preserve"> </w:t>
      </w:r>
      <w:r>
        <w:t xml:space="preserve">optimizes through the same code</w:t>
      </w:r>
      <w:r>
        <w:t xml:space="preserve"> </w:t>
      </w:r>
      <w:r>
        <w:t xml:space="preserve">path, so this is the estimation model rather than a quirk of this one</w:t>
      </w:r>
      <w:r>
        <w:t xml:space="preserve"> </w:t>
      </w:r>
      <w:r>
        <w:t xml:space="preserve">function.</w:t>
      </w:r>
    </w:p>
    <w:p>
      <w:pPr>
        <w:pStyle w:val="BodyText"/>
      </w:pPr>
      <w:r>
        <w:t xml:space="preserve">Whether the formula or the implementation should change is</w:t>
      </w:r>
      <w:r>
        <w:t xml:space="preserve"> </w:t>
      </w:r>
      <w:hyperlink r:id="rId113">
        <w:r>
          <w:rPr>
            <w:rStyle w:val="Hyperlink"/>
          </w:rPr>
          <w:t xml:space="preserve">an open question</w:t>
        </w:r>
      </w:hyperlink>
      <w:r>
        <w:t xml:space="preserve">.</w:t>
      </w:r>
      <w:r>
        <w:t xml:space="preserve"> </w:t>
      </w:r>
      <w:r>
        <w:t xml:space="preserve">Until it is settled, read a multi-biomarker standard error as assuming</w:t>
      </w:r>
      <w:r>
        <w:t xml:space="preserve"> </w:t>
      </w:r>
      <w:r>
        <w:t xml:space="preserve">independence across biomarkers.</w:t>
      </w:r>
    </w:p>
    <w:p>
      <w:pPr>
        <w:pStyle w:val="BodyText"/>
      </w:pPr>
      <w:r>
        <w:rPr>
          <w:rStyle w:val="VerbatimChar"/>
        </w:rPr>
        <w:t xml:space="preserve">R/log_likelihood.R</w:t>
      </w:r>
      <w:r>
        <w:t xml:space="preserve"> </w:t>
      </w:r>
      <w:r>
        <w:t xml:space="preserve">loops over</w:t>
      </w:r>
      <w:r>
        <w:t xml:space="preserve"> </w:t>
      </w:r>
      <w:r>
        <w:rPr>
          <w:rStyle w:val="VerbatimChar"/>
        </w:rPr>
        <w:t xml:space="preserve">antigen_isos</w:t>
      </w:r>
      <w:r>
        <w:t xml:space="preserve">, calls</w:t>
      </w:r>
      <w:r>
        <w:t xml:space="preserve"> </w:t>
      </w:r>
      <w:r>
        <w:rPr>
          <w:rStyle w:val="VerbatimChar"/>
        </w:rPr>
        <w:t xml:space="preserve">f_dev()</w:t>
      </w:r>
      <w:r>
        <w:t xml:space="preserve"> </w:t>
      </w:r>
      <w:r>
        <w:t xml:space="preserve">once per</w:t>
      </w:r>
      <w:r>
        <w:t xml:space="preserve"> </w:t>
      </w:r>
      <w:r>
        <w:t xml:space="preserve">biomarker, and adds the results, with a source comment naming the</w:t>
      </w:r>
      <w:r>
        <w:t xml:space="preserve"> </w:t>
      </w:r>
      <w:r>
        <w:t xml:space="preserve">independence assumption. Summing log-likelihoods is the log of the product of</w:t>
      </w:r>
      <w:r>
        <w:t xml:space="preserve"> </w:t>
      </w:r>
      <w:r>
        <w:t xml:space="preserve">the marginals.</w:t>
      </w:r>
    </w:p>
    <w:p>
      <w:pPr>
        <w:pStyle w:val="BodyText"/>
      </w:pPr>
      <w:r>
        <w:t xml:space="preserve">(</w:t>
      </w:r>
      <w:hyperlink w:anchor="sec-multivariate">
        <w:r>
          <w:rPr>
            <w:rStyle w:val="Hyperlink"/>
          </w:rPr>
          <w:t xml:space="preserve">Section 9.2</w:t>
        </w:r>
      </w:hyperlink>
      <w:r>
        <w:t xml:space="preserve"> </w:t>
      </w:r>
      <w:r>
        <w:t xml:space="preserve">describes work in progress to relax conditional</w:t>
      </w:r>
      <w:r>
        <w:t xml:space="preserve"> </w:t>
      </w:r>
      <w:r>
        <w:t xml:space="preserve">independence</w:t>
      </w:r>
      <w:r>
        <w:t xml:space="preserve"> </w:t>
      </w:r>
      <w:r>
        <w:rPr>
          <w:i/>
          <w:iCs/>
        </w:rPr>
        <w:t xml:space="preserve">given</w:t>
      </w:r>
      <w:r>
        <w:t xml:space="preserve"> </w:t>
      </w:r>
      <m:oMath>
        <m:r>
          <m:t>t</m:t>
        </m:r>
      </m:oMath>
      <w:r>
        <w:t xml:space="preserve">; the question above is whether the current code</w:t>
      </w:r>
      <w:r>
        <w:t xml:space="preserve"> </w:t>
      </w:r>
      <w:r>
        <w:t xml:space="preserve">implements even that much.)</w:t>
      </w:r>
    </w:p>
    <w:p>
      <w:pPr>
        <w:pStyle w:val="BodyText"/>
      </w:pPr>
      <w:r>
        <w:t xml:space="preserve">Using both biomarkers concentrates the log-likelihood around its maximum,</w:t>
      </w:r>
      <w:r>
        <w:t xml:space="preserve"> </w:t>
      </w:r>
      <w:r>
        <w:t xml:space="preserve">and so shrinks the standard error, relative to either biomarker alone</w:t>
      </w:r>
      <w:r>
        <w:t xml:space="preserve"> </w:t>
      </w:r>
      <w:r>
        <w:t xml:space="preserve">(</w:t>
      </w:r>
      <w:hyperlink w:anchor="fig-loglik">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17" w:name="fig-loglik"/>
          <w:p>
            <w:pPr>
              <w:pStyle w:val="Compact"/>
              <w:jc w:val="center"/>
            </w:pPr>
            <w:r>
              <w:drawing>
                <wp:inline>
                  <wp:extent cx="4620126" cy="3696101"/>
                  <wp:effectExtent b="0" l="0" r="0" t="0"/>
                  <wp:docPr descr="" title="" id="115" name="Picture"/>
                  <a:graphic>
                    <a:graphicData uri="http://schemas.openxmlformats.org/drawingml/2006/picture">
                      <pic:pic>
                        <pic:nvPicPr>
                          <pic:cNvPr descr="methodology_files/figure-docx/fig-loglik-1.png" id="116" name="Picture"/>
                          <pic:cNvPicPr>
                            <a:picLocks noChangeArrowheads="1" noChangeAspect="1"/>
                          </pic:cNvPicPr>
                        </pic:nvPicPr>
                        <pic:blipFill>
                          <a:blip r:embed="rId11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Log-likelihood curves for HlyE IgA alone, HlyE IgG alone, and both biomarkers combined.</w:t>
            </w:r>
          </w:p>
          <w:bookmarkEnd w:id="117"/>
        </w:tc>
      </w:tr>
    </w:tbl>
    <w:bookmarkEnd w:id="118"/>
    <w:bookmarkStart w:id="122" w:name="X2f1a22e0e8bfbbb3bd4a9b4c70c58b4086e4038"/>
    <w:p>
      <w:pPr>
        <w:pStyle w:val="Heading2"/>
      </w:pPr>
      <w:r>
        <w:t xml:space="preserve">5.12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20" name="Picture"/>
            <a:graphic>
              <a:graphicData uri="http://schemas.openxmlformats.org/drawingml/2006/picture">
                <pic:pic>
                  <pic:nvPicPr>
                    <pic:cNvPr descr="../man/figures/kinetics-variation-1.png" id="121" name="Picture"/>
                    <pic:cNvPicPr>
                      <a:picLocks noChangeArrowheads="1" noChangeAspect="1"/>
                    </pic:cNvPicPr>
                  </pic:nvPicPr>
                  <pic:blipFill>
                    <a:blip r:embed="rId119"/>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22"/>
    <w:bookmarkStart w:id="126" w:name="Xe0d498a7f1d34353def60f09705ade4ab365d1e"/>
    <w:p>
      <w:pPr>
        <w:pStyle w:val="Heading2"/>
      </w:pPr>
      <w:r>
        <w:t xml:space="preserve">5.13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24" name="Picture"/>
            <a:graphic>
              <a:graphicData uri="http://schemas.openxmlformats.org/drawingml/2006/picture">
                <pic:pic>
                  <pic:nvPicPr>
                    <pic:cNvPr descr="../man/figures/kinetics-variation-2.png" id="125" name="Picture"/>
                    <pic:cNvPicPr>
                      <a:picLocks noChangeArrowheads="1" noChangeAspect="1"/>
                    </pic:cNvPicPr>
                  </pic:nvPicPr>
                  <pic:blipFill>
                    <a:blip r:embed="rId123"/>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26"/>
    <w:bookmarkEnd w:id="127"/>
    <w:bookmarkStart w:id="139" w:name="estimating-the-curves-with-serodynamics"/>
    <w:p>
      <w:pPr>
        <w:pStyle w:val="Heading1"/>
      </w:pPr>
      <w:r>
        <w:t xml:space="preserve">6. Estimating the curves with</w:t>
      </w:r>
      <w:r>
        <w:t xml:space="preserve"> </w:t>
      </w:r>
      <w:r>
        <w:rPr>
          <w:rStyle w:val="VerbatimChar"/>
        </w:rPr>
        <w:t xml:space="preserve">serodynamics</w:t>
      </w:r>
    </w:p>
    <w:bookmarkStart w:id="128"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1"/>
        </w:numPr>
      </w:pPr>
      <w:r>
        <w:t xml:space="preserve">baseline antibody level (</w:t>
      </w:r>
      <m:oMath>
        <m:sSub>
          <m:e>
            <m:r>
              <m:t>y</m:t>
            </m:r>
          </m:e>
          <m:sub>
            <m:r>
              <m:t>0</m:t>
            </m:r>
          </m:sub>
        </m:sSub>
      </m:oMath>
      <w:r>
        <w:t xml:space="preserve">)</w:t>
      </w:r>
    </w:p>
    <w:p>
      <w:pPr>
        <w:pStyle w:val="Compact"/>
        <w:numPr>
          <w:ilvl w:val="0"/>
          <w:numId w:val="1031"/>
        </w:numPr>
      </w:pPr>
      <w:r>
        <w:t xml:space="preserve">peak concentration (</w:t>
      </w:r>
      <m:oMath>
        <m:sSub>
          <m:e>
            <m:r>
              <m:t>y</m:t>
            </m:r>
          </m:e>
          <m:sub>
            <m:r>
              <m:t>1</m:t>
            </m:r>
          </m:sub>
        </m:sSub>
      </m:oMath>
      <w:r>
        <w:t xml:space="preserve">)</w:t>
      </w:r>
    </w:p>
    <w:p>
      <w:pPr>
        <w:pStyle w:val="Compact"/>
        <w:numPr>
          <w:ilvl w:val="0"/>
          <w:numId w:val="1031"/>
        </w:numPr>
      </w:pPr>
      <w:r>
        <w:t xml:space="preserve">time to peak (</w:t>
      </w:r>
      <m:oMath>
        <m:sSub>
          <m:e>
            <m:r>
              <m:t>t</m:t>
            </m:r>
          </m:e>
          <m:sub>
            <m:r>
              <m:t>1</m:t>
            </m:r>
          </m:sub>
        </m:sSub>
      </m:oMath>
      <w:r>
        <w:t xml:space="preserve">)</w:t>
      </w:r>
    </w:p>
    <w:p>
      <w:pPr>
        <w:pStyle w:val="Compact"/>
        <w:numPr>
          <w:ilvl w:val="0"/>
          <w:numId w:val="1031"/>
        </w:numPr>
      </w:pPr>
      <w:r>
        <w:t xml:space="preserve">decay rate (</w:t>
      </w:r>
      <m:oMath>
        <m:r>
          <m:t>α</m:t>
        </m:r>
      </m:oMath>
      <w:r>
        <w:t xml:space="preserve">)</w:t>
      </w:r>
    </w:p>
    <w:p>
      <w:pPr>
        <w:pStyle w:val="Compact"/>
        <w:numPr>
          <w:ilvl w:val="0"/>
          <w:numId w:val="1031"/>
        </w:numPr>
      </w:pPr>
      <w:r>
        <w:t xml:space="preserve">decay shape (</w:t>
      </w:r>
      <m:oMath>
        <m:r>
          <m:t>r</m:t>
        </m:r>
      </m:oMath>
      <w:r>
        <w:t xml:space="preserve">)</w:t>
      </w:r>
    </w:p>
    <w:bookmarkEnd w:id="128"/>
    <w:bookmarkStart w:id="130"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29">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30"/>
    <w:bookmarkStart w:id="131"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SourceCode"/>
      </w:pPr>
      <w:r>
        <w:rPr>
          <w:rStyle w:val="FunctionTok"/>
        </w:rPr>
        <w:t xml:space="preserve">library</w:t>
      </w:r>
      <w:r>
        <w:rPr>
          <w:rStyle w:val="NormalTok"/>
        </w:rPr>
        <w:t xml:space="preserve">(serodynamics)</w:t>
      </w:r>
      <w:r>
        <w:br/>
      </w:r>
      <w:r>
        <w:br/>
      </w:r>
      <w:r>
        <w:rPr>
          <w:rStyle w:val="CommentTok"/>
        </w:rPr>
        <w:t xml:space="preserve"># Longitudinal confirmed-case data (example data ships with the package)</w:t>
      </w:r>
      <w:r>
        <w:br/>
      </w:r>
      <w:r>
        <w:rPr>
          <w:rStyle w:val="FunctionTok"/>
        </w:rPr>
        <w:t xml:space="preserve">data</w:t>
      </w:r>
      <w:r>
        <w:rPr>
          <w:rStyle w:val="NormalTok"/>
        </w:rPr>
        <w:t xml:space="preserve">(</w:t>
      </w:r>
      <w:r>
        <w:rPr>
          <w:rStyle w:val="StringTok"/>
        </w:rPr>
        <w:t xml:space="preserve">"nepal_sees"</w:t>
      </w:r>
      <w:r>
        <w:rPr>
          <w:rStyle w:val="NormalTok"/>
        </w:rPr>
        <w:t xml:space="preserve">)</w:t>
      </w:r>
      <w:r>
        <w:br/>
      </w:r>
      <w:r>
        <w:br/>
      </w:r>
      <w:r>
        <w:rPr>
          <w:rStyle w:val="CommentTok"/>
        </w:rPr>
        <w:t xml:space="preserve"># Fit the two-phase model by MCMC (JAGS); slow, so not run here</w:t>
      </w:r>
      <w:r>
        <w:br/>
      </w:r>
      <w:r>
        <w:rPr>
          <w:rStyle w:val="NormalTok"/>
        </w:rPr>
        <w:t xml:space="preserve">fit </w:t>
      </w:r>
      <w:r>
        <w:rPr>
          <w:rStyle w:val="OtherTok"/>
        </w:rPr>
        <w:t xml:space="preserve">&lt;-</w:t>
      </w:r>
      <w:r>
        <w:rPr>
          <w:rStyle w:val="NormalTok"/>
        </w:rPr>
        <w:t xml:space="preserve"> </w:t>
      </w:r>
      <w:r>
        <w:rPr>
          <w:rStyle w:val="FunctionTok"/>
        </w:rPr>
        <w:t xml:space="preserve">run_mod</w:t>
      </w:r>
      <w:r>
        <w:rPr>
          <w:rStyle w:val="NormalTok"/>
        </w:rPr>
        <w:t xml:space="preserve">(</w:t>
      </w:r>
      <w:r>
        <w:rPr>
          <w:rStyle w:val="AttributeTok"/>
        </w:rPr>
        <w:t xml:space="preserve">data =</w:t>
      </w:r>
      <w:r>
        <w:rPr>
          <w:rStyle w:val="NormalTok"/>
        </w:rPr>
        <w:t xml:space="preserve"> nepal_sees, </w:t>
      </w:r>
      <w:r>
        <w:rPr>
          <w:rStyle w:val="AttributeTok"/>
        </w:rPr>
        <w:t xml:space="preserve">with_post =</w:t>
      </w:r>
      <w:r>
        <w:rPr>
          <w:rStyle w:val="NormalTok"/>
        </w:rPr>
        <w:t xml:space="preserve"> </w:t>
      </w:r>
      <w:r>
        <w:rPr>
          <w:rStyle w:val="ConstantTok"/>
        </w:rPr>
        <w:t xml:space="preserve">TRUE</w:t>
      </w:r>
      <w:r>
        <w:rPr>
          <w:rStyle w:val="NormalTok"/>
        </w:rPr>
        <w:t xml:space="preserve">)</w:t>
      </w:r>
      <w:r>
        <w:br/>
      </w:r>
      <w:r>
        <w:br/>
      </w:r>
      <w:r>
        <w:rPr>
          <w:rStyle w:val="CommentTok"/>
        </w:rPr>
        <w:t xml:space="preserve"># Check convergence, then export serocalculator-ready curve parameters</w:t>
      </w:r>
      <w:r>
        <w:br/>
      </w:r>
      <w:r>
        <w:rPr>
          <w:rStyle w:val="FunctionTok"/>
        </w:rPr>
        <w:t xml:space="preserve">plot_jags_Rhat</w:t>
      </w:r>
      <w:r>
        <w:rPr>
          <w:rStyle w:val="NormalTok"/>
        </w:rPr>
        <w:t xml:space="preserve">(fit)</w:t>
      </w:r>
      <w:r>
        <w:br/>
      </w:r>
      <w:r>
        <w:rPr>
          <w:rStyle w:val="NormalTok"/>
        </w:rPr>
        <w:t xml:space="preserve">curve_params </w:t>
      </w:r>
      <w:r>
        <w:rPr>
          <w:rStyle w:val="OtherTok"/>
        </w:rPr>
        <w:t xml:space="preserve">&lt;-</w:t>
      </w:r>
      <w:r>
        <w:rPr>
          <w:rStyle w:val="NormalTok"/>
        </w:rPr>
        <w:t xml:space="preserve"> </w:t>
      </w:r>
      <w:r>
        <w:rPr>
          <w:rStyle w:val="FunctionTok"/>
        </w:rPr>
        <w:t xml:space="preserve">postprocess_jags_output</w:t>
      </w:r>
      <w:r>
        <w:rPr>
          <w:rStyle w:val="NormalTok"/>
        </w:rPr>
        <w:t xml:space="preserve">(fit)</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31"/>
    <w:bookmarkStart w:id="135"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SourceCode"/>
      </w:pPr>
      <w:r>
        <w:rPr>
          <w:rStyle w:val="FunctionTok"/>
        </w:rPr>
        <w:t xml:space="preserve">data</w:t>
      </w:r>
      <w:r>
        <w:rPr>
          <w:rStyle w:val="NormalTok"/>
        </w:rPr>
        <w:t xml:space="preserve">(</w:t>
      </w:r>
      <w:r>
        <w:rPr>
          <w:rStyle w:val="StringTok"/>
        </w:rPr>
        <w:t xml:space="preserve">"nepal_sees_jags_output"</w:t>
      </w:r>
      <w:r>
        <w:rPr>
          <w:rStyle w:val="NormalTok"/>
        </w:rPr>
        <w:t xml:space="preserve">)</w:t>
      </w:r>
      <w:r>
        <w:br/>
      </w:r>
      <w:r>
        <w:rPr>
          <w:rStyle w:val="FunctionTok"/>
        </w:rPr>
        <w:t xml:space="preserve">plot_jags_dens</w:t>
      </w:r>
      <w:r>
        <w:rPr>
          <w:rStyle w:val="NormalTok"/>
        </w:rPr>
        <w:t xml:space="preserve">(nepal_sees_jags_output, </w:t>
      </w:r>
      <w:r>
        <w:rPr>
          <w:rStyle w:val="AttributeTok"/>
        </w:rPr>
        <w:t xml:space="preserve">iso =</w:t>
      </w:r>
      <w:r>
        <w:rPr>
          <w:rStyle w:val="NormalTok"/>
        </w:rPr>
        <w:t xml:space="preserve"> </w:t>
      </w:r>
      <w:r>
        <w:rPr>
          <w:rStyle w:val="StringTok"/>
        </w:rPr>
        <w:t xml:space="preserve">"HlyE_IgG"</w:t>
      </w:r>
      <w:r>
        <w:rPr>
          <w:rStyle w:val="NormalTok"/>
        </w:rPr>
        <w:t xml:space="preserve">, </w:t>
      </w:r>
      <w:r>
        <w:rPr>
          <w:rStyle w:val="AttributeTok"/>
        </w:rPr>
        <w:t xml:space="preserve">strat =</w:t>
      </w:r>
      <w:r>
        <w:rPr>
          <w:rStyle w:val="NormalTok"/>
        </w:rPr>
        <w:t xml:space="preserve"> </w:t>
      </w:r>
      <w:r>
        <w:rPr>
          <w:rStyle w:val="StringTok"/>
        </w:rPr>
        <w:t xml:space="preserve">"typhi"</w:t>
      </w:r>
      <w:r>
        <w:rPr>
          <w:rStyle w:val="NormalTok"/>
        </w:rPr>
        <w:t xml:space="preserve">)</w:t>
      </w:r>
    </w:p>
    <w:p>
      <w:pPr>
        <w:pStyle w:val="CaptionedFigure"/>
      </w:pPr>
      <w:r>
        <w:drawing>
          <wp:inline>
            <wp:extent cx="5334000" cy="3000375"/>
            <wp:effectExtent b="0" l="0" r="0" t="0"/>
            <wp:docPr descr="Posterior densities of the five kinetic parameters from the cached nepal_sees_jags_output fit (HlyE IgG, Typhi), by MCMC chain." title="" id="133" name="Picture"/>
            <a:graphic>
              <a:graphicData uri="http://schemas.openxmlformats.org/drawingml/2006/picture">
                <pic:pic>
                  <pic:nvPicPr>
                    <pic:cNvPr descr="../man/figures/serodynamics-cached-fit.png" id="134" name="Picture"/>
                    <pic:cNvPicPr>
                      <a:picLocks noChangeArrowheads="1" noChangeAspect="1"/>
                    </pic:cNvPicPr>
                  </pic:nvPicPr>
                  <pic:blipFill>
                    <a:blip r:embed="rId13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35"/>
    <w:bookmarkStart w:id="136" w:name="two-packages-one-pipeline"/>
    <w:p>
      <w:pPr>
        <w:pStyle w:val="Heading2"/>
      </w:pPr>
      <w:r>
        <w:t xml:space="preserve">6.5 Two packages, one pipeline</w:t>
      </w:r>
    </w:p>
    <w:p>
      <w:pPr>
        <w:pStyle w:val="Compact"/>
        <w:numPr>
          <w:ilvl w:val="0"/>
          <w:numId w:val="1032"/>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2"/>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36"/>
    <w:bookmarkStart w:id="137"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33"/>
        </w:numPr>
      </w:pPr>
      <w:r>
        <w:rPr>
          <w:b/>
          <w:bCs/>
        </w:rPr>
        <w:t xml:space="preserve">estimation uncertainty</w:t>
      </w:r>
      <w:r>
        <w:t xml:space="preserve"> </w:t>
      </w:r>
      <w:r>
        <w:t xml:space="preserve">in the kinetics parameters, and</w:t>
      </w:r>
    </w:p>
    <w:p>
      <w:pPr>
        <w:pStyle w:val="Compact"/>
        <w:numPr>
          <w:ilvl w:val="0"/>
          <w:numId w:val="1033"/>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37"/>
    <w:bookmarkStart w:id="138"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34"/>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34"/>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38"/>
    <w:bookmarkEnd w:id="139"/>
    <w:bookmarkStart w:id="160" w:name="using-serocalculator"/>
    <w:p>
      <w:pPr>
        <w:pStyle w:val="Heading1"/>
      </w:pPr>
      <w:r>
        <w:t xml:space="preserve">7. Using</w:t>
      </w:r>
      <w:r>
        <w:t xml:space="preserve"> </w:t>
      </w:r>
      <w:r>
        <w:rPr>
          <w:rStyle w:val="VerbatimChar"/>
        </w:rPr>
        <w:t xml:space="preserve">serocalculator</w:t>
      </w:r>
    </w:p>
    <w:bookmarkStart w:id="141"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40">
        <w:r>
          <w:rPr>
            <w:rStyle w:val="VerbatimChar"/>
          </w:rPr>
          <w:t xml:space="preserve">serocalculator</w:t>
        </w:r>
      </w:hyperlink>
      <w:r>
        <w:t xml:space="preserve"> </w:t>
      </w:r>
      <w:r>
        <w:t xml:space="preserve">R package.</w:t>
      </w:r>
    </w:p>
    <w:p>
      <w:pPr>
        <w:pStyle w:val="BodyText"/>
      </w:pPr>
      <w:r>
        <w:t xml:space="preserve">The rest of this section walks through the whole estimation pipeline on</w:t>
      </w:r>
      <w:r>
        <w:t xml:space="preserve"> </w:t>
      </w:r>
      <w:r>
        <w:rPr>
          <w:b/>
          <w:bCs/>
        </w:rPr>
        <w:t xml:space="preserve">simulated</w:t>
      </w:r>
      <w:r>
        <w:t xml:space="preserve"> </w:t>
      </w:r>
      <w:r>
        <w:t xml:space="preserve">data, where the true incidence rate is known and the estimate</w:t>
      </w:r>
      <w:r>
        <w:t xml:space="preserve"> </w:t>
      </w:r>
      <w:r>
        <w:t xml:space="preserve">can be checked against it.</w:t>
      </w:r>
      <w:r>
        <w:t xml:space="preserve"> </w:t>
      </w:r>
      <w:hyperlink w:anchor="sec-validation">
        <w:r>
          <w:rPr>
            <w:rStyle w:val="Hyperlink"/>
          </w:rPr>
          <w:t xml:space="preserve">Section 8</w:t>
        </w:r>
      </w:hyperlink>
      <w:r>
        <w:t xml:space="preserve"> </w:t>
      </w:r>
      <w:r>
        <w:t xml:space="preserve">then repeats the exercise across</w:t>
      </w:r>
      <w:r>
        <w:t xml:space="preserve"> </w:t>
      </w:r>
      <w:r>
        <w:t xml:space="preserve">many simulated populations at once.</w:t>
      </w:r>
    </w:p>
    <w:bookmarkEnd w:id="141"/>
    <w:bookmarkStart w:id="142" w:name="simulating-a-cross-sectional-survey"/>
    <w:p>
      <w:pPr>
        <w:pStyle w:val="Heading2"/>
      </w:pPr>
      <w:r>
        <w:t xml:space="preserve">7.2 Simulating a cross-sectional survey</w:t>
      </w:r>
    </w:p>
    <w:p>
      <w:pPr>
        <w:pStyle w:val="FirstParagraph"/>
      </w:pPr>
      <w:r>
        <w:rPr>
          <w:rStyle w:val="VerbatimChar"/>
        </w:rPr>
        <w:t xml:space="preserve">sim_pop_data()</w:t>
      </w:r>
      <w:r>
        <w:t xml:space="preserve"> </w:t>
      </w:r>
      <w:r>
        <w:t xml:space="preserve">simulates infections as a Poisson process with rate</w:t>
      </w:r>
      <w:r>
        <w:t xml:space="preserve"> </w:t>
      </w:r>
      <w:r>
        <w:rPr>
          <w:rStyle w:val="VerbatimChar"/>
        </w:rPr>
        <w:t xml:space="preserve">lambda</w:t>
      </w:r>
      <w:r>
        <w:t xml:space="preserve">, then generates each person’s antibody levels from the seroresponse</w:t>
      </w:r>
      <w:r>
        <w:t xml:space="preserve"> </w:t>
      </w:r>
      <w:r>
        <w:t xml:space="preserve">model:</w:t>
      </w:r>
    </w:p>
    <w:p>
      <w:pPr>
        <w:pStyle w:val="BodyText"/>
      </w:pPr>
      <w:r>
        <w:t xml:space="preserve">Each individual is simulated separately, but their antibodies are modelled</w:t>
      </w:r>
      <w:r>
        <w:t xml:space="preserve"> </w:t>
      </w:r>
      <w:r>
        <w:t xml:space="preserve">jointly, so the biomarkers share one latent infection history.</w:t>
      </w:r>
    </w:p>
    <w:p>
      <w:pPr>
        <w:pStyle w:val="BodyText"/>
      </w:pPr>
      <w:r>
        <w:t xml:space="preserve">Three arguments are worth knowing:</w:t>
      </w:r>
    </w:p>
    <w:p>
      <w:pPr>
        <w:pStyle w:val="Compact"/>
        <w:numPr>
          <w:ilvl w:val="0"/>
          <w:numId w:val="1035"/>
        </w:numPr>
      </w:pPr>
      <w:r>
        <w:rPr>
          <w:rStyle w:val="VerbatimChar"/>
        </w:rPr>
        <w:t xml:space="preserve">renew_params</w:t>
      </w:r>
      <w:r>
        <w:t xml:space="preserve"> </w:t>
      </w:r>
      <w:r>
        <w:t xml:space="preserve">decides whether each infection draws a fresh parameter set</w:t>
      </w:r>
      <w:r>
        <w:t xml:space="preserve"> </w:t>
      </w:r>
      <w:r>
        <w:t xml:space="preserve">from the posterior.</w:t>
      </w:r>
      <w:r>
        <w:t xml:space="preserve"> </w:t>
      </w:r>
      <w:r>
        <w:rPr>
          <w:rStyle w:val="VerbatimChar"/>
        </w:rPr>
        <w:t xml:space="preserve">FALSE</w:t>
      </w:r>
      <w:r>
        <w:t xml:space="preserve"> </w:t>
      </w:r>
      <w:r>
        <w:t xml:space="preserve">(used here) picks one set at birth and keeps it,</w:t>
      </w:r>
      <w:r>
        <w:t xml:space="preserve"> </w:t>
      </w:r>
      <w:r>
        <w:t xml:space="preserve">updating only the baseline level</w:t>
      </w:r>
      <w:r>
        <w:t xml:space="preserve"> </w:t>
      </w:r>
      <w:r>
        <w:rPr>
          <w:rStyle w:val="VerbatimChar"/>
        </w:rPr>
        <w:t xml:space="preserve">y0</w:t>
      </w:r>
      <w:r>
        <w:t xml:space="preserve"> </w:t>
      </w:r>
      <w:r>
        <w:t xml:space="preserve">before each new infection.</w:t>
      </w:r>
      <w:r>
        <w:t xml:space="preserve"> </w:t>
      </w:r>
      <w:r>
        <w:rPr>
          <w:rStyle w:val="VerbatimChar"/>
        </w:rPr>
        <w:t xml:space="preserve">TRUE</w:t>
      </w:r>
      <w:r>
        <w:t xml:space="preserve"> </w:t>
      </w:r>
      <w:r>
        <w:t xml:space="preserve">is</w:t>
      </w:r>
      <w:r>
        <w:t xml:space="preserve"> </w:t>
      </w:r>
      <w:r>
        <w:t xml:space="preserve">more realistic but is not what the estimation method assumes — see the</w:t>
      </w:r>
      <w:r>
        <w:t xml:space="preserve"> </w:t>
      </w:r>
      <w:r>
        <w:t xml:space="preserve">bias check at the end of</w:t>
      </w:r>
      <w:r>
        <w:t xml:space="preserve"> </w:t>
      </w:r>
      <w:hyperlink w:anchor="sec-validation">
        <w:r>
          <w:rPr>
            <w:rStyle w:val="Hyperlink"/>
          </w:rPr>
          <w:t xml:space="preserve">Section 8</w:t>
        </w:r>
      </w:hyperlink>
      <w:r>
        <w:t xml:space="preserve">.</w:t>
      </w:r>
    </w:p>
    <w:p>
      <w:pPr>
        <w:pStyle w:val="Compact"/>
        <w:numPr>
          <w:ilvl w:val="0"/>
          <w:numId w:val="1035"/>
        </w:numPr>
      </w:pPr>
      <w:r>
        <w:rPr>
          <w:rStyle w:val="VerbatimChar"/>
        </w:rPr>
        <w:t xml:space="preserve">age_fixed</w:t>
      </w:r>
      <w:r>
        <w:t xml:space="preserve"> </w:t>
      </w:r>
      <w:r>
        <w:t xml:space="preserve">fixes the age at which longitudinal parameters are evaluated;</w:t>
      </w:r>
      <w:r>
        <w:t xml:space="preserve"> </w:t>
      </w:r>
      <w:r>
        <w:t xml:space="preserve">setting it to</w:t>
      </w:r>
      <w:r>
        <w:t xml:space="preserve"> </w:t>
      </w:r>
      <w:r>
        <w:rPr>
          <w:rStyle w:val="VerbatimChar"/>
        </w:rPr>
        <w:t xml:space="preserve">NA</w:t>
      </w:r>
      <w:r>
        <w:t xml:space="preserve"> </w:t>
      </w:r>
      <w:r>
        <w:t xml:space="preserve">uses the age at infection instead.</w:t>
      </w:r>
    </w:p>
    <w:p>
      <w:pPr>
        <w:pStyle w:val="Compact"/>
        <w:numPr>
          <w:ilvl w:val="0"/>
          <w:numId w:val="1035"/>
        </w:numPr>
      </w:pPr>
      <w:r>
        <w:rPr>
          <w:rStyle w:val="VerbatimChar"/>
        </w:rPr>
        <w:t xml:space="preserve">n_mcmc_samples = 0</w:t>
      </w:r>
      <w:r>
        <w:t xml:space="preserve"> </w:t>
      </w:r>
      <w:r>
        <w:t xml:space="preserve">draws a random posterior sample for each infection.</w:t>
      </w:r>
      <w:r>
        <w:t xml:space="preserve"> </w:t>
      </w:r>
      <w:r>
        <w:t xml:space="preserve">Fixing it to a value in</w:t>
      </w:r>
      <w:r>
        <w:t xml:space="preserve"> </w:t>
      </w:r>
      <w:r>
        <w:rPr>
          <w:rStyle w:val="VerbatimChar"/>
        </w:rPr>
        <w:t xml:space="preserve">1:4000</w:t>
      </w:r>
      <w:r>
        <w:t xml:space="preserve"> </w:t>
      </w:r>
      <w:r>
        <w:t xml:space="preserve">reuses that one sample throughout, which is</w:t>
      </w:r>
      <w:r>
        <w:t xml:space="preserve"> </w:t>
      </w:r>
      <w:r>
        <w:t xml:space="preserve">useful for diagnostics.</w:t>
      </w:r>
    </w:p>
    <w:bookmarkEnd w:id="142"/>
    <w:bookmarkStart w:id="143" w:name="noise-parameters"/>
    <w:p>
      <w:pPr>
        <w:pStyle w:val="Heading2"/>
      </w:pPr>
      <w:r>
        <w:t xml:space="preserve">7.3 Noise parameters</w:t>
      </w:r>
    </w:p>
    <w:p>
      <w:pPr>
        <w:pStyle w:val="FirstParagraph"/>
      </w:pPr>
      <w:r>
        <w:t xml:space="preserve">Estimation needs its own noise parameters, matching</w:t>
      </w:r>
      <w:r>
        <w:t xml:space="preserve"> </w:t>
      </w:r>
      <w:hyperlink w:anchor="sec-noise">
        <w:r>
          <w:rPr>
            <w:rStyle w:val="Hyperlink"/>
          </w:rPr>
          <w:t xml:space="preserve">Section 5.6</w:t>
        </w:r>
      </w:hyperlink>
      <w:r>
        <w:t xml:space="preserve">. Here they are</w:t>
      </w:r>
      <w:r>
        <w:t xml:space="preserve"> </w:t>
      </w:r>
      <w:r>
        <w:t xml:space="preserve">declared directly, consistent with the noise used to generate the data above:</w:t>
      </w:r>
    </w:p>
    <w:bookmarkEnd w:id="143"/>
    <w:bookmarkStart w:id="148" w:name="the-simulated-antibody-distribution"/>
    <w:p>
      <w:pPr>
        <w:pStyle w:val="Heading2"/>
      </w:pPr>
      <w:r>
        <w:t xml:space="preserve">7.4 The simulated antibody distribution</w:t>
      </w:r>
    </w:p>
    <w:tbl>
      <w:tblPr>
        <w:tblStyle w:val="Table"/>
        <w:tblW w:type="pct" w:w="5000"/>
        <w:tblLayout w:type="fixed"/>
        <w:tblLook w:firstRow="0" w:lastRow="0" w:firstColumn="0" w:lastColumn="0" w:noHBand="0" w:noVBand="0" w:val="0000"/>
      </w:tblPr>
      <w:tblGrid>
        <w:gridCol w:w="7920"/>
      </w:tblGrid>
      <w:tr>
        <w:tc>
          <w:tcPr/>
          <w:bookmarkStart w:id="147" w:name="fig-sim-distribution"/>
          <w:p>
            <w:pPr>
              <w:pStyle w:val="Compact"/>
              <w:jc w:val="center"/>
            </w:pPr>
            <w:r>
              <w:drawing>
                <wp:inline>
                  <wp:extent cx="4620126" cy="3696101"/>
                  <wp:effectExtent b="0" l="0" r="0" t="0"/>
                  <wp:docPr descr="" title="" id="145" name="Picture"/>
                  <a:graphic>
                    <a:graphicData uri="http://schemas.openxmlformats.org/drawingml/2006/picture">
                      <pic:pic>
                        <pic:nvPicPr>
                          <pic:cNvPr descr="methodology_files/figure-docx/fig-sim-distribution-1.png" id="146" name="Picture"/>
                          <pic:cNvPicPr>
                            <a:picLocks noChangeArrowheads="1" noChangeAspect="1"/>
                          </pic:cNvPicPr>
                        </pic:nvPicPr>
                        <pic:blipFill>
                          <a:blip r:embed="rId14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Distribution of simulated antibody responses, by antigen-isotype.</w:t>
            </w:r>
          </w:p>
          <w:bookmarkEnd w:id="147"/>
        </w:tc>
      </w:tr>
    </w:tbl>
    <w:bookmarkEnd w:id="148"/>
    <w:bookmarkStart w:id="153" w:name="X8cfd16bb684e4ad6c62f9f78cbc8ef954016035"/>
    <w:p>
      <w:pPr>
        <w:pStyle w:val="Heading2"/>
      </w:pPr>
      <w:r>
        <w:t xml:space="preserve">7.5 Estimating incidence from the simulated survey</w:t>
      </w:r>
    </w:p>
    <w:p>
      <w:pPr>
        <w:pStyle w:val="FirstParagraph"/>
      </w:pPr>
      <w:r>
        <w:rPr>
          <w:rStyle w:val="VerbatimChar"/>
        </w:rPr>
        <w:t xml:space="preserve">est_seroincidence()</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p>
    <w:p>
      <w:pPr>
        <w:pStyle w:val="SourceCode"/>
      </w:pPr>
      <w:r>
        <w:rPr>
          <w:rStyle w:val="VerbatimChar"/>
        </w:rPr>
        <w:t xml:space="preserve"># A tibble: 1 × 11</w:t>
      </w:r>
      <w:r>
        <w:br/>
      </w:r>
      <w:r>
        <w:rPr>
          <w:rStyle w:val="VerbatimChar"/>
        </w:rPr>
        <w:t xml:space="preserve">  est.start incidence.rate     SE CI.lwr CI.upr se_type  coverage log.lik</w:t>
      </w:r>
      <w:r>
        <w:br/>
      </w:r>
      <w:r>
        <w:rPr>
          <w:rStyle w:val="VerbatimChar"/>
        </w:rPr>
        <w:t xml:space="preserve">      &lt;dbl&gt;          &lt;dbl&gt;  &lt;dbl&gt;  &lt;dbl&gt;  &lt;dbl&gt; &lt;chr&gt;       &lt;dbl&gt;   &lt;dbl&gt;</w:t>
      </w:r>
      <w:r>
        <w:br/>
      </w:r>
      <w:r>
        <w:rPr>
          <w:rStyle w:val="VerbatimChar"/>
        </w:rPr>
        <w:t xml:space="preserve">1       0.1          0.194 0.0213  0.157  0.241 standard     0.95   -469.</w:t>
      </w:r>
      <w:r>
        <w:br/>
      </w:r>
      <w:r>
        <w:rPr>
          <w:rStyle w:val="VerbatimChar"/>
        </w:rPr>
        <w:t xml:space="preserve"># ℹ 3 more variables: iterations &lt;int&gt;, antigen.isos &lt;chr&gt;,</w:t>
      </w:r>
      <w:r>
        <w:br/>
      </w:r>
      <w:r>
        <w:rPr>
          <w:rStyle w:val="VerbatimChar"/>
        </w:rPr>
        <w:t xml:space="preserve">#   nlm.convergence.code &lt;ord&gt;</w:t>
      </w:r>
    </w:p>
    <w:p>
      <w:pPr>
        <w:pStyle w:val="FirstParagraph"/>
      </w:pPr>
      <w:r>
        <w:t xml:space="preserve">The true rate used to generate these data was</w:t>
      </w:r>
      <w:r>
        <w:t xml:space="preserve"> </w:t>
      </w:r>
      <w:r>
        <w:t xml:space="preserve">0.2 infections per person-year.</w:t>
      </w:r>
    </w:p>
    <w:p>
      <w:pPr>
        <w:pStyle w:val="BodyText"/>
      </w:pPr>
      <w:r>
        <w:rPr>
          <w:rStyle w:val="VerbatimChar"/>
        </w:rPr>
        <w:t xml:space="preserve">autoplot()</w:t>
      </w:r>
      <w:r>
        <w:t xml:space="preserve"> </w:t>
      </w:r>
      <w:r>
        <w:t xml:space="preserve">draws the log-likelihood curve, with the maximum marked:</w:t>
      </w:r>
    </w:p>
    <w:tbl>
      <w:tblPr>
        <w:tblStyle w:val="Table"/>
        <w:tblW w:type="pct" w:w="5000"/>
        <w:tblLayout w:type="fixed"/>
        <w:tblLook w:firstRow="0" w:lastRow="0" w:firstColumn="0" w:lastColumn="0" w:noHBand="0" w:noVBand="0" w:val="0000"/>
      </w:tblPr>
      <w:tblGrid>
        <w:gridCol w:w="7920"/>
      </w:tblGrid>
      <w:tr>
        <w:tc>
          <w:tcPr/>
          <w:bookmarkStart w:id="152" w:name="fig-est-single-loglik"/>
          <w:p>
            <w:pPr>
              <w:pStyle w:val="Compact"/>
              <w:jc w:val="center"/>
            </w:pPr>
            <w:r>
              <w:drawing>
                <wp:inline>
                  <wp:extent cx="4620126" cy="3696101"/>
                  <wp:effectExtent b="0" l="0" r="0" t="0"/>
                  <wp:docPr descr="" title="" id="150" name="Picture"/>
                  <a:graphic>
                    <a:graphicData uri="http://schemas.openxmlformats.org/drawingml/2006/picture">
                      <pic:pic>
                        <pic:nvPicPr>
                          <pic:cNvPr descr="methodology_files/figure-docx/fig-est-single-loglik-1.png" id="151" name="Picture"/>
                          <pic:cNvPicPr>
                            <a:picLocks noChangeArrowheads="1" noChangeAspect="1"/>
                          </pic:cNvPicPr>
                        </pic:nvPicPr>
                        <pic:blipFill>
                          <a:blip r:embed="rId14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Log-likelihood curve for the simulated survey, on a log x-axis.</w:t>
            </w:r>
          </w:p>
          <w:bookmarkEnd w:id="152"/>
        </w:tc>
      </w:tr>
    </w:tbl>
    <w:bookmarkEnd w:id="153"/>
    <w:bookmarkStart w:id="154" w:name="estimating-seroincidence-in-real-data"/>
    <w:p>
      <w:pPr>
        <w:pStyle w:val="Heading2"/>
      </w:pPr>
      <w:r>
        <w:t xml:space="preserve">7.6 Estimating seroincidence in real data</w:t>
      </w:r>
    </w:p>
    <w:p>
      <w:pPr>
        <w:pStyle w:val="FirstParagraph"/>
      </w:pPr>
      <w:r>
        <w:t xml:space="preserve">The same call works on a real serosurvey.</w:t>
      </w:r>
      <w:r>
        <w:t xml:space="preserve"> </w:t>
      </w:r>
      <w:r>
        <w:rPr>
          <w:rStyle w:val="VerbatimChar"/>
        </w:rPr>
        <w:t xml:space="preserve">est_seroincidence_by()</w:t>
      </w:r>
      <w:r>
        <w:t xml:space="preserve"> </w:t>
      </w:r>
      <w:r>
        <w:t xml:space="preserve">estimates</w:t>
      </w:r>
      <w:r>
        <w:t xml:space="preserve"> </w:t>
      </w:r>
      <w:r>
        <w:t xml:space="preserve">separately within each stratum, 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 (cluster-robust,</w:t>
      </w:r>
      <w:r>
        <w:t xml:space="preserve"> </w:t>
      </w:r>
      <w:r>
        <w:t xml:space="preserve">if</w:t>
      </w:r>
      <w:r>
        <w:t xml:space="preserve"> </w:t>
      </w:r>
      <w:r>
        <w:rPr>
          <w:rStyle w:val="VerbatimChar"/>
        </w:rPr>
        <w:t xml:space="preserve">cluster_var</w:t>
      </w:r>
      <w:r>
        <w:t xml:space="preserve"> </w:t>
      </w:r>
      <w:r>
        <w:t xml:space="preserve">was supplied):</w:t>
      </w:r>
    </w:p>
    <w:p>
      <w:pPr>
        <w:pStyle w:val="SourceCode"/>
      </w:pPr>
      <w:r>
        <w:rPr>
          <w:rStyle w:val="CommentTok"/>
        </w:rPr>
        <w:t xml:space="preserve"># Load antibody-decay curve parameters and cross-sectional population data</w:t>
      </w:r>
      <w:r>
        <w:br/>
      </w:r>
      <w:r>
        <w:rPr>
          <w:rStyle w:val="NormalTok"/>
        </w:rPr>
        <w:t xml:space="preserve">curves </w:t>
      </w:r>
      <w:r>
        <w:rPr>
          <w:rStyle w:val="OtherTok"/>
        </w:rPr>
        <w:t xml:space="preserve">&lt;-</w:t>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rPr>
          <w:rStyle w:val="NormalTok"/>
        </w:rPr>
        <w:t xml:space="preserve"> </w:t>
      </w:r>
      <w:r>
        <w:rPr>
          <w:rStyle w:val="FunctionTok"/>
        </w:rPr>
        <w:t xml:space="preserve">load_sr_params</w:t>
      </w:r>
      <w:r>
        <w:rPr>
          <w:rStyle w:val="NormalTok"/>
        </w:rPr>
        <w:t xml:space="preserve">()</w:t>
      </w:r>
      <w:r>
        <w:br/>
      </w:r>
      <w:r>
        <w:rPr>
          <w:rStyle w:val="NormalTok"/>
        </w:rPr>
        <w:t xml:space="preserve">xs_data </w:t>
      </w:r>
      <w:r>
        <w:rPr>
          <w:rStyle w:val="OtherTok"/>
        </w:rPr>
        <w:t xml:space="preserve">&lt;-</w:t>
      </w:r>
      <w:r>
        <w:rPr>
          <w:rStyle w:val="NormalTok"/>
        </w:rPr>
        <w:t xml:space="preserve"> </w:t>
      </w:r>
      <w:r>
        <w:rPr>
          <w:rStyle w:val="StringTok"/>
        </w:rPr>
        <w:t xml:space="preserve">"https://osf.io/download/n6cp3/"</w:t>
      </w:r>
      <w:r>
        <w:rPr>
          <w:rStyle w:val="NormalTok"/>
        </w:rPr>
        <w:t xml:space="preserve"> </w:t>
      </w:r>
      <w:r>
        <w:rPr>
          <w:rStyle w:val="SpecialCharTok"/>
        </w:rPr>
        <w:t xml:space="preserve">|&gt;</w:t>
      </w:r>
      <w:r>
        <w:rPr>
          <w:rStyle w:val="NormalTok"/>
        </w:rPr>
        <w:t xml:space="preserve"> </w:t>
      </w:r>
      <w:r>
        <w:rPr>
          <w:rStyle w:val="FunctionTok"/>
        </w:rPr>
        <w:t xml:space="preserve">load_pop_data</w:t>
      </w:r>
      <w:r>
        <w:rPr>
          <w:rStyle w:val="NormalTok"/>
        </w:rPr>
        <w:t xml:space="preserve">()</w:t>
      </w:r>
      <w:r>
        <w:br/>
      </w:r>
      <w:r>
        <w:rPr>
          <w:rStyle w:val="NormalTok"/>
        </w:rPr>
        <w:t xml:space="preserve">noise </w:t>
      </w:r>
      <w:r>
        <w:rPr>
          <w:rStyle w:val="OtherTok"/>
        </w:rPr>
        <w:t xml:space="preserve">&lt;-</w:t>
      </w:r>
      <w:r>
        <w:rPr>
          <w:rStyle w:val="NormalTok"/>
        </w:rPr>
        <w:t xml:space="preserve"> </w:t>
      </w:r>
      <w:r>
        <w:rPr>
          <w:rStyle w:val="FunctionTok"/>
        </w:rPr>
        <w:t xml:space="preserve">url</w:t>
      </w:r>
      <w:r>
        <w:rPr>
          <w:rStyle w:val="NormalTok"/>
        </w:rPr>
        <w:t xml:space="preserve">(</w:t>
      </w:r>
      <w:r>
        <w:rPr>
          <w:rStyle w:val="StringTok"/>
        </w:rPr>
        <w:t xml:space="preserve">"https://osf.io/download/hqy4v/"</w:t>
      </w:r>
      <w:r>
        <w:rPr>
          <w:rStyle w:val="NormalTok"/>
        </w:rPr>
        <w:t xml:space="preserve">) </w:t>
      </w:r>
      <w:r>
        <w:rPr>
          <w:rStyle w:val="SpecialCharTok"/>
        </w:rPr>
        <w:t xml:space="preserve">|&gt;</w:t>
      </w:r>
      <w:r>
        <w:rPr>
          <w:rStyle w:val="NormalTok"/>
        </w:rPr>
        <w:t xml:space="preserve"> </w:t>
      </w:r>
      <w:r>
        <w:rPr>
          <w:rStyle w:val="FunctionTok"/>
        </w:rPr>
        <w:t xml:space="preserve">readRDS</w:t>
      </w:r>
      <w:r>
        <w:rPr>
          <w:rStyle w:val="NormalTok"/>
        </w:rPr>
        <w:t xml:space="preserve">()</w:t>
      </w:r>
      <w:r>
        <w:br/>
      </w:r>
      <w:r>
        <w:br/>
      </w:r>
      <w:r>
        <w:rPr>
          <w:rStyle w:val="CommentTok"/>
        </w:rPr>
        <w:t xml:space="preserve"># Visualize the cross-sectional antibody distribution</w:t>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w:t>
      </w:r>
      <w:r>
        <w:br/>
      </w:r>
      <w:r>
        <w:br/>
      </w:r>
      <w:r>
        <w:rPr>
          <w:rStyle w:val="CommentTok"/>
        </w:rPr>
        <w:t xml:space="preserve"># Estimate incidence, stratified by country and age group</w:t>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w:t>
      </w:r>
    </w:p>
    <w:p>
      <w:pPr>
        <w:pStyle w:val="FirstParagraph"/>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54"/>
    <w:bookmarkStart w:id="159" w:name="interactive-shiny-app"/>
    <w:p>
      <w:pPr>
        <w:pStyle w:val="Heading2"/>
      </w:pPr>
      <w:r>
        <w:t xml:space="preserve">7.7 Interactive Shiny app</w:t>
      </w:r>
    </w:p>
    <w:p>
      <w:pPr>
        <w:pStyle w:val="FirstParagraph"/>
      </w:pPr>
      <w:r>
        <w:t xml:space="preserve">A point-and-click interface is available at</w:t>
      </w:r>
      <w:r>
        <w:t xml:space="preserve"> </w:t>
      </w:r>
      <w:hyperlink r:id="rId155">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57" name="Picture"/>
            <a:graphic>
              <a:graphicData uri="http://schemas.openxmlformats.org/drawingml/2006/picture">
                <pic:pic>
                  <pic:nvPicPr>
                    <pic:cNvPr descr="../man/figures/shiny-serocalculator.png" id="158" name="Picture"/>
                    <pic:cNvPicPr>
                      <a:picLocks noChangeArrowheads="1" noChangeAspect="1"/>
                    </pic:cNvPicPr>
                  </pic:nvPicPr>
                  <pic:blipFill>
                    <a:blip r:embed="rId156"/>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59"/>
    <w:bookmarkEnd w:id="160"/>
    <w:bookmarkStart w:id="193" w:name="sec-validation"/>
    <w:p>
      <w:pPr>
        <w:pStyle w:val="Heading1"/>
      </w:pPr>
      <w:r>
        <w:t xml:space="preserve">8. Validation: recovering known incidence rates</w:t>
      </w:r>
    </w:p>
    <w:bookmarkStart w:id="165" w:name="simulating-clusters-with-known-incidence"/>
    <w:p>
      <w:pPr>
        <w:pStyle w:val="Heading2"/>
      </w:pPr>
      <w:r>
        <w:t xml:space="preserve">8.1 Simulating clusters with known incidence</w:t>
      </w:r>
    </w:p>
    <w:p>
      <w:pPr>
        <w:pStyle w:val="FirstParagraph"/>
      </w:pPr>
      <w:r>
        <w:t xml:space="preserve">The single survey above recovered a rate close to the one that generated it.</w:t>
      </w:r>
      <w:r>
        <w:t xml:space="preserve"> </w:t>
      </w:r>
      <w:r>
        <w:t xml:space="preserve">To check that this was not luck, we simulate many clusters across a range of</w:t>
      </w:r>
      <w:r>
        <w:t xml:space="preserve"> </w:t>
      </w:r>
      <w:r>
        <w:rPr>
          <w:b/>
          <w:bCs/>
        </w:rPr>
        <w:t xml:space="preserve">known</w:t>
      </w:r>
      <w:r>
        <w:t xml:space="preserve"> </w:t>
      </w:r>
      <w:r>
        <w:t xml:space="preserve">incidence rates and ask whether the estimates track them.</w:t>
      </w:r>
    </w:p>
    <w:p>
      <w:pPr>
        <w:pStyle w:val="BodyText"/>
      </w:pPr>
      <w:r>
        <w:t xml:space="preserve">That is 6 rates times 20 clusters times</w:t>
      </w:r>
      <w:r>
        <w:t xml:space="preserve"> </w:t>
      </w:r>
      <w:r>
        <w:t xml:space="preserve">100 participants — 1.2</w:t>
      </w:r>
      <w:r>
        <w:t xml:space="preserve">^{4}</w:t>
      </w:r>
      <w:r>
        <w:t xml:space="preserve"> </w:t>
      </w:r>
      <w:r>
        <w:t xml:space="preserve">simulated individuals.</w:t>
      </w:r>
    </w:p>
    <w:p>
      <w:pPr>
        <w:pStyle w:val="BodyText"/>
      </w:pPr>
      <w:r>
        <w:t xml:space="preserve">Simulating and estimating on that many people is by far the most expensive</w:t>
      </w:r>
      <w:r>
        <w:t xml:space="preserve"> </w:t>
      </w:r>
      <w:r>
        <w:t xml:space="preserve">work in this document, and it renders to three formats, so the work would</w:t>
      </w:r>
      <w:r>
        <w:t xml:space="preserve"> </w:t>
      </w:r>
      <w:r>
        <w:t xml:space="preserve">otherwise be repeated three times per build.</w:t>
      </w:r>
      <w:r>
        <w:t xml:space="preserve"> </w:t>
      </w:r>
      <w:r>
        <w:rPr>
          <w:rStyle w:val="VerbatimChar"/>
        </w:rPr>
        <w:t xml:space="preserve">sim_pop_data_multi_cached()</w:t>
      </w:r>
      <w:r>
        <w:t xml:space="preserve"> </w:t>
      </w:r>
      <w:r>
        <w:t xml:space="preserve">and</w:t>
      </w:r>
      <w:r>
        <w:t xml:space="preserve"> </w:t>
      </w:r>
      <w:r>
        <w:rPr>
          <w:rStyle w:val="VerbatimChar"/>
        </w:rPr>
        <w:t xml:space="preserve">est_seroincidence_by_cached()</w:t>
      </w:r>
      <w:r>
        <w:t xml:space="preserve"> </w:t>
      </w:r>
      <w:r>
        <w:t xml:space="preserve">write their</w:t>
      </w:r>
      <w:r>
        <w:t xml:space="preserve"> </w:t>
      </w:r>
      <w:r>
        <w:t xml:space="preserve">results to a committed cache directory keyed on their arguments, so a build</w:t>
      </w:r>
      <w:r>
        <w:t xml:space="preserve"> </w:t>
      </w:r>
      <w:r>
        <w:t xml:space="preserve">reuses them and only recomputes when the simulation settings actually change.</w:t>
      </w:r>
    </w:p>
    <w:tbl>
      <w:tblPr>
        <w:tblStyle w:val="Table"/>
        <w:tblW w:type="pct" w:w="5000"/>
        <w:tblLayout w:type="fixed"/>
        <w:tblLook w:firstRow="0" w:lastRow="0" w:firstColumn="0" w:lastColumn="0" w:noHBand="0" w:noVBand="0" w:val="0000"/>
      </w:tblPr>
      <w:tblGrid>
        <w:gridCol w:w="7920"/>
      </w:tblGrid>
      <w:tr>
        <w:tc>
          <w:tcPr/>
          <w:bookmarkStart w:id="164" w:name="fig-sim-multi-distribution"/>
          <w:p>
            <w:pPr>
              <w:pStyle w:val="Compact"/>
              <w:jc w:val="center"/>
            </w:pPr>
            <w:r>
              <w:drawing>
                <wp:inline>
                  <wp:extent cx="4620126" cy="4620126"/>
                  <wp:effectExtent b="0" l="0" r="0" t="0"/>
                  <wp:docPr descr="" title="" id="162" name="Picture"/>
                  <a:graphic>
                    <a:graphicData uri="http://schemas.openxmlformats.org/drawingml/2006/picture">
                      <pic:pic>
                        <pic:nvPicPr>
                          <pic:cNvPr descr="methodology_files/figure-docx/fig-sim-multi-distribution-1.png" id="163" name="Picture"/>
                          <pic:cNvPicPr>
                            <a:picLocks noChangeArrowheads="1" noChangeAspect="1"/>
                          </pic:cNvPicPr>
                        </pic:nvPicPr>
                        <pic:blipFill>
                          <a:blip r:embed="rId161"/>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9: Simulated antibody responses by cluster, faceted by antigen-isotype and by the true incidence rate used to generate each cluster.</w:t>
            </w:r>
          </w:p>
          <w:bookmarkEnd w:id="164"/>
        </w:tc>
      </w:tr>
    </w:tbl>
    <w:bookmarkEnd w:id="165"/>
    <w:bookmarkStart w:id="167" w:name="estimating-incidence-in-each-cluster"/>
    <w:p>
      <w:pPr>
        <w:pStyle w:val="Heading2"/>
      </w:pPr>
      <w:r>
        <w:t xml:space="preserve">8.2 Estimating incidence in each cluster</w:t>
      </w:r>
    </w:p>
    <w:p>
      <w:pPr>
        <w:pStyle w:val="FirstParagraph"/>
      </w:pPr>
      <w:r>
        <w:rPr>
          <w:rStyle w:val="VerbatimChar"/>
        </w:rPr>
        <w:t xml:space="preserve">summary()</w:t>
      </w:r>
      <w:r>
        <w:t xml:space="preserve"> </w:t>
      </w:r>
      <w:r>
        <w:t xml:space="preserve">returns a</w:t>
      </w:r>
      <w:r>
        <w:t xml:space="preserve"> </w:t>
      </w:r>
      <w:r>
        <w:rPr>
          <w:rStyle w:val="VerbatimChar"/>
        </w:rPr>
        <w:t xml:space="preserve">tibble()</w:t>
      </w:r>
      <w:r>
        <w:t xml:space="preserve"> </w:t>
      </w:r>
      <w:r>
        <w:t xml:space="preserve">carrying some extra metadata about the</w:t>
      </w:r>
      <w:r>
        <w:t xml:space="preserve"> </w:t>
      </w:r>
      <w:r>
        <w:t xml:space="preserve">stratification.</w:t>
      </w:r>
    </w:p>
    <w:tbl>
      <w:tblPr>
        <w:tblStyle w:val="Table"/>
        <w:tblW w:type="pct" w:w="5000"/>
        <w:tblLayout w:type="fixed"/>
        <w:tblLook w:firstRow="0" w:lastRow="0" w:firstColumn="0" w:lastColumn="0" w:noHBand="0" w:noVBand="0" w:val="0000"/>
      </w:tblPr>
      <w:tblGrid>
        <w:gridCol w:w="7920"/>
      </w:tblGrid>
      <w:tr>
        <w:tc>
          <w:tcPr/>
          <w:bookmarkStart w:id="166" w:name="tbl-ests-summary"/>
          <w:p>
            <w:pPr>
              <w:jc w:val="center"/>
            </w:pPr>
            <w:pPr>
              <w:jc w:val="left"/>
              <w:spacing w:before="200"/>
              <w:pStyle w:val="ImageCaption"/>
            </w:pPr>
            <w:r>
              <w:t xml:space="preserve">Table 1</w:t>
            </w:r>
          </w:p>
          <w:p>
            <w:pPr>
              <w:pStyle w:val="SourceCode"/>
              <w:jc w:val="center"/>
            </w:pPr>
            <w:r>
              <w:rPr>
                <w:rStyle w:val="VerbatimChar"/>
              </w:rPr>
              <w:t xml:space="preserve">Seroincidence estimated given the following setup:</w:t>
            </w:r>
            <w:r>
              <w:br/>
            </w:r>
            <w:r>
              <w:rPr>
                <w:rStyle w:val="VerbatimChar"/>
              </w:rPr>
              <w:t xml:space="preserve">a) Antigen isotypes   : HlyE_IgA, HlyE_IgG </w:t>
            </w:r>
            <w:r>
              <w:br/>
            </w:r>
            <w:r>
              <w:rPr>
                <w:rStyle w:val="VerbatimChar"/>
              </w:rPr>
              <w:t xml:space="preserve">b) Strata       : sample_size, lambda.sim, cluster </w:t>
            </w:r>
            <w:r>
              <w:br/>
            </w:r>
            <w:r>
              <w:br/>
            </w:r>
            <w:r>
              <w:rPr>
                <w:rStyle w:val="VerbatimChar"/>
              </w:rPr>
              <w:t xml:space="preserve"> Seroincidence estimates:</w:t>
            </w:r>
            <w:r>
              <w:br/>
            </w:r>
            <w:r>
              <w:rPr>
                <w:rStyle w:val="VerbatimChar"/>
              </w:rPr>
              <w:t xml:space="preserve"># A tibble: 120 × 16</w:t>
            </w:r>
            <w:r>
              <w:br/>
            </w:r>
            <w:r>
              <w:rPr>
                <w:rStyle w:val="VerbatimChar"/>
              </w:rPr>
              <w:t xml:space="preserve">   Stratum sample_size lambda.sim cluster     n est.start incidence.rate      SE</w:t>
            </w:r>
            <w:r>
              <w:br/>
            </w:r>
            <w:r>
              <w:rPr>
                <w:rStyle w:val="VerbatimChar"/>
              </w:rPr>
              <w:t xml:space="preserve">   &lt;chr&gt;         &lt;dbl&gt;      &lt;dbl&gt;   &lt;int&gt; &lt;int&gt;     &lt;dbl&gt;          &lt;dbl&gt;   &lt;dbl&gt;</w:t>
            </w:r>
            <w:r>
              <w:br/>
            </w:r>
            <w:r>
              <w:rPr>
                <w:rStyle w:val="VerbatimChar"/>
              </w:rPr>
              <w:t xml:space="preserve"> 1 Stratu…         100       0.05       1   100       0.1         0.0538 0.00957</w:t>
            </w:r>
            <w:r>
              <w:br/>
            </w:r>
            <w:r>
              <w:rPr>
                <w:rStyle w:val="VerbatimChar"/>
              </w:rPr>
              <w:t xml:space="preserve"> 2 Stratu…         100       0.05       2   100       0.1         0.0462 0.00869</w:t>
            </w:r>
            <w:r>
              <w:br/>
            </w:r>
            <w:r>
              <w:rPr>
                <w:rStyle w:val="VerbatimChar"/>
              </w:rPr>
              <w:t xml:space="preserve"> 3 Stratu…         100       0.05       3   100       0.1         0.0446 0.00801</w:t>
            </w:r>
            <w:r>
              <w:br/>
            </w:r>
            <w:r>
              <w:rPr>
                <w:rStyle w:val="VerbatimChar"/>
              </w:rPr>
              <w:t xml:space="preserve"> 4 Stratu…         100       0.05       4   100       0.1         0.0475 0.00819</w:t>
            </w:r>
            <w:r>
              <w:br/>
            </w:r>
            <w:r>
              <w:rPr>
                <w:rStyle w:val="VerbatimChar"/>
              </w:rPr>
              <w:t xml:space="preserve"> 5 Stratu…         100       0.05       5   100       0.1         0.0560 0.00896</w:t>
            </w:r>
            <w:r>
              <w:br/>
            </w:r>
            <w:r>
              <w:rPr>
                <w:rStyle w:val="VerbatimChar"/>
              </w:rPr>
              <w:t xml:space="preserve"> 6 Stratu…         100       0.05       6   100       0.1         0.0569 0.00961</w:t>
            </w:r>
            <w:r>
              <w:br/>
            </w:r>
            <w:r>
              <w:rPr>
                <w:rStyle w:val="VerbatimChar"/>
              </w:rPr>
              <w:t xml:space="preserve"> 7 Stratu…         100       0.05       7   100       0.1         0.0392 0.00743</w:t>
            </w:r>
            <w:r>
              <w:br/>
            </w:r>
            <w:r>
              <w:rPr>
                <w:rStyle w:val="VerbatimChar"/>
              </w:rPr>
              <w:t xml:space="preserve"> 8 Stratu…         100       0.05       8   100       0.1         0.0698 0.0108 </w:t>
            </w:r>
            <w:r>
              <w:br/>
            </w:r>
            <w:r>
              <w:rPr>
                <w:rStyle w:val="VerbatimChar"/>
              </w:rPr>
              <w:t xml:space="preserve"> 9 Stratu…         100       0.05       9   100       0.1         0.0557 0.00947</w:t>
            </w:r>
            <w:r>
              <w:br/>
            </w:r>
            <w:r>
              <w:rPr>
                <w:rStyle w:val="VerbatimChar"/>
              </w:rPr>
              <w:t xml:space="preserve">10 Stratu…         100       0.05      10   100       0.1         0.0416 0.00805</w:t>
            </w:r>
            <w:r>
              <w:br/>
            </w:r>
            <w:r>
              <w:rPr>
                <w:rStyle w:val="VerbatimChar"/>
              </w:rPr>
              <w:t xml:space="preserve"># ℹ 110 more rows</w:t>
            </w:r>
            <w:r>
              <w:br/>
            </w:r>
            <w:r>
              <w:rPr>
                <w:rStyle w:val="VerbatimChar"/>
              </w:rPr>
              <w:t xml:space="preserve"># ℹ 8 more variables: CI.lwr &lt;dbl&gt;, CI.upr &lt;dbl&gt;, se_type &lt;chr&gt;,</w:t>
            </w:r>
            <w:r>
              <w:br/>
            </w:r>
            <w:r>
              <w:rPr>
                <w:rStyle w:val="VerbatimChar"/>
              </w:rPr>
              <w:t xml:space="preserve">#   coverage &lt;dbl&gt;, log.lik &lt;dbl&gt;, iterations &lt;int&gt;, antigen.isos &lt;chr&gt;,</w:t>
            </w:r>
            <w:r>
              <w:br/>
            </w:r>
            <w:r>
              <w:rPr>
                <w:rStyle w:val="VerbatimChar"/>
              </w:rPr>
              <w:t xml:space="preserve">#   nlm.convergence.code &lt;ord&gt;</w:t>
            </w:r>
          </w:p>
          <w:bookmarkEnd w:id="166"/>
        </w:tc>
      </w:tr>
    </w:tbl>
    <w:p>
      <w:pPr>
        <w:pStyle w:val="FirstParagraph"/>
      </w:pPr>
      <w:r>
        <w:t xml:space="preserve">The interactive table is HTML-only; other formats print the plain summary,</w:t>
      </w:r>
      <w:r>
        <w:t xml:space="preserve"> </w:t>
      </w:r>
      <w:r>
        <w:t xml:space="preserve">since converting the widget to a static image would need a headless browser.</w:t>
      </w:r>
    </w:p>
    <w:bookmarkEnd w:id="167"/>
    <w:bookmarkStart w:id="172" w:name="inspecting-individual-clusters"/>
    <w:p>
      <w:pPr>
        <w:pStyle w:val="Heading2"/>
      </w:pPr>
      <w:r>
        <w:t xml:space="preserve">8.3 Inspecting individual clusters</w:t>
      </w:r>
    </w:p>
    <w:p>
      <w:pPr>
        <w:pStyle w:val="FirstParagraph"/>
      </w:pPr>
      <w:r>
        <w:t xml:space="preserve">The cached fit above carries no log-likelihood curves, so the few clusters we</w:t>
      </w:r>
      <w:r>
        <w:t xml:space="preserve"> </w:t>
      </w:r>
      <w:r>
        <w:t xml:space="preserve">want to look at are re-fit with</w:t>
      </w:r>
      <w:r>
        <w:t xml:space="preserve"> </w:t>
      </w:r>
      <w:r>
        <w:rPr>
          <w:rStyle w:val="VerbatimChar"/>
        </w:rPr>
        <w:t xml:space="preserve">build_graph = TRUE</w:t>
      </w:r>
      <w:r>
        <w:t xml:space="preserve">. Strata are selected by</w:t>
      </w:r>
      <w:r>
        <w:t xml:space="preserve"> </w:t>
      </w:r>
      <w:r>
        <w:t xml:space="preserve">the columns that define them, because stratum</w:t>
      </w:r>
      <w:r>
        <w:t xml:space="preserve"> </w:t>
      </w:r>
      <w:r>
        <w:rPr>
          <w:i/>
          <w:iCs/>
        </w:rPr>
        <w:t xml:space="preserve">labels</w:t>
      </w:r>
      <w:r>
        <w:t xml:space="preserve"> </w:t>
      </w:r>
      <w:r>
        <w:t xml:space="preserve">are assigned</w:t>
      </w:r>
      <w:r>
        <w:t xml:space="preserve"> </w:t>
      </w:r>
      <w:r>
        <w:t xml:space="preserve">positionally and so are not stable across a subset:</w:t>
      </w:r>
    </w:p>
    <w:tbl>
      <w:tblPr>
        <w:tblStyle w:val="Table"/>
        <w:tblW w:type="pct" w:w="5000"/>
        <w:tblLayout w:type="fixed"/>
        <w:tblLook w:firstRow="0" w:lastRow="0" w:firstColumn="0" w:lastColumn="0" w:noHBand="0" w:noVBand="0" w:val="0000"/>
      </w:tblPr>
      <w:tblGrid>
        <w:gridCol w:w="7920"/>
      </w:tblGrid>
      <w:tr>
        <w:tc>
          <w:tcPr/>
          <w:bookmarkStart w:id="171" w:name="fig-cluster-logliks"/>
          <w:p>
            <w:pPr>
              <w:pStyle w:val="Compact"/>
              <w:jc w:val="center"/>
            </w:pPr>
            <w:r>
              <w:drawing>
                <wp:inline>
                  <wp:extent cx="4620126" cy="6468176"/>
                  <wp:effectExtent b="0" l="0" r="0" t="0"/>
                  <wp:docPr descr="" title="" id="169" name="Picture"/>
                  <a:graphic>
                    <a:graphicData uri="http://schemas.openxmlformats.org/drawingml/2006/picture">
                      <pic:pic>
                        <pic:nvPicPr>
                          <pic:cNvPr descr="methodology_files/figure-docx/fig-cluster-logliks-1.png" id="170" name="Picture"/>
                          <pic:cNvPicPr>
                            <a:picLocks noChangeArrowheads="1" noChangeAspect="1"/>
                          </pic:cNvPicPr>
                        </pic:nvPicPr>
                        <pic:blipFill>
                          <a:blip r:embed="rId168"/>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Log-likelihood curves for the first five simulated clusters.</w:t>
            </w:r>
          </w:p>
          <w:bookmarkEnd w:id="171"/>
        </w:tc>
      </w:tr>
    </w:tbl>
    <w:bookmarkEnd w:id="172"/>
    <w:bookmarkStart w:id="178" w:name="checking-nlm-convergence"/>
    <w:p>
      <w:pPr>
        <w:pStyle w:val="Heading2"/>
      </w:pPr>
      <w:r>
        <w:t xml:space="preserve">8.4 Checking</w:t>
      </w:r>
      <w:r>
        <w:t xml:space="preserve"> </w:t>
      </w:r>
      <w:r>
        <w:rPr>
          <w:rStyle w:val="VerbatimChar"/>
        </w:rPr>
        <w:t xml:space="preserve">nlm()</w:t>
      </w:r>
      <w:r>
        <w:t xml:space="preserve"> </w:t>
      </w:r>
      <w:r>
        <w:t xml:space="preserve">convergence</w:t>
      </w:r>
    </w:p>
    <w:p>
      <w:pPr>
        <w:pStyle w:val="FirstParagraph"/>
      </w:pPr>
      <w:r>
        <w:rPr>
          <w:rStyle w:val="VerbatimChar"/>
        </w:rPr>
        <w:t xml:space="preserve">est_seroincidence()</w:t>
      </w:r>
      <w:r>
        <w:t xml:space="preserve"> </w:t>
      </w:r>
      <w:r>
        <w:t xml:space="preserve">maximizes the log-likelihood numerically with</w:t>
      </w:r>
      <w:r>
        <w:t xml:space="preserve"> </w:t>
      </w:r>
      <w:r>
        <w:rPr>
          <w:rStyle w:val="VerbatimChar"/>
        </w:rPr>
        <w:t xml:space="preserve">stats::nlm()</w:t>
      </w:r>
      <w:r>
        <w:t xml:space="preserve">. Exit codes 3 to 5 flag a possible non-convergence, so they are</w:t>
      </w:r>
      <w:r>
        <w:t xml:space="preserve"> </w:t>
      </w:r>
      <w:r>
        <w:t xml:space="preserve">worth checking before trusting any of the estimates:</w:t>
      </w:r>
    </w:p>
    <w:p>
      <w:pPr>
        <w:pStyle w:val="SourceCode"/>
      </w:pPr>
      <w:r>
        <w:rPr>
          <w:rStyle w:val="VerbatimChar"/>
        </w:rPr>
        <w:t xml:space="preserve">[1] 13</w:t>
      </w:r>
    </w:p>
    <w:p>
      <w:pPr>
        <w:pStyle w:val="FirstParagraph"/>
      </w:pPr>
      <w:r>
        <w:t xml:space="preserve">Remedies, all passed through to</w:t>
      </w:r>
      <w:r>
        <w:t xml:space="preserve"> </w:t>
      </w:r>
      <w:r>
        <w:rPr>
          <w:rStyle w:val="VerbatimChar"/>
        </w:rPr>
        <w:t xml:space="preserve">nlm()</w:t>
      </w:r>
      <w:r>
        <w:t xml:space="preserve">:</w:t>
      </w:r>
    </w:p>
    <w:p>
      <w:pPr>
        <w:pStyle w:val="Compact"/>
        <w:numPr>
          <w:ilvl w:val="0"/>
          <w:numId w:val="1036"/>
        </w:numPr>
      </w:pPr>
      <w:r>
        <w:t xml:space="preserve">code 3: decrease</w:t>
      </w:r>
      <w:r>
        <w:t xml:space="preserve"> </w:t>
      </w:r>
      <w:r>
        <w:rPr>
          <w:rStyle w:val="VerbatimChar"/>
        </w:rPr>
        <w:t xml:space="preserve">stepmin</w:t>
      </w:r>
    </w:p>
    <w:p>
      <w:pPr>
        <w:pStyle w:val="Compact"/>
        <w:numPr>
          <w:ilvl w:val="0"/>
          <w:numId w:val="1036"/>
        </w:numPr>
      </w:pPr>
      <w:r>
        <w:t xml:space="preserve">code 4: increase</w:t>
      </w:r>
      <w:r>
        <w:t xml:space="preserve"> </w:t>
      </w:r>
      <w:r>
        <w:rPr>
          <w:rStyle w:val="VerbatimChar"/>
        </w:rPr>
        <w:t xml:space="preserve">iterlim</w:t>
      </w:r>
    </w:p>
    <w:p>
      <w:pPr>
        <w:pStyle w:val="Compact"/>
        <w:numPr>
          <w:ilvl w:val="0"/>
          <w:numId w:val="1036"/>
        </w:numPr>
      </w:pPr>
      <w:r>
        <w:t xml:space="preserve">code 5: increase</w:t>
      </w:r>
      <w:r>
        <w:t xml:space="preserve"> </w:t>
      </w:r>
      <w:r>
        <w:rPr>
          <w:rStyle w:val="VerbatimChar"/>
        </w:rPr>
        <w:t xml:space="preserve">stepmax</w:t>
      </w:r>
    </w:p>
    <w:p>
      <w:pPr>
        <w:pStyle w:val="FirstParagraph"/>
      </w:pPr>
      <w:r>
        <w:t xml:space="preserve">Pass them with</w:t>
      </w:r>
      <w:r>
        <w:t xml:space="preserve"> </w:t>
      </w:r>
      <w:r>
        <w:rPr>
          <w:rStyle w:val="VerbatimChar"/>
        </w:rPr>
        <w:t xml:space="preserve">num_cores = 1</w:t>
      </w:r>
      <w:r>
        <w:t xml:space="preserve">.</w:t>
      </w:r>
      <w:r>
        <w:t xml:space="preserve"> </w:t>
      </w:r>
      <w:r>
        <w:rPr>
          <w:rStyle w:val="VerbatimChar"/>
        </w:rPr>
        <w:t xml:space="preserve">est_seroincidence_by()</w:t>
      </w:r>
      <w:r>
        <w:t xml:space="preserve"> </w:t>
      </w:r>
      <w:r>
        <w:t xml:space="preserve">currently drops</w:t>
      </w:r>
      <w:r>
        <w:t xml:space="preserve"> </w:t>
      </w:r>
      <w:r>
        <w:t xml:space="preserve">these arguments in its parallel branch</w:t>
      </w:r>
      <w:r>
        <w:t xml:space="preserve"> </w:t>
      </w:r>
      <w:r>
        <w:t xml:space="preserve">(</w:t>
      </w:r>
      <w:hyperlink r:id="rId173">
        <w:r>
          <w:rPr>
            <w:rStyle w:val="Hyperlink"/>
          </w:rPr>
          <w:t xml:space="preserve">#629</w:t>
        </w:r>
      </w:hyperlink>
      <w:r>
        <w:t xml:space="preserve">), so under</w:t>
      </w:r>
      <w:r>
        <w:t xml:space="preserve"> </w:t>
      </w:r>
      <w:r>
        <w:t xml:space="preserve">parallelism they are silently ignored.</w:t>
      </w:r>
    </w:p>
    <w:p>
      <w:pPr>
        <w:pStyle w:val="SourceCode"/>
      </w:pPr>
      <w:r>
        <w:rPr>
          <w:rStyle w:val="VerbatimChar"/>
        </w:rPr>
        <w:t xml:space="preserve">Warning: Some strata are completely missing one or more biomarkers.</w:t>
      </w:r>
      <w:r>
        <w:br/>
      </w:r>
      <w:r>
        <w:rPr>
          <w:rStyle w:val="VerbatimChar"/>
        </w:rPr>
        <w:t xml:space="preserve">, , cluster = 1,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p>
    <w:p>
      <w:pPr>
        <w:pStyle w:val="SourceCode"/>
      </w:pPr>
      <w:r>
        <w:rPr>
          <w:rStyle w:val="VerbatimChar"/>
        </w:rPr>
        <w:t xml:space="preserve">Warning: `nlm()`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p>
    <w:tbl>
      <w:tblPr>
        <w:tblStyle w:val="Table"/>
        <w:tblW w:type="pct" w:w="5000"/>
        <w:tblLayout w:type="fixed"/>
        <w:tblLook w:firstRow="0" w:lastRow="0" w:firstColumn="0" w:lastColumn="0" w:noHBand="0" w:noVBand="0" w:val="0000"/>
      </w:tblPr>
      <w:tblGrid>
        <w:gridCol w:w="7920"/>
      </w:tblGrid>
      <w:tr>
        <w:tc>
          <w:tcPr/>
          <w:bookmarkStart w:id="177" w:name="fig-problem-strata"/>
          <w:p>
            <w:pPr>
              <w:pStyle w:val="Compact"/>
              <w:jc w:val="center"/>
            </w:pPr>
            <w:r>
              <w:drawing>
                <wp:inline>
                  <wp:extent cx="4620126" cy="6468176"/>
                  <wp:effectExtent b="0" l="0" r="0" t="0"/>
                  <wp:docPr descr="" title="" id="175" name="Picture"/>
                  <a:graphic>
                    <a:graphicData uri="http://schemas.openxmlformats.org/drawingml/2006/picture">
                      <pic:pic>
                        <pic:nvPicPr>
                          <pic:cNvPr descr="methodology_files/figure-docx/fig-problem-strata-1.png" id="176" name="Picture"/>
                          <pic:cNvPicPr>
                            <a:picLocks noChangeArrowheads="1" noChangeAspect="1"/>
                          </pic:cNvPicPr>
                        </pic:nvPicPr>
                        <pic:blipFill>
                          <a:blip r:embed="rId174"/>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Log-likelihood curves for any clusters whose optimizer reported a possible convergence problem.</w:t>
            </w:r>
          </w:p>
          <w:bookmarkEnd w:id="177"/>
        </w:tc>
      </w:tr>
    </w:tbl>
    <w:bookmarkEnd w:id="178"/>
    <w:bookmarkStart w:id="187" w:name="estimates-recover-the-simulated-rates"/>
    <w:p>
      <w:pPr>
        <w:pStyle w:val="Heading2"/>
      </w:pPr>
      <w:r>
        <w:t xml:space="preserve">8.5 Estimates recover the simulated rates</w:t>
      </w:r>
    </w:p>
    <w:tbl>
      <w:tblPr>
        <w:tblStyle w:val="Table"/>
        <w:tblW w:type="pct" w:w="5000"/>
        <w:tblLayout w:type="fixed"/>
        <w:tblLook w:firstRow="0" w:lastRow="0" w:firstColumn="0" w:lastColumn="0" w:noHBand="0" w:noVBand="0" w:val="0000"/>
      </w:tblPr>
      <w:tblGrid>
        <w:gridCol w:w="7920"/>
      </w:tblGrid>
      <w:tr>
        <w:tc>
          <w:tcPr/>
          <w:bookmarkStart w:id="182" w:name="fig-sim-recovery"/>
          <w:p>
            <w:pPr>
              <w:pStyle w:val="Compact"/>
              <w:jc w:val="center"/>
            </w:pPr>
            <w:r>
              <w:drawing>
                <wp:inline>
                  <wp:extent cx="4620126" cy="3696101"/>
                  <wp:effectExtent b="0" l="0" r="0" t="0"/>
                  <wp:docPr descr="" title="" id="180" name="Picture"/>
                  <a:graphic>
                    <a:graphicData uri="http://schemas.openxmlformats.org/drawingml/2006/picture">
                      <pic:pic>
                        <pic:nvPicPr>
                          <pic:cNvPr descr="methodology_files/figure-docx/fig-sim-recovery-1.png" id="181" name="Picture"/>
                          <pic:cNvPicPr>
                            <a:picLocks noChangeArrowheads="1" noChangeAspect="1"/>
                          </pic:cNvPicPr>
                        </pic:nvPicPr>
                        <pic:blipFill>
                          <a:blip r:embed="rId17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Estimated incidence rates (points, with 95% confidence intervals) for each simulated cluster, against the true rate used to generate it. The red line is the identity.</w:t>
            </w:r>
          </w:p>
          <w:bookmarkEnd w:id="182"/>
        </w:tc>
      </w:tr>
    </w:tbl>
    <w:p>
      <w:pPr>
        <w:pStyle w:val="BodyText"/>
      </w:pPr>
      <w:r>
        <w:t xml:space="preserve">Each point is one simulated cluster. The estimates scatter around the</w:t>
      </w:r>
      <w:r>
        <w:t xml:space="preserve"> </w:t>
      </w:r>
      <w:r>
        <w:t xml:space="preserve">identity line, and the confidence intervals widen at higher incidence.</w:t>
      </w:r>
    </w:p>
    <w:p>
      <w:pPr>
        <w:pStyle w:val="BodyText"/>
      </w:pPr>
      <w:r>
        <w:rPr>
          <w:rStyle w:val="VerbatimChar"/>
        </w:rPr>
        <w:t xml:space="preserve">analyze_sims()</w:t>
      </w:r>
      <w:r>
        <w:t xml:space="preserve"> </w:t>
      </w:r>
      <w:r>
        <w:t xml:space="preserve">summarizes the simulation results across clusters:</w:t>
      </w:r>
    </w:p>
    <w:p>
      <w:pPr>
        <w:pStyle w:val="SourceCode"/>
      </w:pPr>
      <w:r>
        <w:rPr>
          <w:rStyle w:val="VerbatimChar"/>
        </w:rPr>
        <w:t xml:space="preserve"># A tibble: 6 × 8</w:t>
      </w:r>
      <w:r>
        <w:br/>
      </w:r>
      <w:r>
        <w:rPr>
          <w:rStyle w:val="VerbatimChar"/>
        </w:rPr>
        <w:t xml:space="preserve">  lambda.sim sample_size    Bias Mean_Est_SE Empirical_SE   RMSE Mean_CI_Width</w:t>
      </w:r>
      <w:r>
        <w:br/>
      </w:r>
      <w:r>
        <w:rPr>
          <w:rStyle w:val="VerbatimChar"/>
        </w:rPr>
        <w:t xml:space="preserve">       &lt;dbl&gt;       &lt;dbl&gt;   &lt;dbl&gt;       &lt;dbl&gt;        &lt;dbl&gt;  &lt;dbl&gt;         &lt;dbl&gt;</w:t>
      </w:r>
      <w:r>
        <w:br/>
      </w:r>
      <w:r>
        <w:rPr>
          <w:rStyle w:val="VerbatimChar"/>
        </w:rPr>
        <w:t xml:space="preserve">1       0.05         100 0.00292     0.00905       0.0102 0.0103        0.0362</w:t>
      </w:r>
      <w:r>
        <w:br/>
      </w:r>
      <w:r>
        <w:rPr>
          <w:rStyle w:val="VerbatimChar"/>
        </w:rPr>
        <w:t xml:space="preserve">2       0.1          100 0.00894     0.0144        0.0204 0.0218        0.0571</w:t>
      </w:r>
      <w:r>
        <w:br/>
      </w:r>
      <w:r>
        <w:rPr>
          <w:rStyle w:val="VerbatimChar"/>
        </w:rPr>
        <w:t xml:space="preserve">3       0.15         100 0.0222      0.0199        0.0183 0.0285        0.0786</w:t>
      </w:r>
      <w:r>
        <w:br/>
      </w:r>
      <w:r>
        <w:rPr>
          <w:rStyle w:val="VerbatimChar"/>
        </w:rPr>
        <w:t xml:space="preserve">4       0.2          100 0.0269      0.0242        0.0319 0.0411        0.0957</w:t>
      </w:r>
      <w:r>
        <w:br/>
      </w:r>
      <w:r>
        <w:rPr>
          <w:rStyle w:val="VerbatimChar"/>
        </w:rPr>
        <w:t xml:space="preserve">5       0.5          100 0.0857      0.0568        0.0758 0.113         0.224 </w:t>
      </w:r>
      <w:r>
        <w:br/>
      </w:r>
      <w:r>
        <w:rPr>
          <w:rStyle w:val="VerbatimChar"/>
        </w:rPr>
        <w:t xml:space="preserve">6       0.8          100 0.172       0.0989        0.115  0.205         0.390 </w:t>
      </w:r>
      <w:r>
        <w:br/>
      </w:r>
      <w:r>
        <w:rPr>
          <w:rStyle w:val="VerbatimChar"/>
        </w:rPr>
        <w:t xml:space="preserve"># ℹ 1 more variable: CI_Coverage &lt;dbl&gt;</w:t>
      </w:r>
    </w:p>
    <w:tbl>
      <w:tblPr>
        <w:tblStyle w:val="Table"/>
        <w:tblW w:type="pct" w:w="5000"/>
        <w:tblLayout w:type="fixed"/>
        <w:tblLook w:firstRow="0" w:lastRow="0" w:firstColumn="0" w:lastColumn="0" w:noHBand="0" w:noVBand="0" w:val="0000"/>
      </w:tblPr>
      <w:tblGrid>
        <w:gridCol w:w="7920"/>
      </w:tblGrid>
      <w:tr>
        <w:tc>
          <w:tcPr/>
          <w:bookmarkStart w:id="186" w:name="fig-empirical-se"/>
          <w:p>
            <w:pPr>
              <w:pStyle w:val="Compact"/>
              <w:jc w:val="center"/>
            </w:pPr>
            <w:r>
              <w:drawing>
                <wp:inline>
                  <wp:extent cx="4620126" cy="3696101"/>
                  <wp:effectExtent b="0" l="0" r="0" t="0"/>
                  <wp:docPr descr="" title="" id="184" name="Picture"/>
                  <a:graphic>
                    <a:graphicData uri="http://schemas.openxmlformats.org/drawingml/2006/picture">
                      <pic:pic>
                        <pic:nvPicPr>
                          <pic:cNvPr descr="methodology_files/figure-docx/fig-empirical-se-1.png" id="185" name="Picture"/>
                          <pic:cNvPicPr>
                            <a:picLocks noChangeArrowheads="1" noChangeAspect="1"/>
                          </pic:cNvPicPr>
                        </pic:nvPicPr>
                        <pic:blipFill>
                          <a:blip r:embed="rId18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Empirical standard error of the incidence estimates, by true rate.</w:t>
            </w:r>
          </w:p>
          <w:bookmarkEnd w:id="186"/>
        </w:tc>
      </w:tr>
    </w:tbl>
    <w:bookmarkEnd w:id="187"/>
    <w:bookmarkStart w:id="192" w:name="X047cffc7758e27a01cb5430c10b991b39f63029"/>
    <w:p>
      <w:pPr>
        <w:pStyle w:val="Heading2"/>
      </w:pPr>
      <w:r>
        <w:t xml:space="preserve">8.6 A caveat: renewing parameters at each infection</w:t>
      </w:r>
    </w:p>
    <w:p>
      <w:pPr>
        <w:pStyle w:val="FirstParagraph"/>
      </w:pPr>
      <w:r>
        <w:t xml:space="preserve">Everything above sets</w:t>
      </w:r>
      <w:r>
        <w:t xml:space="preserve"> </w:t>
      </w:r>
      <w:r>
        <w:rPr>
          <w:rStyle w:val="VerbatimChar"/>
        </w:rPr>
        <w:t xml:space="preserve">renew_params = FALSE</w:t>
      </w:r>
      <w:r>
        <w:t xml:space="preserve">, matching what the estimation</w:t>
      </w:r>
      <w:r>
        <w:t xml:space="preserve"> </w:t>
      </w:r>
      <w:r>
        <w:t xml:space="preserve">method assumes. Setting it to</w:t>
      </w:r>
      <w:r>
        <w:t xml:space="preserve"> </w:t>
      </w:r>
      <w:r>
        <w:rPr>
          <w:rStyle w:val="VerbatimChar"/>
        </w:rPr>
        <w:t xml:space="preserve">TRUE</w:t>
      </w:r>
      <w:r>
        <w:t xml:space="preserve"> </w:t>
      </w:r>
      <w:r>
        <w:t xml:space="preserve">— drawing fresh seroresponse</w:t>
      </w:r>
      <w:r>
        <w:t xml:space="preserve"> </w:t>
      </w:r>
      <w:r>
        <w:t xml:space="preserve">parameters at every infection — is more realistic, and is</w:t>
      </w:r>
      <w:r>
        <w:t xml:space="preserve"> </w:t>
      </w:r>
      <w:r>
        <w:rPr>
          <w:b/>
          <w:bCs/>
        </w:rPr>
        <w:t xml:space="preserve">not</w:t>
      </w:r>
      <w:r>
        <w:t xml:space="preserve"> </w:t>
      </w:r>
      <w:r>
        <w:t xml:space="preserve">accounted</w:t>
      </w:r>
      <w:r>
        <w:t xml:space="preserve"> </w:t>
      </w:r>
      <w:r>
        <w:t xml:space="preserve">for by the current method, so estimates can be biased in high-incidence</w:t>
      </w:r>
      <w:r>
        <w:t xml:space="preserve"> </w:t>
      </w:r>
      <w:r>
        <w:t xml:space="preserve">populations:</w:t>
      </w:r>
    </w:p>
    <w:tbl>
      <w:tblPr>
        <w:tblStyle w:val="Table"/>
        <w:tblW w:type="pct" w:w="5000"/>
        <w:tblLayout w:type="fixed"/>
        <w:tblLook w:firstRow="0" w:lastRow="0" w:firstColumn="0" w:lastColumn="0" w:noHBand="0" w:noVBand="0" w:val="0000"/>
      </w:tblPr>
      <w:tblGrid>
        <w:gridCol w:w="7920"/>
      </w:tblGrid>
      <w:tr>
        <w:tc>
          <w:tcPr/>
          <w:bookmarkStart w:id="191" w:name="fig-sim-recovery-renew"/>
          <w:p>
            <w:pPr>
              <w:pStyle w:val="Compact"/>
              <w:jc w:val="center"/>
            </w:pPr>
            <w:r>
              <w:drawing>
                <wp:inline>
                  <wp:extent cx="4620126" cy="3696101"/>
                  <wp:effectExtent b="0" l="0" r="0" t="0"/>
                  <wp:docPr descr="" title="" id="189" name="Picture"/>
                  <a:graphic>
                    <a:graphicData uri="http://schemas.openxmlformats.org/drawingml/2006/picture">
                      <pic:pic>
                        <pic:nvPicPr>
                          <pic:cNvPr descr="methodology_files/figure-docx/fig-sim-recovery-renew-1.png" id="190" name="Picture"/>
                          <pic:cNvPicPr>
                            <a:picLocks noChangeArrowheads="1" noChangeAspect="1"/>
                          </pic:cNvPicPr>
                        </pic:nvPicPr>
                        <pic:blipFill>
                          <a:blip r:embed="rId18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Recovery of the true incidence rate when seroresponse parameters are renewed at each infection. Compare with</w:t>
            </w:r>
            <w:r>
              <w:t xml:space="preserve"> </w:t>
            </w:r>
            <w:hyperlink w:anchor="fig-sim-recovery">
              <w:r>
                <w:rPr>
                  <w:rStyle w:val="Hyperlink"/>
                </w:rPr>
                <w:t xml:space="preserve">Figure 12</w:t>
              </w:r>
            </w:hyperlink>
            <w:r>
              <w:t xml:space="preserve">.</w:t>
            </w:r>
          </w:p>
          <w:bookmarkEnd w:id="191"/>
        </w:tc>
      </w:tr>
    </w:tbl>
    <w:bookmarkEnd w:id="192"/>
    <w:bookmarkEnd w:id="193"/>
    <w:bookmarkStart w:id="198" w:name="ongoing-and-future-work"/>
    <w:p>
      <w:pPr>
        <w:pStyle w:val="Heading1"/>
      </w:pPr>
      <w:r>
        <w:t xml:space="preserve">9. Ongoing and future work</w:t>
      </w:r>
    </w:p>
    <w:bookmarkStart w:id="195" w:name="in-progress-work"/>
    <w:p>
      <w:pPr>
        <w:pStyle w:val="Heading2"/>
      </w:pPr>
      <w:r>
        <w:t xml:space="preserve">9.1 In-progress work</w:t>
      </w:r>
    </w:p>
    <w:p>
      <w:pPr>
        <w:numPr>
          <w:ilvl w:val="0"/>
          <w:numId w:val="1037"/>
        </w:numPr>
      </w:pPr>
      <w:r>
        <w:t xml:space="preserve">Extending and improving existing Shiny apps for these methods</w:t>
      </w:r>
      <w:r>
        <w:t xml:space="preserve"> </w:t>
      </w:r>
      <w:r>
        <w:t xml:space="preserve">(e.g., the</w:t>
      </w:r>
      <w:r>
        <w:t xml:space="preserve"> </w:t>
      </w:r>
      <w:hyperlink r:id="rId155">
        <w:r>
          <w:rPr>
            <w:rStyle w:val="Hyperlink"/>
          </w:rPr>
          <w:t xml:space="preserve">serocalculator Shiny app</w:t>
        </w:r>
      </w:hyperlink>
      <w:r>
        <w:t xml:space="preserve">,</w:t>
      </w:r>
      <w:r>
        <w:t xml:space="preserve"> </w:t>
      </w:r>
      <w:hyperlink r:id="rId194">
        <w:r>
          <w:rPr>
            <w:rStyle w:val="Hyperlink"/>
          </w:rPr>
          <w:t xml:space="preserve">source</w:t>
        </w:r>
      </w:hyperlink>
      <w:r>
        <w:t xml:space="preserve">)</w:t>
      </w:r>
    </w:p>
    <w:p>
      <w:pPr>
        <w:numPr>
          <w:ilvl w:val="0"/>
          <w:numId w:val="1037"/>
        </w:numPr>
      </w:pPr>
      <w:r>
        <w:t xml:space="preserve">Multivariate modeling of biomarkers (relaxing conditional independence)</w:t>
      </w:r>
    </w:p>
    <w:p>
      <w:pPr>
        <w:numPr>
          <w:ilvl w:val="0"/>
          <w:numId w:val="1037"/>
        </w:numPr>
      </w:pPr>
      <w:r>
        <w:t xml:space="preserve">A graphical (Shiny) app for</w:t>
      </w:r>
      <w:r>
        <w:t xml:space="preserve"> </w:t>
      </w:r>
      <w:r>
        <w:rPr>
          <w:rStyle w:val="VerbatimChar"/>
        </w:rPr>
        <w:t xml:space="preserve">serodynamics</w:t>
      </w:r>
    </w:p>
    <w:p>
      <w:pPr>
        <w:numPr>
          <w:ilvl w:val="0"/>
          <w:numId w:val="1037"/>
        </w:numPr>
      </w:pPr>
      <w:r>
        <w:t xml:space="preserve">Modeling time-varying incidence rates</w:t>
      </w:r>
    </w:p>
    <w:p>
      <w:pPr>
        <w:numPr>
          <w:ilvl w:val="0"/>
          <w:numId w:val="1037"/>
        </w:numPr>
      </w:pPr>
      <w:r>
        <w:t xml:space="preserve">Accounting for re-exposure</w:t>
      </w:r>
    </w:p>
    <w:p>
      <w:pPr>
        <w:numPr>
          <w:ilvl w:val="0"/>
          <w:numId w:val="1037"/>
        </w:numPr>
      </w:pPr>
      <w:r>
        <w:t xml:space="preserve">Accounting for latent immunocompromised subpopulations</w:t>
      </w:r>
    </w:p>
    <w:p>
      <w:pPr>
        <w:numPr>
          <w:ilvl w:val="0"/>
          <w:numId w:val="1037"/>
        </w:numPr>
      </w:pPr>
      <w:r>
        <w:t xml:space="preserve">Calibrating to population demographics</w:t>
      </w:r>
    </w:p>
    <w:bookmarkEnd w:id="195"/>
    <w:bookmarkStart w:id="197" w:name="sec-multivariate"/>
    <w:p>
      <w:pPr>
        <w:pStyle w:val="Heading2"/>
      </w:pPr>
      <w:r>
        <w:t xml:space="preserve">9.2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96">
        <w:r>
          <w:rPr>
            <w:rStyle w:val="Hyperlink"/>
          </w:rPr>
          <w:t xml:space="preserve">UCD-SERG/shigella#13</w:t>
        </w:r>
      </w:hyperlink>
      <w:r>
        <w:t xml:space="preserve">).</w:t>
      </w:r>
    </w:p>
    <w:bookmarkEnd w:id="197"/>
    <w:bookmarkEnd w:id="198"/>
    <w:bookmarkStart w:id="215" w:name="references"/>
    <w:p>
      <w:pPr>
        <w:pStyle w:val="Heading1"/>
      </w:pPr>
      <w:r>
        <w:t xml:space="preserve">References</w:t>
      </w:r>
    </w:p>
    <w:bookmarkStart w:id="214" w:name="refs"/>
    <w:bookmarkStart w:id="200"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99">
        <w:r>
          <w:rPr>
            <w:rStyle w:val="Hyperlink"/>
          </w:rPr>
          <w:t xml:space="preserve">https://doi.org/10.1016/S2666-5247(22)00114-8</w:t>
        </w:r>
      </w:hyperlink>
      <w:r>
        <w:t xml:space="preserve">.</w:t>
      </w:r>
    </w:p>
    <w:bookmarkEnd w:id="200"/>
    <w:bookmarkStart w:id="202"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201">
        <w:r>
          <w:rPr>
            <w:rStyle w:val="Hyperlink"/>
          </w:rPr>
          <w:t xml:space="preserve">https://doi.org/10.1016/j.epidem.2024.100806</w:t>
        </w:r>
      </w:hyperlink>
      <w:r>
        <w:t xml:space="preserve">.</w:t>
      </w:r>
    </w:p>
    <w:bookmarkEnd w:id="202"/>
    <w:bookmarkStart w:id="203" w:name="ref-Huber1967"/>
    <w:p>
      <w:pPr>
        <w:pStyle w:val="Bibliography"/>
      </w:pPr>
      <w:r>
        <w:t xml:space="preserve">Huber, Peter J. 1967.</w:t>
      </w:r>
      <w:r>
        <w:t xml:space="preserve"> </w:t>
      </w:r>
      <w:r>
        <w:t xml:space="preserve">“The Behavior of Maximum Likelihood Estimates Under Nonstandard Conditions.”</w:t>
      </w:r>
      <w:r>
        <w:t xml:space="preserve"> </w:t>
      </w:r>
      <w:r>
        <w:t xml:space="preserve">In</w:t>
      </w:r>
      <w:r>
        <w:t xml:space="preserve"> </w:t>
      </w:r>
      <w:r>
        <w:rPr>
          <w:i/>
          <w:iCs/>
        </w:rPr>
        <w:t xml:space="preserve">Proceedings of the Fifth Berkeley Symposium on Mathematical Statistics and Probability, Volume 1: Statistics</w:t>
      </w:r>
      <w:r>
        <w:t xml:space="preserve">. University of California Press.</w:t>
      </w:r>
    </w:p>
    <w:bookmarkEnd w:id="203"/>
    <w:bookmarkStart w:id="205" w:name="ref-LiangZeger1986"/>
    <w:p>
      <w:pPr>
        <w:pStyle w:val="Bibliography"/>
      </w:pPr>
      <w:r>
        <w:t xml:space="preserve">Liang, Kung-Yee, and Scott L. Zeger. 1986.</w:t>
      </w:r>
      <w:r>
        <w:t xml:space="preserve"> </w:t>
      </w:r>
      <w:r>
        <w:t xml:space="preserve">“Longitudinal Data Analysis Using Generalized Linear Models.”</w:t>
      </w:r>
      <w:r>
        <w:t xml:space="preserve"> </w:t>
      </w:r>
      <w:r>
        <w:rPr>
          <w:i/>
          <w:iCs/>
        </w:rPr>
        <w:t xml:space="preserve">Biometrika</w:t>
      </w:r>
      <w:r>
        <w:t xml:space="preserve"> </w:t>
      </w:r>
      <w:r>
        <w:t xml:space="preserve">73 (1): 13–22.</w:t>
      </w:r>
      <w:r>
        <w:t xml:space="preserve"> </w:t>
      </w:r>
      <w:hyperlink r:id="rId204">
        <w:r>
          <w:rPr>
            <w:rStyle w:val="Hyperlink"/>
          </w:rPr>
          <w:t xml:space="preserve">https://doi.org/10.1093/biomet/73.1.13</w:t>
        </w:r>
      </w:hyperlink>
      <w:r>
        <w:t xml:space="preserve">.</w:t>
      </w:r>
    </w:p>
    <w:bookmarkEnd w:id="205"/>
    <w:bookmarkStart w:id="207"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206">
        <w:r>
          <w:rPr>
            <w:rStyle w:val="Hyperlink"/>
          </w:rPr>
          <w:t xml:space="preserve">https://doi.org/10.1159/000286345</w:t>
        </w:r>
      </w:hyperlink>
      <w:r>
        <w:t xml:space="preserve">.</w:t>
      </w:r>
    </w:p>
    <w:bookmarkEnd w:id="207"/>
    <w:bookmarkStart w:id="209"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208">
        <w:r>
          <w:rPr>
            <w:rStyle w:val="Hyperlink"/>
          </w:rPr>
          <w:t xml:space="preserve">https://doi.org/10.1002/sim.8578</w:t>
        </w:r>
      </w:hyperlink>
      <w:r>
        <w:t xml:space="preserve">.</w:t>
      </w:r>
    </w:p>
    <w:bookmarkEnd w:id="209"/>
    <w:bookmarkStart w:id="211"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210">
        <w:r>
          <w:rPr>
            <w:rStyle w:val="Hyperlink"/>
          </w:rPr>
          <w:t xml:space="preserve">https://doi.org/10.1016/j.epidem.2016.04.001</w:t>
        </w:r>
      </w:hyperlink>
      <w:r>
        <w:t xml:space="preserve">.</w:t>
      </w:r>
    </w:p>
    <w:bookmarkEnd w:id="211"/>
    <w:bookmarkStart w:id="212"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212"/>
    <w:bookmarkStart w:id="213" w:name="ref-White1980"/>
    <w:p>
      <w:pPr>
        <w:pStyle w:val="Bibliography"/>
      </w:pPr>
      <w:r>
        <w:t xml:space="preserve">White, Halbert. 1980.</w:t>
      </w:r>
      <w:r>
        <w:t xml:space="preserve"> </w:t>
      </w:r>
      <w:r>
        <w:t xml:space="preserve">“A Heteroskedasticity-Consistent Covariance Matrix Estimator and a Direct Test for Heteroskedasticity.”</w:t>
      </w:r>
      <w:r>
        <w:t xml:space="preserve"> </w:t>
      </w:r>
      <w:r>
        <w:rPr>
          <w:i/>
          <w:iCs/>
        </w:rPr>
        <w:t xml:space="preserve">Econometrica</w:t>
      </w:r>
      <w:r>
        <w:t xml:space="preserve"> </w:t>
      </w:r>
      <w:r>
        <w:t xml:space="preserve">48 (4): 817–38.</w:t>
      </w:r>
    </w:p>
    <w:bookmarkEnd w:id="213"/>
    <w:bookmarkEnd w:id="214"/>
    <w:bookmarkEnd w:id="2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23" Target="media/rId23.jpg" /><Relationship Type="http://schemas.openxmlformats.org/officeDocument/2006/relationships/image" Id="rId119" Target="media/rId119.png" /><Relationship Type="http://schemas.openxmlformats.org/officeDocument/2006/relationships/image" Id="rId123" Target="media/rId123.png" /><Relationship Type="http://schemas.openxmlformats.org/officeDocument/2006/relationships/image" Id="rId100" Target="media/rId100.svg" /><Relationship Type="http://schemas.openxmlformats.org/officeDocument/2006/relationships/image" Id="rId132" Target="media/rId132.png" /><Relationship Type="http://schemas.openxmlformats.org/officeDocument/2006/relationships/image" Id="rId156" Target="media/rId156.png" /><Relationship Type="http://schemas.openxmlformats.org/officeDocument/2006/relationships/image" Id="rId168" Target="media/rId168.png" /><Relationship Type="http://schemas.openxmlformats.org/officeDocument/2006/relationships/image" Id="rId108" Target="media/rId108.png" /><Relationship Type="http://schemas.openxmlformats.org/officeDocument/2006/relationships/image" Id="rId183" Target="media/rId183.png" /><Relationship Type="http://schemas.openxmlformats.org/officeDocument/2006/relationships/image" Id="rId149" Target="media/rId149.png" /><Relationship Type="http://schemas.openxmlformats.org/officeDocument/2006/relationships/image" Id="rId58" Target="media/rId58.png" /><Relationship Type="http://schemas.openxmlformats.org/officeDocument/2006/relationships/image" Id="rId114" Target="media/rId114.png" /><Relationship Type="http://schemas.openxmlformats.org/officeDocument/2006/relationships/image" Id="rId174" Target="media/rId174.png" /><Relationship Type="http://schemas.openxmlformats.org/officeDocument/2006/relationships/image" Id="rId95" Target="media/rId95.png" /><Relationship Type="http://schemas.openxmlformats.org/officeDocument/2006/relationships/image" Id="rId144" Target="media/rId144.png" /><Relationship Type="http://schemas.openxmlformats.org/officeDocument/2006/relationships/image" Id="rId161" Target="media/rId161.png" /><Relationship Type="http://schemas.openxmlformats.org/officeDocument/2006/relationships/image" Id="rId179" Target="media/rId179.png" /><Relationship Type="http://schemas.openxmlformats.org/officeDocument/2006/relationships/image" Id="rId188" Target="media/rId188.png" /><Relationship Type="http://schemas.openxmlformats.org/officeDocument/2006/relationships/image" Id="rId29" Target="media/rId29.png"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208" Target="https://doi.org/10.1002/sim.8578" TargetMode="External" /><Relationship Type="http://schemas.openxmlformats.org/officeDocument/2006/relationships/hyperlink" Id="rId199" Target="https://doi.org/10.1016/S2666-5247(22)00114-8" TargetMode="External" /><Relationship Type="http://schemas.openxmlformats.org/officeDocument/2006/relationships/hyperlink" Id="rId210" Target="https://doi.org/10.1016/j.epidem.2016.04.001" TargetMode="External" /><Relationship Type="http://schemas.openxmlformats.org/officeDocument/2006/relationships/hyperlink" Id="rId201" Target="https://doi.org/10.1016/j.epidem.2024.100806" TargetMode="External" /><Relationship Type="http://schemas.openxmlformats.org/officeDocument/2006/relationships/hyperlink" Id="rId204" Target="https://doi.org/10.1093/biomet/73.1.13" TargetMode="External" /><Relationship Type="http://schemas.openxmlformats.org/officeDocument/2006/relationships/hyperlink" Id="rId206" Target="https://doi.org/10.1159/000286345" TargetMode="External" /><Relationship Type="http://schemas.openxmlformats.org/officeDocument/2006/relationships/hyperlink" Id="rId140" Target="https://github.com/UCD-SERG/serocalculator" TargetMode="External" /><Relationship Type="http://schemas.openxmlformats.org/officeDocument/2006/relationships/hyperlink" Id="rId173" Target="https://github.com/UCD-SERG/serocalculator/issues/629" TargetMode="External" /><Relationship Type="http://schemas.openxmlformats.org/officeDocument/2006/relationships/hyperlink" Id="rId113" Target="https://github.com/UCD-SERG/serocalculator/issues/637" TargetMode="External" /><Relationship Type="http://schemas.openxmlformats.org/officeDocument/2006/relationships/hyperlink" Id="rId129" Target="https://github.com/UCD-SERG/serodynamics" TargetMode="External" /><Relationship Type="http://schemas.openxmlformats.org/officeDocument/2006/relationships/hyperlink" Id="rId49" Target="https://github.com/UCD-SERG/serodynamics/issues/11" TargetMode="External" /><Relationship Type="http://schemas.openxmlformats.org/officeDocument/2006/relationships/hyperlink" Id="rId196" Target="https://github.com/UCD-SERG/shigella/pull/13" TargetMode="External" /><Relationship Type="http://schemas.openxmlformats.org/officeDocument/2006/relationships/hyperlink" Id="rId194" Target="https://github.com/UCD-SERG/shiny_serocalculator" TargetMode="External" /><Relationship Type="http://schemas.openxmlformats.org/officeDocument/2006/relationships/hyperlink" Id="rId99" Target="https://ucdserg.shinyapps.io/antibody-kinetics-model-2/" TargetMode="External" /><Relationship Type="http://schemas.openxmlformats.org/officeDocument/2006/relationships/hyperlink" Id="rId155"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208" Target="https://doi.org/10.1002/sim.8578" TargetMode="External" /><Relationship Type="http://schemas.openxmlformats.org/officeDocument/2006/relationships/hyperlink" Id="rId199" Target="https://doi.org/10.1016/S2666-5247(22)00114-8" TargetMode="External" /><Relationship Type="http://schemas.openxmlformats.org/officeDocument/2006/relationships/hyperlink" Id="rId210" Target="https://doi.org/10.1016/j.epidem.2016.04.001" TargetMode="External" /><Relationship Type="http://schemas.openxmlformats.org/officeDocument/2006/relationships/hyperlink" Id="rId201" Target="https://doi.org/10.1016/j.epidem.2024.100806" TargetMode="External" /><Relationship Type="http://schemas.openxmlformats.org/officeDocument/2006/relationships/hyperlink" Id="rId204" Target="https://doi.org/10.1093/biomet/73.1.13" TargetMode="External" /><Relationship Type="http://schemas.openxmlformats.org/officeDocument/2006/relationships/hyperlink" Id="rId206" Target="https://doi.org/10.1159/000286345" TargetMode="External" /><Relationship Type="http://schemas.openxmlformats.org/officeDocument/2006/relationships/hyperlink" Id="rId140" Target="https://github.com/UCD-SERG/serocalculator" TargetMode="External" /><Relationship Type="http://schemas.openxmlformats.org/officeDocument/2006/relationships/hyperlink" Id="rId173" Target="https://github.com/UCD-SERG/serocalculator/issues/629" TargetMode="External" /><Relationship Type="http://schemas.openxmlformats.org/officeDocument/2006/relationships/hyperlink" Id="rId113" Target="https://github.com/UCD-SERG/serocalculator/issues/637" TargetMode="External" /><Relationship Type="http://schemas.openxmlformats.org/officeDocument/2006/relationships/hyperlink" Id="rId129" Target="https://github.com/UCD-SERG/serodynamics" TargetMode="External" /><Relationship Type="http://schemas.openxmlformats.org/officeDocument/2006/relationships/hyperlink" Id="rId49" Target="https://github.com/UCD-SERG/serodynamics/issues/11" TargetMode="External" /><Relationship Type="http://schemas.openxmlformats.org/officeDocument/2006/relationships/hyperlink" Id="rId196" Target="https://github.com/UCD-SERG/shigella/pull/13" TargetMode="External" /><Relationship Type="http://schemas.openxmlformats.org/officeDocument/2006/relationships/hyperlink" Id="rId194" Target="https://github.com/UCD-SERG/shiny_serocalculator" TargetMode="External" /><Relationship Type="http://schemas.openxmlformats.org/officeDocument/2006/relationships/hyperlink" Id="rId99" Target="https://ucdserg.shinyapps.io/antibody-kinetics-model-2/" TargetMode="External" /><Relationship Type="http://schemas.openxmlformats.org/officeDocument/2006/relationships/hyperlink" Id="rId155"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2026-08-09T07:32:02Z</dcterms:created>
  <dcterms:modified xsi:type="dcterms:W3CDTF">2026-08-09T07:32:02Z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2026-08-09</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