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1.png" ContentType="image/png"/>
  <Override PartName="/word/media/rId125.png" ContentType="image/png"/>
  <Override PartName="/word/media/rId102.svg" ContentType="image/svg+xml"/>
  <Override PartName="/word/media/rId134.png" ContentType="image/png"/>
  <Override PartName="/word/media/rId158.png" ContentType="image/png"/>
  <Override PartName="/word/media/rId170.png" ContentType="image/png"/>
  <Override PartName="/word/media/rId110.png" ContentType="image/png"/>
  <Override PartName="/word/media/rId185.png" ContentType="image/png"/>
  <Override PartName="/word/media/rId151.png" ContentType="image/png"/>
  <Override PartName="/word/media/rId60.png" ContentType="image/png"/>
  <Override PartName="/word/media/rId191.png" ContentType="image/png"/>
  <Override PartName="/word/media/rId116.png" ContentType="image/png"/>
  <Override PartName="/word/media/rId176.png" ContentType="image/png"/>
  <Override PartName="/word/media/rId97.png" ContentType="image/png"/>
  <Override PartName="/word/media/rId146.png" ContentType="image/png"/>
  <Override PartName="/word/media/rId163.png" ContentType="image/png"/>
  <Override PartName="/word/media/rId181.png" ContentType="image/png"/>
  <Override PartName="/word/media/rId196.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2026-09-09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2"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p>
      <w:pPr>
        <w:pStyle w:val="BodyText"/>
      </w:pPr>
      <w:r>
        <w:t xml:space="preserve">One caveat about how the C likelihood realizes this.</w:t>
      </w:r>
      <w:r>
        <w:t xml:space="preserve"> </w:t>
      </w:r>
      <w:hyperlink w:anchor="prp-time-since-infection">
        <w:r>
          <w:rPr>
            <w:rStyle w:val="Hyperlink"/>
          </w:rPr>
          <w:t xml:space="preserve">Proposition 1</w:t>
        </w:r>
      </w:hyperlink>
      <w:r>
        <w:t xml:space="preserve"> </w:t>
      </w:r>
      <w:r>
        <w:t xml:space="preserve">is the backward recurrence time of the constant-rate</w:t>
      </w:r>
      <w:r>
        <w:t xml:space="preserve"> </w:t>
      </w:r>
      <w:r>
        <w:t xml:space="preserve">process itself.</w:t>
      </w:r>
      <w:r>
        <w:t xml:space="preserve"> </w:t>
      </w:r>
      <w:r>
        <w:rPr>
          <w:rStyle w:val="VerbatimChar"/>
        </w:rPr>
        <w:t xml:space="preserve">src/serocalc.c</w:t>
      </w:r>
      <w:r>
        <w:t xml:space="preserve"> </w:t>
      </w:r>
      <w:r>
        <w:t xml:space="preserve">instead evaluates the age-corrected density of</w:t>
      </w:r>
      <w:r>
        <w:t xml:space="preserve"> </w:t>
      </w:r>
      <w:r>
        <w:t xml:space="preserve">Teunis and Eijkeren (2020)</w:t>
      </w:r>
      <w:r>
        <w:t xml:space="preserve"> </w:t>
      </w:r>
      <w:r>
        <w:t xml:space="preserve">(their Equation 4),</w:t>
      </w:r>
      <w:r>
        <w:t xml:space="preserve"> </w:t>
      </w:r>
      <w:r>
        <w:t xml:space="preserve">which spreads an extra</w:t>
      </w:r>
      <w:r>
        <w:t xml:space="preserve"> </w:t>
      </w:r>
      <m:oMath>
        <m:r>
          <m:rPr>
            <m:sty m:val="p"/>
          </m:rPr>
          <m:t>exp</m:t>
        </m:r>
        <m:r>
          <m:t>​</m:t>
        </m:r>
        <m:d>
          <m:dPr>
            <m:begChr m:val="{"/>
            <m:sepChr m:val=""/>
            <m:endChr m:val="}"/>
            <m:grow/>
          </m:dPr>
          <m:e>
            <m:r>
              <m:rPr>
                <m:sty m:val="p"/>
              </m:rPr>
              <m:t>−</m:t>
            </m:r>
            <m:r>
              <m:t>λ</m:t>
            </m:r>
            <m:r>
              <m:t>a</m:t>
            </m:r>
          </m:e>
        </m:d>
        <m:r>
          <m:t>​</m:t>
        </m:r>
        <m:r>
          <m:rPr>
            <m:sty m:val="p"/>
          </m:rPr>
          <m:t>/</m:t>
        </m:r>
        <m:r>
          <m:t>a</m:t>
        </m:r>
      </m:oMath>
      <w:r>
        <w:t xml:space="preserve"> </w:t>
      </w:r>
      <w:r>
        <w:t xml:space="preserve">uniformly across</w:t>
      </w:r>
      <w:r>
        <w:t xml:space="preserve"> </w:t>
      </w:r>
      <m:oMath>
        <m:r>
          <m:rPr>
            <m:sty m:val="p"/>
          </m:rPr>
          <m:t>[</m:t>
        </m:r>
        <m:r>
          <m:t>0</m:t>
        </m:r>
        <m:r>
          <m:rPr>
            <m:sty m:val="p"/>
          </m:rPr>
          <m:t>,</m:t>
        </m:r>
        <m:r>
          <m:t>a</m:t>
        </m:r>
        <m:r>
          <m:rPr>
            <m:sty m:val="p"/>
          </m:rPr>
          <m:t>]</m:t>
        </m:r>
      </m:oMath>
      <w:r>
        <w:t xml:space="preserve"> </w:t>
      </w:r>
      <w:r>
        <w:t xml:space="preserve">and</w:t>
      </w:r>
      <w:r>
        <w:t xml:space="preserve"> </w:t>
      </w:r>
      <w:r>
        <w:t xml:space="preserve">scales the whole density by</w:t>
      </w:r>
      <w:r>
        <w:t xml:space="preserve"> </w:t>
      </w:r>
      <m:oMath>
        <m:r>
          <m:t>1</m:t>
        </m:r>
        <m:r>
          <m:rPr>
            <m:sty m:val="p"/>
          </m:rPr>
          <m:t>−</m:t>
        </m:r>
        <m:r>
          <m:rPr>
            <m:sty m:val="p"/>
          </m:rPr>
          <m:t>exp</m:t>
        </m:r>
        <m:r>
          <m:t>​</m:t>
        </m:r>
        <m:d>
          <m:dPr>
            <m:begChr m:val="{"/>
            <m:sepChr m:val=""/>
            <m:endChr m:val="}"/>
            <m:grow/>
          </m:dPr>
          <m:e>
            <m:r>
              <m:rPr>
                <m:sty m:val="p"/>
              </m:rPr>
              <m:t>−</m:t>
            </m:r>
            <m:r>
              <m:t>λ</m:t>
            </m:r>
            <m:r>
              <m:t>a</m:t>
            </m:r>
          </m:e>
        </m:d>
        <m:r>
          <m:t>​</m:t>
        </m:r>
      </m:oMath>
      <w:r>
        <w:t xml:space="preserve">,</w:t>
      </w:r>
      <w:r>
        <w:t xml:space="preserve"> </w:t>
      </w:r>
      <w:r>
        <w:t xml:space="preserve">leaving exactly</w:t>
      </w:r>
      <w:r>
        <w:t xml:space="preserve"> </w:t>
      </w:r>
      <m:oMath>
        <m:r>
          <m:rPr>
            <m:sty m:val="p"/>
          </m:rPr>
          <m:t>exp</m:t>
        </m:r>
        <m:r>
          <m:t>​</m:t>
        </m:r>
        <m:d>
          <m:dPr>
            <m:begChr m:val="{"/>
            <m:sepChr m:val=""/>
            <m:endChr m:val="}"/>
            <m:grow/>
          </m:dPr>
          <m:e>
            <m:r>
              <m:rPr>
                <m:sty m:val="p"/>
              </m:rPr>
              <m:t>−</m:t>
            </m:r>
            <m:r>
              <m:t>λ</m:t>
            </m:r>
            <m:r>
              <m:t>a</m:t>
            </m:r>
          </m:e>
        </m:d>
        <m:r>
          <m:t>​</m:t>
        </m:r>
      </m:oMath>
      <w:r>
        <w:t xml:space="preserve"> </w:t>
      </w:r>
      <w:r>
        <w:t xml:space="preserve">for the never-infected:</w:t>
      </w:r>
    </w:p>
    <w:p>
      <w:pPr>
        <w:pStyle w:val="BodyText"/>
      </w:pPr>
      <m:oMathPara>
        <m:oMathParaPr>
          <m:jc m:val="center"/>
        </m:oMathParaPr>
        <m:oMath>
          <m:r>
            <m:rPr>
              <m:sty m:val="p"/>
            </m:rPr>
            <m:t>p</m:t>
          </m:r>
          <m:r>
            <m:rPr>
              <m:sty m:val="p"/>
            </m:rPr>
            <m:t>(</m:t>
          </m:r>
          <m:r>
            <m:t>T</m:t>
          </m:r>
          <m:r>
            <m:rPr>
              <m:sty m:val="p"/>
            </m:rPr>
            <m:t>=</m:t>
          </m:r>
          <m:r>
            <m:t>t</m:t>
          </m:r>
          <m:r>
            <m:rPr>
              <m:sty m:val="p"/>
            </m:rPr>
            <m:t>∣</m:t>
          </m:r>
          <m:r>
            <m:t>A</m:t>
          </m:r>
          <m:r>
            <m:rPr>
              <m:sty m:val="p"/>
            </m:rPr>
            <m:t>=</m:t>
          </m:r>
          <m:r>
            <m:t>a</m:t>
          </m:r>
          <m:r>
            <m:rPr>
              <m:sty m:val="p"/>
            </m:rPr>
            <m:t>)</m:t>
          </m:r>
          <m:r>
            <m:rPr>
              <m:sty m:val="p"/>
            </m:rPr>
            <m:t>=</m:t>
          </m:r>
          <m:sSub>
            <m:e>
              <m:r>
                <m:t>1</m:t>
              </m:r>
            </m:e>
            <m:sub>
              <m:r>
                <m:t>t</m:t>
              </m:r>
              <m:r>
                <m:rPr>
                  <m:sty m:val="p"/>
                </m:rPr>
                <m:t>∈</m:t>
              </m:r>
              <m:r>
                <m:rPr>
                  <m:sty m:val="p"/>
                </m:rPr>
                <m:t>[</m:t>
              </m:r>
              <m:r>
                <m:t>0</m:t>
              </m:r>
              <m:r>
                <m:rPr>
                  <m:sty m:val="p"/>
                </m:rPr>
                <m:t>,</m:t>
              </m:r>
              <m:r>
                <m:t>a</m:t>
              </m:r>
              <m:r>
                <m:rPr>
                  <m:sty m:val="p"/>
                </m:rPr>
                <m:t>]</m:t>
              </m:r>
            </m:sub>
          </m:sSub>
          <m:d>
            <m:dPr>
              <m:begChr m:val="("/>
              <m:sepChr m:val=""/>
              <m:endChr m:val=")"/>
              <m:grow/>
            </m:dPr>
            <m:e>
              <m:r>
                <m:t>1</m:t>
              </m:r>
              <m:r>
                <m:rPr>
                  <m:sty m:val="p"/>
                </m:rPr>
                <m:t>−</m:t>
              </m:r>
              <m:r>
                <m:rPr>
                  <m:sty m:val="p"/>
                </m:rPr>
                <m:t>exp</m:t>
              </m:r>
              <m:r>
                <m:t>​</m:t>
              </m:r>
              <m:d>
                <m:dPr>
                  <m:begChr m:val="{"/>
                  <m:sepChr m:val=""/>
                  <m:endChr m:val="}"/>
                  <m:grow/>
                </m:dPr>
                <m:e>
                  <m:r>
                    <m:rPr>
                      <m:sty m:val="p"/>
                    </m:rPr>
                    <m:t>−</m:t>
                  </m:r>
                  <m:r>
                    <m:t>λ</m:t>
                  </m:r>
                  <m:r>
                    <m:t>a</m:t>
                  </m:r>
                </m:e>
              </m:d>
              <m:r>
                <m:t>​</m:t>
              </m:r>
            </m:e>
          </m:d>
          <m:d>
            <m:dPr>
              <m:begChr m:val="("/>
              <m:sepChr m:val=""/>
              <m:endChr m:val=")"/>
              <m:grow/>
            </m:dPr>
            <m:e>
              <m:r>
                <m:t>λ</m:t>
              </m:r>
              <m:r>
                <m:rPr>
                  <m:sty m:val="p"/>
                </m:rPr>
                <m:t>exp</m:t>
              </m:r>
              <m:r>
                <m:t>​</m:t>
              </m:r>
              <m:d>
                <m:dPr>
                  <m:begChr m:val="{"/>
                  <m:sepChr m:val=""/>
                  <m:endChr m:val="}"/>
                  <m:grow/>
                </m:dPr>
                <m:e>
                  <m:r>
                    <m:rPr>
                      <m:sty m:val="p"/>
                    </m:rPr>
                    <m:t>−</m:t>
                  </m:r>
                  <m:r>
                    <m:t>λ</m:t>
                  </m:r>
                  <m:r>
                    <m:t>t</m:t>
                  </m:r>
                </m:e>
              </m:d>
              <m:r>
                <m:t>​</m:t>
              </m:r>
              <m:r>
                <m:rPr>
                  <m:sty m:val="p"/>
                </m:rPr>
                <m:t>+</m:t>
              </m:r>
              <m:f>
                <m:fPr>
                  <m:type m:val="bar"/>
                </m:fPr>
                <m:num>
                  <m:r>
                    <m:rPr>
                      <m:sty m:val="p"/>
                    </m:rPr>
                    <m:t>exp</m:t>
                  </m:r>
                  <m:r>
                    <m:t>​</m:t>
                  </m:r>
                  <m:d>
                    <m:dPr>
                      <m:begChr m:val="{"/>
                      <m:sepChr m:val=""/>
                      <m:endChr m:val="}"/>
                      <m:grow/>
                    </m:dPr>
                    <m:e>
                      <m:r>
                        <m:rPr>
                          <m:sty m:val="p"/>
                        </m:rPr>
                        <m:t>−</m:t>
                      </m:r>
                      <m:r>
                        <m:t>λ</m:t>
                      </m:r>
                      <m:r>
                        <m:t>a</m:t>
                      </m:r>
                    </m:e>
                  </m:d>
                  <m:r>
                    <m:t>​</m:t>
                  </m:r>
                </m:num>
                <m:den>
                  <m:r>
                    <m:t>a</m:t>
                  </m:r>
                </m:den>
              </m:f>
            </m:e>
          </m:d>
          <m:r>
            <m:rPr>
              <m:sty m:val="p"/>
            </m:rPr>
            <m:t>+</m:t>
          </m:r>
          <m:sSub>
            <m:e>
              <m:r>
                <m:t>1</m:t>
              </m:r>
            </m:e>
            <m:sub>
              <m:r>
                <m:t>t</m:t>
              </m:r>
              <m:r>
                <m:rPr>
                  <m:sty m:val="p"/>
                </m:rPr>
                <m:t>=</m:t>
              </m:r>
              <m:r>
                <m:rPr>
                  <m:nor/>
                  <m:sty m:val="p"/>
                </m:rPr>
                <m:t>NA</m:t>
              </m:r>
            </m:sub>
          </m:sSub>
          <m:r>
            <m:t> </m:t>
          </m:r>
          <m:r>
            <m:rPr>
              <m:sty m:val="p"/>
            </m:rPr>
            <m:t>exp</m:t>
          </m:r>
          <m:r>
            <m:t>​</m:t>
          </m:r>
          <m:d>
            <m:dPr>
              <m:begChr m:val="{"/>
              <m:sepChr m:val=""/>
              <m:endChr m:val="}"/>
              <m:grow/>
            </m:dPr>
            <m:e>
              <m:r>
                <m:rPr>
                  <m:sty m:val="p"/>
                </m:rPr>
                <m:t>−</m:t>
              </m:r>
              <m:r>
                <m:t>λ</m:t>
              </m:r>
              <m:r>
                <m:t>a</m:t>
              </m:r>
            </m:e>
          </m:d>
          <m:r>
            <m:t>​</m:t>
          </m:r>
        </m:oMath>
      </m:oMathPara>
    </w:p>
    <w:p>
      <w:pPr>
        <w:pStyle w:val="FirstParagraph"/>
      </w:pPr>
      <w:r>
        <w:t xml:space="preserve">Both forms put mass</w:t>
      </w:r>
      <w:r>
        <w:t xml:space="preserve"> </w:t>
      </w:r>
      <m:oMath>
        <m:r>
          <m:rPr>
            <m:sty m:val="p"/>
          </m:rPr>
          <m:t>exp</m:t>
        </m:r>
        <m:r>
          <m:t>​</m:t>
        </m:r>
        <m:d>
          <m:dPr>
            <m:begChr m:val="{"/>
            <m:sepChr m:val=""/>
            <m:endChr m:val="}"/>
            <m:grow/>
          </m:dPr>
          <m:e>
            <m:r>
              <m:rPr>
                <m:sty m:val="p"/>
              </m:rPr>
              <m:t>−</m:t>
            </m:r>
            <m:r>
              <m:t>λ</m:t>
            </m:r>
            <m:r>
              <m:t>a</m:t>
            </m:r>
          </m:e>
        </m:d>
        <m:r>
          <m:t>​</m:t>
        </m:r>
      </m:oMath>
      <w:r>
        <w:t xml:space="preserve"> </w:t>
      </w:r>
      <w:r>
        <w:t xml:space="preserve">on</w:t>
      </w:r>
      <w:r>
        <w:t xml:space="preserve"> </w:t>
      </w:r>
      <w:r>
        <w:t xml:space="preserve">“never infected”</w:t>
      </w:r>
      <w:r>
        <w:t xml:space="preserve">,</w:t>
      </w:r>
      <w:r>
        <w:t xml:space="preserve"> </w:t>
      </w:r>
      <w:r>
        <w:t xml:space="preserve">so the never-infected weight used throughout the rest of this article is the</w:t>
      </w:r>
      <w:r>
        <w:t xml:space="preserve"> </w:t>
      </w:r>
      <w:r>
        <w:t xml:space="preserve">same either way.</w:t>
      </w:r>
      <w:r>
        <w:t xml:space="preserve"> </w:t>
      </w:r>
      <w:r>
        <w:t xml:space="preserve">They differ in how the remaining mass is distributed over</w:t>
      </w:r>
      <w:r>
        <w:t xml:space="preserve"> </w:t>
      </w:r>
      <m:oMath>
        <m:r>
          <m:rPr>
            <m:sty m:val="p"/>
          </m:rPr>
          <m:t>[</m:t>
        </m:r>
        <m:r>
          <m:t>0</m:t>
        </m:r>
        <m:r>
          <m:rPr>
            <m:sty m:val="p"/>
          </m:rPr>
          <m:t>,</m:t>
        </m:r>
        <m:r>
          <m:t>a</m:t>
        </m:r>
        <m:r>
          <m:rPr>
            <m:sty m:val="p"/>
          </m:rPr>
          <m:t>]</m:t>
        </m:r>
      </m:oMath>
      <w:r>
        <w:t xml:space="preserve">.</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1"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89"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9"/>
    <w:bookmarkStart w:id="90"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0"/>
    <w:bookmarkEnd w:id="91"/>
    <w:bookmarkEnd w:id="92"/>
    <w:bookmarkStart w:id="12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3"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3"/>
    <w:bookmarkStart w:id="94"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4"/>
    <w:bookmarkStart w:id="95"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5"/>
    <w:bookmarkStart w:id="96"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6"/>
    <w:bookmarkStart w:id="105"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0" w:name="fig-response-graph"/>
          <w:p>
            <w:pPr>
              <w:pStyle w:val="Compact"/>
              <w:jc w:val="center"/>
            </w:pPr>
            <w:r>
              <w:drawing>
                <wp:inline>
                  <wp:extent cx="4620126" cy="3696101"/>
                  <wp:effectExtent b="0" l="0" r="0" t="0"/>
                  <wp:docPr descr="" title="" id="98" name="Picture"/>
                  <a:graphic>
                    <a:graphicData uri="http://schemas.openxmlformats.org/drawingml/2006/picture">
                      <pic:pic>
                        <pic:nvPicPr>
                          <pic:cNvPr descr="methodology_files/figure-docx/fig-response-graph-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0"/>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1">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3" name="Picture"/>
            <a:graphic>
              <a:graphicData uri="http://schemas.openxmlformats.org/drawingml/2006/picture">
                <pic:pic>
                  <pic:nvPicPr>
                    <pic:cNvPr descr="../man/figures/qr_akm2.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5"/>
    <w:bookmarkStart w:id="106"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6"/>
    <w:bookmarkStart w:id="107"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7"/>
    <w:bookmarkStart w:id="108"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8"/>
    <w:bookmarkStart w:id="109"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9"/>
    <w:bookmarkStart w:id="114"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3" w:name="fig-curve-posterior"/>
          <w:p>
            <w:pPr>
              <w:pStyle w:val="Compact"/>
              <w:jc w:val="center"/>
            </w:pPr>
            <w:r>
              <w:drawing>
                <wp:inline>
                  <wp:extent cx="4620126" cy="3696101"/>
                  <wp:effectExtent b="0" l="0" r="0" t="0"/>
                  <wp:docPr descr="" title="" id="111" name="Picture"/>
                  <a:graphic>
                    <a:graphicData uri="http://schemas.openxmlformats.org/drawingml/2006/picture">
                      <pic:pic>
                        <pic:nvPicPr>
                          <pic:cNvPr descr="methodology_files/figure-docx/fig-curve-posterior-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3"/>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4"/>
    <w:bookmarkStart w:id="120"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15"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15"/>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9" w:name="fig-loglik"/>
          <w:p>
            <w:pPr>
              <w:pStyle w:val="Compact"/>
              <w:jc w:val="center"/>
            </w:pPr>
            <w:r>
              <w:drawing>
                <wp:inline>
                  <wp:extent cx="4620126" cy="3696101"/>
                  <wp:effectExtent b="0" l="0" r="0" t="0"/>
                  <wp:docPr descr="" title="" id="117" name="Picture"/>
                  <a:graphic>
                    <a:graphicData uri="http://schemas.openxmlformats.org/drawingml/2006/picture">
                      <pic:pic>
                        <pic:nvPicPr>
                          <pic:cNvPr descr="methodology_files/figure-docx/fig-loglik-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19"/>
        </w:tc>
      </w:tr>
    </w:tbl>
    <w:bookmarkEnd w:id="120"/>
    <w:bookmarkStart w:id="124"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2" name="Picture"/>
            <a:graphic>
              <a:graphicData uri="http://schemas.openxmlformats.org/drawingml/2006/picture">
                <pic:pic>
                  <pic:nvPicPr>
                    <pic:cNvPr descr="../man/figures/kinetics-variation-1.png" id="123" name="Picture"/>
                    <pic:cNvPicPr>
                      <a:picLocks noChangeArrowheads="1" noChangeAspect="1"/>
                    </pic:cNvPicPr>
                  </pic:nvPicPr>
                  <pic:blipFill>
                    <a:blip r:embed="rId12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4"/>
    <w:bookmarkStart w:id="128"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6" name="Picture"/>
            <a:graphic>
              <a:graphicData uri="http://schemas.openxmlformats.org/drawingml/2006/picture">
                <pic:pic>
                  <pic:nvPicPr>
                    <pic:cNvPr descr="../man/figures/kinetics-variation-2.png" id="127" name="Picture"/>
                    <pic:cNvPicPr>
                      <a:picLocks noChangeArrowheads="1" noChangeAspect="1"/>
                    </pic:cNvPicPr>
                  </pic:nvPicPr>
                  <pic:blipFill>
                    <a:blip r:embed="rId12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8"/>
    <w:bookmarkEnd w:id="129"/>
    <w:bookmarkStart w:id="141" w:name="estimating-the-curves-with-serodynamics"/>
    <w:p>
      <w:pPr>
        <w:pStyle w:val="Heading1"/>
      </w:pPr>
      <w:r>
        <w:t xml:space="preserve">6. Estimating the curves with</w:t>
      </w:r>
      <w:r>
        <w:t xml:space="preserve"> </w:t>
      </w:r>
      <w:r>
        <w:rPr>
          <w:rStyle w:val="VerbatimChar"/>
        </w:rPr>
        <w:t xml:space="preserve">serodynamics</w:t>
      </w:r>
    </w:p>
    <w:bookmarkStart w:id="13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0"/>
    <w:bookmarkStart w:id="13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2"/>
    <w:bookmarkStart w:id="13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3"/>
    <w:bookmarkStart w:id="13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5" name="Picture"/>
            <a:graphic>
              <a:graphicData uri="http://schemas.openxmlformats.org/drawingml/2006/picture">
                <pic:pic>
                  <pic:nvPicPr>
                    <pic:cNvPr descr="../man/figures/serodynamics-cached-fi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7"/>
    <w:bookmarkStart w:id="138"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8"/>
    <w:bookmarkStart w:id="13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9"/>
    <w:bookmarkStart w:id="14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0"/>
    <w:bookmarkEnd w:id="141"/>
    <w:bookmarkStart w:id="162" w:name="using-serocalculator"/>
    <w:p>
      <w:pPr>
        <w:pStyle w:val="Heading1"/>
      </w:pPr>
      <w:r>
        <w:t xml:space="preserve">7. Using</w:t>
      </w:r>
      <w:r>
        <w:t xml:space="preserve"> </w:t>
      </w:r>
      <w:r>
        <w:rPr>
          <w:rStyle w:val="VerbatimChar"/>
        </w:rPr>
        <w:t xml:space="preserve">serocalculator</w:t>
      </w:r>
    </w:p>
    <w:bookmarkStart w:id="14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2">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3"/>
    <w:bookmarkStart w:id="144"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4"/>
    <w:bookmarkStart w:id="145"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45"/>
    <w:bookmarkStart w:id="150"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49" w:name="fig-sim-distribution"/>
          <w:p>
            <w:pPr>
              <w:pStyle w:val="Compact"/>
              <w:jc w:val="center"/>
            </w:pPr>
            <w:r>
              <w:drawing>
                <wp:inline>
                  <wp:extent cx="4620126" cy="3696101"/>
                  <wp:effectExtent b="0" l="0" r="0" t="0"/>
                  <wp:docPr descr="" title="" id="147" name="Picture"/>
                  <a:graphic>
                    <a:graphicData uri="http://schemas.openxmlformats.org/drawingml/2006/picture">
                      <pic:pic>
                        <pic:nvPicPr>
                          <pic:cNvPr descr="methodology_files/figure-docx/fig-sim-distribution-1.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49"/>
        </w:tc>
      </w:tr>
    </w:tbl>
    <w:bookmarkEnd w:id="150"/>
    <w:bookmarkStart w:id="155"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4" w:name="fig-est-single-loglik"/>
          <w:p>
            <w:pPr>
              <w:pStyle w:val="Compact"/>
              <w:jc w:val="center"/>
            </w:pPr>
            <w:r>
              <w:drawing>
                <wp:inline>
                  <wp:extent cx="4620126" cy="3696101"/>
                  <wp:effectExtent b="0" l="0" r="0" t="0"/>
                  <wp:docPr descr="" title="" id="152" name="Picture"/>
                  <a:graphic>
                    <a:graphicData uri="http://schemas.openxmlformats.org/drawingml/2006/picture">
                      <pic:pic>
                        <pic:nvPicPr>
                          <pic:cNvPr descr="methodology_files/figure-docx/fig-est-single-loglik-1.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4"/>
        </w:tc>
      </w:tr>
    </w:tbl>
    <w:bookmarkEnd w:id="155"/>
    <w:bookmarkStart w:id="156"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6"/>
    <w:bookmarkStart w:id="161" w:name="interactive-shiny-app"/>
    <w:p>
      <w:pPr>
        <w:pStyle w:val="Heading2"/>
      </w:pPr>
      <w:r>
        <w:t xml:space="preserve">7.7 Interactive Shiny app</w:t>
      </w:r>
    </w:p>
    <w:p>
      <w:pPr>
        <w:pStyle w:val="FirstParagraph"/>
      </w:pPr>
      <w:r>
        <w:t xml:space="preserve">A point-and-click interface is available at</w:t>
      </w:r>
      <w:r>
        <w:t xml:space="preserve"> </w:t>
      </w:r>
      <w:hyperlink r:id="rId157">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59" name="Picture"/>
            <a:graphic>
              <a:graphicData uri="http://schemas.openxmlformats.org/drawingml/2006/picture">
                <pic:pic>
                  <pic:nvPicPr>
                    <pic:cNvPr descr="../man/figures/shiny-serocalculator.png" id="160" name="Picture"/>
                    <pic:cNvPicPr>
                      <a:picLocks noChangeArrowheads="1" noChangeAspect="1"/>
                    </pic:cNvPicPr>
                  </pic:nvPicPr>
                  <pic:blipFill>
                    <a:blip r:embed="rId158"/>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1"/>
    <w:bookmarkEnd w:id="162"/>
    <w:bookmarkStart w:id="201" w:name="sec-validation"/>
    <w:p>
      <w:pPr>
        <w:pStyle w:val="Heading1"/>
      </w:pPr>
      <w:r>
        <w:t xml:space="preserve">8. Validation: recovering known incidence rates</w:t>
      </w:r>
    </w:p>
    <w:bookmarkStart w:id="167"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6" w:name="fig-sim-multi-distribution"/>
          <w:p>
            <w:pPr>
              <w:pStyle w:val="Compact"/>
              <w:jc w:val="center"/>
            </w:pPr>
            <w:r>
              <w:drawing>
                <wp:inline>
                  <wp:extent cx="4620126" cy="4620126"/>
                  <wp:effectExtent b="0" l="0" r="0" t="0"/>
                  <wp:docPr descr="" title="" id="164" name="Picture"/>
                  <a:graphic>
                    <a:graphicData uri="http://schemas.openxmlformats.org/drawingml/2006/picture">
                      <pic:pic>
                        <pic:nvPicPr>
                          <pic:cNvPr descr="methodology_files/figure-docx/fig-sim-multi-distribution-1.png" id="165" name="Picture"/>
                          <pic:cNvPicPr>
                            <a:picLocks noChangeArrowheads="1" noChangeAspect="1"/>
                          </pic:cNvPicPr>
                        </pic:nvPicPr>
                        <pic:blipFill>
                          <a:blip r:embed="rId163"/>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6"/>
        </w:tc>
      </w:tr>
    </w:tbl>
    <w:bookmarkEnd w:id="167"/>
    <w:bookmarkStart w:id="169"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8"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0.0136</w:t>
            </w:r>
            <w:r>
              <w:br/>
            </w:r>
            <w:r>
              <w:rPr>
                <w:rStyle w:val="VerbatimChar"/>
              </w:rPr>
              <w:t xml:space="preserve"> 2 Stratum…         100       0.05       2   100       0.1         0.0462 0.0113</w:t>
            </w:r>
            <w:r>
              <w:br/>
            </w:r>
            <w:r>
              <w:rPr>
                <w:rStyle w:val="VerbatimChar"/>
              </w:rPr>
              <w:t xml:space="preserve"> 3 Stratum…         100       0.05       3   100       0.1         0.0446 0.0109</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0.0100</w:t>
            </w:r>
            <w:r>
              <w:br/>
            </w:r>
            <w:r>
              <w:rPr>
                <w:rStyle w:val="VerbatimChar"/>
              </w:rPr>
              <w:t xml:space="preserve"> 8 Stratum…         100       0.05       8   100       0.1         0.0698 0.0147</w:t>
            </w:r>
            <w:r>
              <w:br/>
            </w:r>
            <w:r>
              <w:rPr>
                <w:rStyle w:val="VerbatimChar"/>
              </w:rPr>
              <w:t xml:space="preserve"> 9 Stratum…         100       0.05       9   100       0.1         0.0557 0.0129</w:t>
            </w:r>
            <w:r>
              <w:br/>
            </w:r>
            <w:r>
              <w:rPr>
                <w:rStyle w:val="VerbatimChar"/>
              </w:rPr>
              <w:t xml:space="preserve">10 Stratum…         100       0.05      10   100       0.1         0.0416 0.0104</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8"/>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69"/>
    <w:bookmarkStart w:id="174"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3" w:name="fig-cluster-logliks"/>
          <w:p>
            <w:pPr>
              <w:pStyle w:val="Compact"/>
              <w:jc w:val="center"/>
            </w:pPr>
            <w:r>
              <w:drawing>
                <wp:inline>
                  <wp:extent cx="4620126" cy="6468176"/>
                  <wp:effectExtent b="0" l="0" r="0" t="0"/>
                  <wp:docPr descr="" title="" id="171" name="Picture"/>
                  <a:graphic>
                    <a:graphicData uri="http://schemas.openxmlformats.org/drawingml/2006/picture">
                      <pic:pic>
                        <pic:nvPicPr>
                          <pic:cNvPr descr="methodology_files/figure-docx/fig-cluster-logliks-1.png" id="172" name="Picture"/>
                          <pic:cNvPicPr>
                            <a:picLocks noChangeArrowheads="1" noChangeAspect="1"/>
                          </pic:cNvPicPr>
                        </pic:nvPicPr>
                        <pic:blipFill>
                          <a:blip r:embed="rId170"/>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3"/>
        </w:tc>
      </w:tr>
    </w:tbl>
    <w:bookmarkEnd w:id="174"/>
    <w:bookmarkStart w:id="180"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5">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79" w:name="fig-problem-strata"/>
          <w:p>
            <w:pPr>
              <w:pStyle w:val="Compact"/>
              <w:jc w:val="center"/>
            </w:pPr>
            <w:r>
              <w:drawing>
                <wp:inline>
                  <wp:extent cx="4620126" cy="6468176"/>
                  <wp:effectExtent b="0" l="0" r="0" t="0"/>
                  <wp:docPr descr="" title="" id="177" name="Picture"/>
                  <a:graphic>
                    <a:graphicData uri="http://schemas.openxmlformats.org/drawingml/2006/picture">
                      <pic:pic>
                        <pic:nvPicPr>
                          <pic:cNvPr descr="methodology_files/figure-docx/fig-problem-strata-1.png" id="178" name="Picture"/>
                          <pic:cNvPicPr>
                            <a:picLocks noChangeArrowheads="1" noChangeAspect="1"/>
                          </pic:cNvPicPr>
                        </pic:nvPicPr>
                        <pic:blipFill>
                          <a:blip r:embed="rId176"/>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79"/>
        </w:tc>
      </w:tr>
    </w:tbl>
    <w:bookmarkEnd w:id="180"/>
    <w:bookmarkStart w:id="189"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4" w:name="fig-sim-recovery"/>
          <w:p>
            <w:pPr>
              <w:pStyle w:val="Compact"/>
              <w:jc w:val="center"/>
            </w:pPr>
            <w:r>
              <w:drawing>
                <wp:inline>
                  <wp:extent cx="4620126" cy="3696101"/>
                  <wp:effectExtent b="0" l="0" r="0" t="0"/>
                  <wp:docPr descr="" title="" id="182" name="Picture"/>
                  <a:graphic>
                    <a:graphicData uri="http://schemas.openxmlformats.org/drawingml/2006/picture">
                      <pic:pic>
                        <pic:nvPicPr>
                          <pic:cNvPr descr="methodology_files/figure-docx/fig-sim-recovery-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4"/>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1       0.05         100 0.00292      0.0122       0.0102 0.0103        0.0493</w:t>
      </w:r>
      <w:r>
        <w:br/>
      </w:r>
      <w:r>
        <w:rPr>
          <w:rStyle w:val="VerbatimChar"/>
        </w:rPr>
        <w:t xml:space="preserve">2       0.1          100 0.00894      0.0197       0.0204 0.0218        0.0787</w:t>
      </w:r>
      <w:r>
        <w:br/>
      </w:r>
      <w:r>
        <w:rPr>
          <w:rStyle w:val="VerbatimChar"/>
        </w:rPr>
        <w:t xml:space="preserve">3       0.15         100 0.0222       0.0276       0.0183 0.0285        0.110 </w:t>
      </w:r>
      <w:r>
        <w:br/>
      </w:r>
      <w:r>
        <w:rPr>
          <w:rStyle w:val="VerbatimChar"/>
        </w:rPr>
        <w:t xml:space="preserve">4       0.2          100 0.0269       0.0332       0.0319 0.0411        0.132 </w:t>
      </w:r>
      <w:r>
        <w:br/>
      </w:r>
      <w:r>
        <w:rPr>
          <w:rStyle w:val="VerbatimChar"/>
        </w:rPr>
        <w:t xml:space="preserve">5       0.5          100 0.0857       0.0786       0.0758 0.113         0.312 </w:t>
      </w:r>
      <w:r>
        <w:br/>
      </w:r>
      <w:r>
        <w:rPr>
          <w:rStyle w:val="VerbatimChar"/>
        </w:rPr>
        <w:t xml:space="preserve">6       0.8          100 0.172        0.143        0.115  0.205         0.568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8" w:name="fig-empirical-se"/>
          <w:p>
            <w:pPr>
              <w:pStyle w:val="Compact"/>
              <w:jc w:val="center"/>
            </w:pPr>
            <w:r>
              <w:drawing>
                <wp:inline>
                  <wp:extent cx="4620126" cy="3696101"/>
                  <wp:effectExtent b="0" l="0" r="0" t="0"/>
                  <wp:docPr descr="" title="" id="186" name="Picture"/>
                  <a:graphic>
                    <a:graphicData uri="http://schemas.openxmlformats.org/drawingml/2006/picture">
                      <pic:pic>
                        <pic:nvPicPr>
                          <pic:cNvPr descr="methodology_files/figure-docx/fig-empirical-se-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8"/>
        </w:tc>
      </w:tr>
    </w:tbl>
    <w:bookmarkEnd w:id="189"/>
    <w:bookmarkStart w:id="195"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0"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0.0197         0.85</w:t>
            </w:r>
            <w:r>
              <w:br/>
            </w:r>
            <w:r>
              <w:rPr>
                <w:rStyle w:val="VerbatimChar"/>
              </w:rPr>
              <w:t xml:space="preserve"> 4       0.1  joint     -0.0290       0.0136      0.0149         0.75</w:t>
            </w:r>
            <w:r>
              <w:br/>
            </w:r>
            <w:r>
              <w:rPr>
                <w:rStyle w:val="VerbatimChar"/>
              </w:rPr>
              <w:t xml:space="preserve"> 5       0.15 composite  0.0222       0.0183      0.0276         0.9 </w:t>
            </w:r>
            <w:r>
              <w:br/>
            </w:r>
            <w:r>
              <w:rPr>
                <w:rStyle w:val="VerbatimChar"/>
              </w:rPr>
              <w:t xml:space="preserve"> 6       0.15 joint     -0.0387       0.0188      0.0207         0.65</w:t>
            </w:r>
            <w:r>
              <w:br/>
            </w:r>
            <w:r>
              <w:rPr>
                <w:rStyle w:val="VerbatimChar"/>
              </w:rPr>
              <w:t xml:space="preserve"> 7       0.2  composite  0.0269       0.0319      0.0332         0.8 </w:t>
            </w:r>
            <w:r>
              <w:br/>
            </w:r>
            <w:r>
              <w:rPr>
                <w:rStyle w:val="VerbatimChar"/>
              </w:rPr>
              <w:t xml:space="preserve"> 8       0.2  joint     -0.0473       0.0260      0.0262         0.7 </w:t>
            </w:r>
            <w:r>
              <w:br/>
            </w:r>
            <w:r>
              <w:rPr>
                <w:rStyle w:val="VerbatimChar"/>
              </w:rPr>
              <w:t xml:space="preserve"> 9       0.5  composite  0.0857       0.0758      0.0786         0.75</w:t>
            </w:r>
            <w:r>
              <w:br/>
            </w:r>
            <w:r>
              <w:rPr>
                <w:rStyle w:val="VerbatimChar"/>
              </w:rPr>
              <w:t xml:space="preserve">10       0.5  joint     -0.142        0.0476      0.0560         0.35</w:t>
            </w:r>
            <w:r>
              <w:br/>
            </w:r>
            <w:r>
              <w:rPr>
                <w:rStyle w:val="VerbatimChar"/>
              </w:rPr>
              <w:t xml:space="preserve">11       0.8  composite  0.172        0.115       0.143          0.75</w:t>
            </w:r>
            <w:r>
              <w:br/>
            </w:r>
            <w:r>
              <w:rPr>
                <w:rStyle w:val="VerbatimChar"/>
              </w:rPr>
              <w:t xml:space="preserve">12       0.8  joint     -0.302        0.0579      0.0846         0.1 </w:t>
            </w:r>
          </w:p>
          <w:bookmarkEnd w:id="190"/>
        </w:tc>
      </w:tr>
    </w:tbl>
    <w:tbl>
      <w:tblPr>
        <w:tblStyle w:val="Table"/>
        <w:tblW w:type="pct" w:w="5000"/>
        <w:tblLayout w:type="fixed"/>
        <w:tblLook w:firstRow="0" w:lastRow="0" w:firstColumn="0" w:lastColumn="0" w:noHBand="0" w:noVBand="0" w:val="0000"/>
      </w:tblPr>
      <w:tblGrid>
        <w:gridCol w:w="7920"/>
      </w:tblGrid>
      <w:tr>
        <w:tc>
          <w:tcPr/>
          <w:bookmarkStart w:id="194" w:name="fig-joint-vs-composite-sim"/>
          <w:p>
            <w:pPr>
              <w:pStyle w:val="Compact"/>
              <w:jc w:val="center"/>
            </w:pPr>
            <w:r>
              <w:drawing>
                <wp:inline>
                  <wp:extent cx="4620126" cy="3696101"/>
                  <wp:effectExtent b="0" l="0" r="0" t="0"/>
                  <wp:docPr descr="" title="" id="192" name="Picture"/>
                  <a:graphic>
                    <a:graphicData uri="http://schemas.openxmlformats.org/drawingml/2006/picture">
                      <pic:pic>
                        <pic:nvPicPr>
                          <pic:cNvPr descr="methodology_files/figure-docx/fig-joint-vs-composite-sim-1.png" id="193" name="Picture"/>
                          <pic:cNvPicPr>
                            <a:picLocks noChangeArrowheads="1" noChangeAspect="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194"/>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195"/>
    <w:bookmarkStart w:id="200"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99" w:name="fig-sim-recovery-renew"/>
          <w:p>
            <w:pPr>
              <w:pStyle w:val="Compact"/>
              <w:jc w:val="center"/>
            </w:pPr>
            <w:r>
              <w:drawing>
                <wp:inline>
                  <wp:extent cx="4620126" cy="3696101"/>
                  <wp:effectExtent b="0" l="0" r="0" t="0"/>
                  <wp:docPr descr="" title="" id="197" name="Picture"/>
                  <a:graphic>
                    <a:graphicData uri="http://schemas.openxmlformats.org/drawingml/2006/picture">
                      <pic:pic>
                        <pic:nvPicPr>
                          <pic:cNvPr descr="methodology_files/figure-docx/fig-sim-recovery-renew-1.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99"/>
        </w:tc>
      </w:tr>
    </w:tbl>
    <w:bookmarkEnd w:id="200"/>
    <w:bookmarkEnd w:id="201"/>
    <w:bookmarkStart w:id="206" w:name="ongoing-and-future-work"/>
    <w:p>
      <w:pPr>
        <w:pStyle w:val="Heading1"/>
      </w:pPr>
      <w:r>
        <w:t xml:space="preserve">9. Ongoing and future work</w:t>
      </w:r>
    </w:p>
    <w:bookmarkStart w:id="203"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57">
        <w:r>
          <w:rPr>
            <w:rStyle w:val="Hyperlink"/>
          </w:rPr>
          <w:t xml:space="preserve">serocalculator Shiny app</w:t>
        </w:r>
      </w:hyperlink>
      <w:r>
        <w:t xml:space="preserve">,</w:t>
      </w:r>
      <w:r>
        <w:t xml:space="preserve"> </w:t>
      </w:r>
      <w:hyperlink r:id="rId202">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03"/>
    <w:bookmarkStart w:id="205"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04">
        <w:r>
          <w:rPr>
            <w:rStyle w:val="Hyperlink"/>
          </w:rPr>
          <w:t xml:space="preserve">UCD-SERG/shigella#13</w:t>
        </w:r>
      </w:hyperlink>
      <w:r>
        <w:t xml:space="preserve">).</w:t>
      </w:r>
    </w:p>
    <w:bookmarkEnd w:id="205"/>
    <w:bookmarkEnd w:id="206"/>
    <w:bookmarkStart w:id="224" w:name="references"/>
    <w:p>
      <w:pPr>
        <w:pStyle w:val="Heading1"/>
      </w:pPr>
      <w:r>
        <w:t xml:space="preserve">References</w:t>
      </w:r>
    </w:p>
    <w:bookmarkStart w:id="223" w:name="refs"/>
    <w:bookmarkStart w:id="208"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07">
        <w:r>
          <w:rPr>
            <w:rStyle w:val="Hyperlink"/>
          </w:rPr>
          <w:t xml:space="preserve">https://doi.org/10.1016/S2666-5247(22)00114-8</w:t>
        </w:r>
      </w:hyperlink>
      <w:r>
        <w:t xml:space="preserve">.</w:t>
      </w:r>
    </w:p>
    <w:bookmarkEnd w:id="208"/>
    <w:bookmarkStart w:id="210"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09">
        <w:r>
          <w:rPr>
            <w:rStyle w:val="Hyperlink"/>
          </w:rPr>
          <w:t xml:space="preserve">https://doi.org/10.1016/j.epidem.2024.100806</w:t>
        </w:r>
      </w:hyperlink>
      <w:r>
        <w:t xml:space="preserve">.</w:t>
      </w:r>
    </w:p>
    <w:bookmarkEnd w:id="210"/>
    <w:bookmarkStart w:id="211"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11"/>
    <w:bookmarkStart w:id="213"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12">
        <w:r>
          <w:rPr>
            <w:rStyle w:val="Hyperlink"/>
          </w:rPr>
          <w:t xml:space="preserve">https://doi.org/10.1093/biomet/73.1.13</w:t>
        </w:r>
      </w:hyperlink>
      <w:r>
        <w:t xml:space="preserve">.</w:t>
      </w:r>
    </w:p>
    <w:bookmarkEnd w:id="213"/>
    <w:bookmarkStart w:id="215"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14">
        <w:r>
          <w:rPr>
            <w:rStyle w:val="Hyperlink"/>
          </w:rPr>
          <w:t xml:space="preserve">https://doi.org/10.1159/000286345</w:t>
        </w:r>
      </w:hyperlink>
      <w:r>
        <w:t xml:space="preserve">.</w:t>
      </w:r>
    </w:p>
    <w:bookmarkEnd w:id="215"/>
    <w:bookmarkStart w:id="217"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16">
        <w:r>
          <w:rPr>
            <w:rStyle w:val="Hyperlink"/>
          </w:rPr>
          <w:t xml:space="preserve">https://doi.org/10.1002/sim.8578</w:t>
        </w:r>
      </w:hyperlink>
      <w:r>
        <w:t xml:space="preserve">.</w:t>
      </w:r>
    </w:p>
    <w:bookmarkEnd w:id="217"/>
    <w:bookmarkStart w:id="219"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8">
        <w:r>
          <w:rPr>
            <w:rStyle w:val="Hyperlink"/>
          </w:rPr>
          <w:t xml:space="preserve">https://doi.org/10.1016/j.epidem.2016.04.001</w:t>
        </w:r>
      </w:hyperlink>
      <w:r>
        <w:t xml:space="preserve">.</w:t>
      </w:r>
    </w:p>
    <w:bookmarkEnd w:id="219"/>
    <w:bookmarkStart w:id="220"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20"/>
    <w:bookmarkStart w:id="22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21"/>
    <w:bookmarkStart w:id="222"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22"/>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02" Target="media/rId102.svg" /><Relationship Type="http://schemas.openxmlformats.org/officeDocument/2006/relationships/image" Id="rId134" Target="media/rId134.png" /><Relationship Type="http://schemas.openxmlformats.org/officeDocument/2006/relationships/image" Id="rId158" Target="media/rId158.png" /><Relationship Type="http://schemas.openxmlformats.org/officeDocument/2006/relationships/image" Id="rId170" Target="media/rId170.png" /><Relationship Type="http://schemas.openxmlformats.org/officeDocument/2006/relationships/image" Id="rId110" Target="media/rId110.png" /><Relationship Type="http://schemas.openxmlformats.org/officeDocument/2006/relationships/image" Id="rId185" Target="media/rId185.png" /><Relationship Type="http://schemas.openxmlformats.org/officeDocument/2006/relationships/image" Id="rId151" Target="media/rId151.png" /><Relationship Type="http://schemas.openxmlformats.org/officeDocument/2006/relationships/image" Id="rId60" Target="media/rId60.png" /><Relationship Type="http://schemas.openxmlformats.org/officeDocument/2006/relationships/image" Id="rId191" Target="media/rId191.png" /><Relationship Type="http://schemas.openxmlformats.org/officeDocument/2006/relationships/image" Id="rId116" Target="media/rId116.png" /><Relationship Type="http://schemas.openxmlformats.org/officeDocument/2006/relationships/image" Id="rId176" Target="media/rId176.png" /><Relationship Type="http://schemas.openxmlformats.org/officeDocument/2006/relationships/image" Id="rId97" Target="media/rId97.png" /><Relationship Type="http://schemas.openxmlformats.org/officeDocument/2006/relationships/image" Id="rId146" Target="media/rId146.png" /><Relationship Type="http://schemas.openxmlformats.org/officeDocument/2006/relationships/image" Id="rId163" Target="media/rId163.png" /><Relationship Type="http://schemas.openxmlformats.org/officeDocument/2006/relationships/image" Id="rId181" Target="media/rId181.png" /><Relationship Type="http://schemas.openxmlformats.org/officeDocument/2006/relationships/image" Id="rId196" Target="media/rId196.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6" Target="https://doi.org/10.1002/sim.8578" TargetMode="External" /><Relationship Type="http://schemas.openxmlformats.org/officeDocument/2006/relationships/hyperlink" Id="rId207" Target="https://doi.org/10.1016/S2666-5247(22)00114-8" TargetMode="External" /><Relationship Type="http://schemas.openxmlformats.org/officeDocument/2006/relationships/hyperlink" Id="rId218" Target="https://doi.org/10.1016/j.epidem.2016.04.001" TargetMode="External" /><Relationship Type="http://schemas.openxmlformats.org/officeDocument/2006/relationships/hyperlink" Id="rId209" Target="https://doi.org/10.1016/j.epidem.2024.100806" TargetMode="External" /><Relationship Type="http://schemas.openxmlformats.org/officeDocument/2006/relationships/hyperlink" Id="rId212" Target="https://doi.org/10.1093/biomet/73.1.13" TargetMode="External" /><Relationship Type="http://schemas.openxmlformats.org/officeDocument/2006/relationships/hyperlink" Id="rId214"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4" Target="https://github.com/UCD-SERG/shigella/pull/13" TargetMode="External" /><Relationship Type="http://schemas.openxmlformats.org/officeDocument/2006/relationships/hyperlink" Id="rId202"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6" Target="https://doi.org/10.1002/sim.8578" TargetMode="External" /><Relationship Type="http://schemas.openxmlformats.org/officeDocument/2006/relationships/hyperlink" Id="rId207" Target="https://doi.org/10.1016/S2666-5247(22)00114-8" TargetMode="External" /><Relationship Type="http://schemas.openxmlformats.org/officeDocument/2006/relationships/hyperlink" Id="rId218" Target="https://doi.org/10.1016/j.epidem.2016.04.001" TargetMode="External" /><Relationship Type="http://schemas.openxmlformats.org/officeDocument/2006/relationships/hyperlink" Id="rId209" Target="https://doi.org/10.1016/j.epidem.2024.100806" TargetMode="External" /><Relationship Type="http://schemas.openxmlformats.org/officeDocument/2006/relationships/hyperlink" Id="rId212" Target="https://doi.org/10.1093/biomet/73.1.13" TargetMode="External" /><Relationship Type="http://schemas.openxmlformats.org/officeDocument/2006/relationships/hyperlink" Id="rId214"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4" Target="https://github.com/UCD-SERG/shigella/pull/13" TargetMode="External" /><Relationship Type="http://schemas.openxmlformats.org/officeDocument/2006/relationships/hyperlink" Id="rId202"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2026-09-09T01:07:28Z</dcterms:created>
  <dcterms:modified xsi:type="dcterms:W3CDTF">2026-09-09T01:07:28Z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