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6.jpg" ContentType="image/jpeg"/>
  <Override PartName="/word/media/rId21.jpg" ContentType="image/jpeg"/>
  <Override PartName="/word/media/rId99.png" ContentType="image/png"/>
  <Override PartName="/word/media/rId103.png" ContentType="image/png"/>
  <Override PartName="/word/media/rId86.svg" ContentType="image/svg+xml"/>
  <Override PartName="/word/media/rId112.png" ContentType="image/png"/>
  <Override PartName="/word/media/rId124.png" ContentType="image/png"/>
  <Override PartName="/word/media/rId130.png" ContentType="image/png"/>
  <Override PartName="/word/media/rId51.png" ContentType="image/png"/>
  <Override PartName="/word/media/rId94.png" ContentType="image/png"/>
  <Override PartName="/word/media/rId81.png" ContentType="image/png"/>
  <Override PartName="/word/media/rId28.png" ContentType="image/png"/>
  <Override PartName="/word/media/rId59.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Invalid Date</w:t>
      </w:r>
    </w:p>
    <w:bookmarkStart w:id="27" w:name="infectious-disease-epidemiology"/>
    <w:p>
      <w:pPr>
        <w:pStyle w:val="Heading1"/>
      </w:pPr>
      <w:r>
        <w:t xml:space="preserve">1. Infectious disease epidemiology</w:t>
      </w:r>
    </w:p>
    <w:bookmarkStart w:id="15"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FirstParagraph"/>
      </w:pPr>
      <w:r>
        <w:drawing>
          <wp:inline>
            <wp:extent cx="5334000" cy="2955036"/>
            <wp:effectExtent b="0" l="0" r="0" t="0"/>
            <wp:docPr descr="Salmonella Typhi, flagellar stain. Photo: CDC/PHIL (public domain), via Wikimedia Commons."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r>
        <w:t xml:space="preserve"> </w:t>
      </w: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bookmarkEnd w:id="15"/>
    <w:bookmarkStart w:id="20"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7" name="Picture"/>
            <a:graphic>
              <a:graphicData uri="http://schemas.openxmlformats.org/drawingml/2006/picture">
                <pic:pic>
                  <pic:nvPicPr>
                    <pic:cNvPr descr="../man/figures/Shigella_stool.jpg" id="18" name="Picture"/>
                    <pic:cNvPicPr>
                      <a:picLocks noChangeArrowheads="1" noChangeAspect="1"/>
                    </pic:cNvPicPr>
                  </pic:nvPicPr>
                  <pic:blipFill>
                    <a:blip r:embed="rId16"/>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19">
        <w:r>
          <w:rPr>
            <w:rStyle w:val="Hyperlink"/>
          </w:rPr>
          <w:t xml:space="preserve">Wikimedia Commons</w:t>
        </w:r>
      </w:hyperlink>
      <w:r>
        <w:t xml:space="preserve">.</w:t>
      </w:r>
    </w:p>
    <w:bookmarkEnd w:id="20"/>
    <w:bookmarkStart w:id="26"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2" name="Picture"/>
            <a:graphic>
              <a:graphicData uri="http://schemas.openxmlformats.org/drawingml/2006/picture">
                <pic:pic>
                  <pic:nvPicPr>
                    <pic:cNvPr descr="../man/figures/Trombicula-larva-stylostome.jpg" id="23" name="Picture"/>
                    <pic:cNvPicPr>
                      <a:picLocks noChangeArrowheads="1" noChangeAspect="1"/>
                    </pic:cNvPicPr>
                  </pic:nvPicPr>
                  <pic:blipFill>
                    <a:blip r:embed="rId2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4">
        <w:r>
          <w:rPr>
            <w:rStyle w:val="Hyperlink"/>
          </w:rPr>
          <w:t xml:space="preserve">Wikimedia Commons</w:t>
        </w:r>
      </w:hyperlink>
      <w:r>
        <w:t xml:space="preserve">,</w:t>
      </w:r>
      <w:r>
        <w:t xml:space="preserve"> </w:t>
      </w:r>
      <w:hyperlink r:id="rId25">
        <w:r>
          <w:rPr>
            <w:rStyle w:val="Hyperlink"/>
          </w:rPr>
          <w:t xml:space="preserve">CC BY-SA 3.0</w:t>
        </w:r>
      </w:hyperlink>
      <w:r>
        <w:t xml:space="preserve">.</w:t>
      </w:r>
    </w:p>
    <w:bookmarkEnd w:id="26"/>
    <w:bookmarkEnd w:id="27"/>
    <w:bookmarkStart w:id="39" w:name="why-estimate-incidence-from-serosurveys"/>
    <w:p>
      <w:pPr>
        <w:pStyle w:val="Heading1"/>
      </w:pPr>
      <w:r>
        <w:t xml:space="preserve">2. Why estimate incidence from serosurveys?</w:t>
      </w:r>
    </w:p>
    <w:bookmarkStart w:id="31"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29" name="Picture"/>
            <a:graphic>
              <a:graphicData uri="http://schemas.openxmlformats.org/drawingml/2006/picture">
                <pic:pic>
                  <pic:nvPicPr>
                    <pic:cNvPr descr="methodology_files/figure-docx/unnamed-chunk-1-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1"/>
    <w:bookmarkStart w:id="32"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2"/>
    <w:bookmarkStart w:id="35" w:name="defining-incidence"/>
    <w:p>
      <w:pPr>
        <w:pStyle w:val="Heading2"/>
      </w:pPr>
      <w:r>
        <w:t xml:space="preserve">2.3 Defining incidence</w:t>
      </w:r>
    </w:p>
    <w:bookmarkStart w:id="33" w:name="def-incidence"/>
    <w:p>
      <w:pPr>
        <w:pStyle w:val="FirstParagraph"/>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3"/>
    <w:bookmarkStart w:id="34"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4"/>
    <w:bookmarkEnd w:id="35"/>
    <w:bookmarkStart w:id="36"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6"/>
    <w:bookmarkStart w:id="37"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7"/>
    <w:bookmarkStart w:id="38"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8"/>
    <w:bookmarkEnd w:id="39"/>
    <w:bookmarkStart w:id="43" w:name="X692dd3848eaa2be35c7162f2cc08762f080ab63"/>
    <w:p>
      <w:pPr>
        <w:pStyle w:val="Heading1"/>
      </w:pPr>
      <w:r>
        <w:t xml:space="preserve">3. Study designs for estimating incidence rates</w:t>
      </w:r>
    </w:p>
    <w:bookmarkStart w:id="40"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0"/>
    <w:bookmarkStart w:id="41"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1"/>
    <w:bookmarkStart w:id="42"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overview</w:t>
      </w:r>
    </w:p>
    <w:bookmarkEnd w:id="42"/>
    <w:bookmarkEnd w:id="43"/>
    <w:bookmarkStart w:id="76" w:name="Xbe5ebe555b3ef679e4d759bfe9ee88c74ef3ef7"/>
    <w:p>
      <w:pPr>
        <w:pStyle w:val="Heading1"/>
      </w:pPr>
      <w:r>
        <w:t xml:space="preserve">4. Estimating incidence from cross-sectional serosurveys</w:t>
      </w:r>
    </w:p>
    <w:bookmarkStart w:id="44"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4"/>
    <w:bookmarkStart w:id="45"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5"/>
    <w:bookmarkStart w:id="46"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6"/>
    <w:bookmarkStart w:id="48" w:name="modeling-assumptions"/>
    <w:p>
      <w:pPr>
        <w:pStyle w:val="Heading2"/>
      </w:pPr>
      <w:r>
        <w:t xml:space="preserve">4.4 Modeling assumptions</w:t>
      </w:r>
    </w:p>
    <w:p>
      <w:pPr>
        <w:pStyle w:val="FirstParagraph"/>
      </w:pPr>
      <w:r>
        <w:t xml:space="preserve">We</w:t>
      </w:r>
      <w:r>
        <w:t xml:space="preserve"> </w:t>
      </w:r>
      <w:r>
        <w:rPr>
          <w:b/>
          <w:bCs/>
        </w:rPr>
        <w:t xml:space="preserve">assume</w:t>
      </w:r>
      <w:r>
        <w:t xml:space="preserve"> </w:t>
      </w:r>
      <w:r>
        <w:t xml:space="preserve">that:</w:t>
      </w:r>
    </w:p>
    <w:p>
      <w:pPr>
        <w:pStyle w:val="Compact"/>
        <w:numPr>
          <w:ilvl w:val="0"/>
          <w:numId w:val="1014"/>
        </w:numPr>
      </w:pPr>
      <w:r>
        <w:t xml:space="preserve">The incidence rate is approximately</w:t>
      </w:r>
      <w:r>
        <w:t xml:space="preserve"> </w:t>
      </w:r>
      <w:r>
        <w:rPr>
          <w:b/>
          <w:bCs/>
        </w:rPr>
        <w:t xml:space="preserve">constant</w:t>
      </w:r>
      <w:r>
        <w:t xml:space="preserve"> </w:t>
      </w:r>
      <w:r>
        <w:rPr>
          <w:b/>
          <w:bCs/>
        </w:rPr>
        <w:t xml:space="preserve">over time</w:t>
      </w:r>
      <w:r>
        <w:t xml:space="preserve"> </w:t>
      </w:r>
      <w:r>
        <w:t xml:space="preserve">and</w:t>
      </w:r>
      <w:r>
        <w:t xml:space="preserve"> </w:t>
      </w:r>
      <w:r>
        <w:rPr>
          <w:b/>
          <w:bCs/>
        </w:rPr>
        <w:t xml:space="preserve">across the population</w:t>
      </w:r>
      <w:r>
        <w:t xml:space="preserve"> </w:t>
      </w:r>
      <w:r>
        <w:t xml:space="preserve">(</w:t>
      </w:r>
      <w:r>
        <w:t xml:space="preserve">“</w:t>
      </w:r>
      <w:r>
        <w:rPr>
          <w:b/>
          <w:bCs/>
        </w:rPr>
        <w:t xml:space="preserve">constant and homogenous incidence</w:t>
      </w:r>
      <w:r>
        <w:t xml:space="preserve">”</w:t>
      </w:r>
      <w:r>
        <w:t xml:space="preserve">)</w:t>
      </w:r>
    </w:p>
    <w:p>
      <w:pPr>
        <w:pStyle w:val="Compact"/>
        <w:numPr>
          <w:ilvl w:val="0"/>
          <w:numId w:val="1015"/>
        </w:numPr>
      </w:pPr>
      <w:r>
        <w:t xml:space="preserve">that is:</w:t>
      </w:r>
    </w:p>
    <w:p>
      <w:pPr>
        <w:pStyle w:val="Compact"/>
      </w:pPr>
      <m:oMathPara>
        <m:oMathParaPr>
          <m:jc m:val="center"/>
        </m:oMathParaPr>
        <m:oMath>
          <m:sSub>
            <m:e>
              <m:r>
                <m:t>λ</m:t>
              </m:r>
            </m:e>
            <m:sub>
              <m:r>
                <m:t>i</m:t>
              </m:r>
              <m:r>
                <m:rPr>
                  <m:sty m:val="p"/>
                </m:rPr>
                <m:t>,</m:t>
              </m:r>
              <m:r>
                <m:t>t</m:t>
              </m:r>
            </m:sub>
          </m:sSub>
          <m:r>
            <m:rPr>
              <m:sty m:val="p"/>
            </m:rPr>
            <m:t>=</m:t>
          </m:r>
          <m:r>
            <m:t>λ</m:t>
          </m:r>
          <m:r>
            <m:rPr>
              <m:sty m:val="p"/>
            </m:rPr>
            <m:t>,</m:t>
          </m:r>
          <m:r>
            <m:rPr>
              <m:sty m:val="p"/>
            </m:rPr>
            <m:t>∀</m:t>
          </m:r>
          <m:r>
            <m:t>i</m:t>
          </m:r>
          <m:r>
            <m:rPr>
              <m:sty m:val="p"/>
            </m:rPr>
            <m:t>,</m:t>
          </m:r>
          <m:r>
            <m:t>t</m:t>
          </m:r>
        </m:oMath>
      </m:oMathPara>
    </w:p>
    <w:p>
      <w:pPr>
        <w:pStyle w:val="FirstParagraph"/>
      </w:pPr>
      <w:r>
        <w:t xml:space="preserve">(We can analyze subpopulations separately to make homogeneity more plausible.)</w:t>
      </w:r>
    </w:p>
    <w:p>
      <w:pPr>
        <w:pStyle w:val="Compact"/>
        <w:numPr>
          <w:ilvl w:val="0"/>
          <w:numId w:val="1016"/>
        </w:numPr>
      </w:pPr>
      <w:r>
        <w:t xml:space="preserve">Participants are always at risk of a new infection,</w:t>
      </w:r>
      <w:r>
        <w:t xml:space="preserve"> </w:t>
      </w:r>
      <w:r>
        <w:t xml:space="preserve">regardless of how recently they have been infected</w:t>
      </w:r>
      <w:r>
        <w:t xml:space="preserve"> </w:t>
      </w:r>
      <w:r>
        <w:t xml:space="preserve">(</w:t>
      </w:r>
      <w:r>
        <w:t xml:space="preserve">“</w:t>
      </w:r>
      <w:r>
        <w:rPr>
          <w:b/>
          <w:bCs/>
        </w:rPr>
        <w:t xml:space="preserve">no lasting immunity</w:t>
      </w:r>
      <w:r>
        <w:t xml:space="preserve">”</w:t>
      </w:r>
      <w:r>
        <w:t xml:space="preserve">).</w:t>
      </w:r>
    </w:p>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7">
        <w:r>
          <w:rPr>
            <w:rStyle w:val="Hyperlink"/>
          </w:rPr>
          <w:t xml:space="preserve">on our to-do list</w:t>
        </w:r>
      </w:hyperlink>
      <w:r>
        <w:t xml:space="preserve">).</w:t>
      </w:r>
    </w:p>
    <w:bookmarkEnd w:id="48"/>
    <w:bookmarkStart w:id="49" w:name="time-since-infection-and-incidence"/>
    <w:p>
      <w:pPr>
        <w:pStyle w:val="Heading2"/>
      </w:pPr>
      <w:r>
        <w:t xml:space="preserve">4.5 Time since infection and incidence</w:t>
      </w:r>
    </w:p>
    <w:p>
      <w:pPr>
        <w:pStyle w:val="FirstParagraph"/>
      </w:pPr>
      <w:r>
        <w:t xml:space="preserve">Under those assumptions:</w:t>
      </w:r>
    </w:p>
    <w:p>
      <w:pPr>
        <w:pStyle w:val="BodyText"/>
      </w:pPr>
      <w:r>
        <w:t xml:space="preserve">. . .</w:t>
      </w:r>
    </w:p>
    <w:p>
      <w:pPr>
        <w:pStyle w:val="Compact"/>
        <w:numPr>
          <w:ilvl w:val="0"/>
          <w:numId w:val="1017"/>
        </w:numPr>
      </w:pPr>
      <m:oMath>
        <m:r>
          <m:t>T</m:t>
        </m:r>
      </m:oMath>
      <w:r>
        <w:t xml:space="preserve"> </w:t>
      </w:r>
      <w:r>
        <w:t xml:space="preserve">has an</w:t>
      </w:r>
      <w:r>
        <w:t xml:space="preserve"> </w:t>
      </w:r>
      <w:r>
        <w:rPr>
          <w:b/>
          <w:bCs/>
        </w:rPr>
        <w:t xml:space="preserve">exponential distribution</w:t>
      </w:r>
      <w:r>
        <w:t xml:space="preserve">:</w:t>
      </w:r>
    </w:p>
    <w:p>
      <w:pPr>
        <w:pStyle w:val="FirstParagraph"/>
      </w:pPr>
      <w:r>
        <w:t xml:space="preserve">. . .</w:t>
      </w:r>
    </w:p>
    <w:p>
      <w:pPr>
        <w:pStyle w:val="BodyText"/>
      </w:pPr>
      <w:r>
        <w:t xml:space="preserve">$$\operatorname{p}(T=t) =  \textcolor{red}{\lambda\operatorname{exp}\mathopen{}\left\{-\lambda t\right\}\mathclose{}}$$</w:t>
      </w:r>
    </w:p>
    <w:p>
      <w:pPr>
        <w:pStyle w:val="FirstParagraph"/>
      </w:pPr>
      <w:r>
        <w:t xml:space="preserve">. . .</w:t>
      </w:r>
    </w:p>
    <w:p>
      <w:pPr>
        <w:pStyle w:val="Compact"/>
        <w:numPr>
          <w:ilvl w:val="0"/>
          <w:numId w:val="1018"/>
        </w:numPr>
      </w:pPr>
      <w:r>
        <w:t xml:space="preserve">More precisely, the distribution is exponential</w:t>
      </w:r>
      <w:r>
        <w:t xml:space="preserve"> </w:t>
      </w:r>
      <w:r>
        <w:rPr>
          <w:b/>
          <w:bCs/>
        </w:rPr>
        <w:t xml:space="preserve">truncated by age</w:t>
      </w:r>
      <w:r>
        <w:t xml:space="preserve"> </w:t>
      </w:r>
      <w:r>
        <w:t xml:space="preserve">at observation (</w:t>
      </w:r>
      <m:oMath>
        <m:r>
          <m:t>a</m:t>
        </m:r>
      </m:oMath>
      <w:r>
        <w:t xml:space="preserve">):</w:t>
      </w:r>
    </w:p>
    <w:p>
      <w:pPr>
        <w:pStyle w:val="FirstParagraph"/>
      </w:pPr>
      <w:r>
        <w:t xml:space="preserve">. . .</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 . .</w:t>
      </w:r>
    </w:p>
    <w:p>
      <w:pPr>
        <w:pStyle w:val="Compact"/>
        <w:numPr>
          <w:ilvl w:val="0"/>
          <w:numId w:val="1019"/>
        </w:numPr>
      </w:pPr>
      <w:r>
        <w:t xml:space="preserve">the rate parameter</w:t>
      </w:r>
      <w:r>
        <w:t xml:space="preserve"> </w:t>
      </w:r>
      <m:oMath>
        <m:r>
          <m:t>λ</m:t>
        </m:r>
      </m:oMath>
      <w:r>
        <w:t xml:space="preserve"> </w:t>
      </w:r>
      <w:r>
        <w:t xml:space="preserve">is the incidence rate</w:t>
      </w:r>
    </w:p>
    <w:p>
      <w:pPr>
        <w:pStyle w:val="FirstParagraph"/>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49"/>
    <w:bookmarkStart w:id="50" w:name="likelihood-of-latent-infection-times"/>
    <w:p>
      <w:pPr>
        <w:pStyle w:val="Heading2"/>
      </w:pPr>
      <w:r>
        <w:t xml:space="preserve">4.6 Likelihood of latent infection times</w:t>
      </w:r>
    </w:p>
    <w:p>
      <w:pPr>
        <w:pStyle w:val="FirstParagraph"/>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r>
                <m:t>λ</m:t>
              </m:r>
            </m:e>
          </m:d>
          <m:r>
            <m:t>​</m:t>
          </m:r>
          <m:r>
            <m:rPr>
              <m:sty m:val="p"/>
            </m:rPr>
            <m:t>−</m:t>
          </m:r>
          <m:r>
            <m:t>λ</m:t>
          </m:r>
          <m:sSub>
            <m:e>
              <m:r>
                <m:t>t</m:t>
              </m:r>
            </m:e>
            <m:sub>
              <m:r>
                <m:t>i</m:t>
              </m:r>
            </m:sub>
          </m:sSub>
        </m:oMath>
      </m:oMathPara>
    </w:p>
    <w:p>
      <w:pPr>
        <w:pStyle w:val="FirstParagraph"/>
      </w:pPr>
      <w:r>
        <w:t xml:space="preserve">. . .</w:t>
      </w:r>
    </w:p>
    <w:p>
      <w:pPr>
        <w:pStyle w:val="BodyText"/>
      </w:pPr>
      <w:r>
        <w:t xml:space="preserve">Taking the derivative of that log-likelihood to find the score function:</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sSup>
            <m:e>
              <m:d>
                <m:dPr>
                  <m:begChr m:val="("/>
                  <m:sepChr m:val=""/>
                  <m:endChr m:val=")"/>
                  <m:grow/>
                </m:dPr>
                <m:e>
                  <m:r>
                    <m:t>λ</m:t>
                  </m:r>
                </m:e>
              </m:d>
            </m:e>
            <m:sup>
              <m:r>
                <m:rPr>
                  <m:sty m:val="p"/>
                </m:rPr>
                <m:t>−</m:t>
              </m:r>
              <m:r>
                <m:t>1</m:t>
              </m:r>
            </m:sup>
          </m:sSup>
          <m:r>
            <m:t>​</m:t>
          </m:r>
          <m:r>
            <m:rPr>
              <m:sty m:val="p"/>
            </m:rPr>
            <m:t>−</m:t>
          </m:r>
          <m:sSub>
            <m:e>
              <m:r>
                <m:t>t</m:t>
              </m:r>
            </m:e>
            <m:sub>
              <m:r>
                <m:t>i</m:t>
              </m:r>
            </m:sub>
          </m:sSub>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p>
      <w:pPr>
        <w:pStyle w:val="FirstParagraph"/>
      </w:pPr>
      <w:r>
        <w:t xml:space="preserve">The MLE turns out to be the inverse of the mean.</w:t>
      </w:r>
    </w:p>
    <w:bookmarkEnd w:id="50"/>
    <w:bookmarkStart w:id="55" w:name="example-log-likelihood-curves"/>
    <w:p>
      <w:pPr>
        <w:pStyle w:val="Heading2"/>
      </w:pPr>
      <w:r>
        <w:t xml:space="preserve">4.7 Example log-likelihood curves</w:t>
      </w:r>
    </w:p>
    <w:p>
      <w:pPr>
        <w:pStyle w:val="FirstParagraph"/>
      </w:pPr>
      <w:r>
        <w:t xml:space="preserve">Here’s what that would look like:</w:t>
      </w:r>
    </w:p>
    <w:p>
      <w:pPr>
        <w:pStyle w:val="SourceCode"/>
      </w:pPr>
      <w:r>
        <w:br/>
      </w:r>
      <w:r>
        <w:rPr>
          <w:rStyle w:val="VerbatimChar"/>
        </w:rPr>
        <w:t xml:space="preserve">Attaching package: 'serocalculator'</w:t>
      </w:r>
    </w:p>
    <w:p>
      <w:pPr>
        <w:pStyle w:val="SourceCode"/>
      </w:pPr>
      <w:r>
        <w:rPr>
          <w:rStyle w:val="VerbatimChar"/>
        </w:rPr>
        <w:t xml:space="preserve">The following object is masked from 'package:serodynamics':</w:t>
      </w:r>
      <w:r>
        <w:br/>
      </w:r>
      <w:r>
        <w:br/>
      </w:r>
      <w:r>
        <w:rPr>
          <w:rStyle w:val="VerbatimChar"/>
        </w:rPr>
        <w:t xml:space="preserve">    expect_snapshot_data</w:t>
      </w:r>
    </w:p>
    <w:p>
      <w:pPr>
        <w:pStyle w:val="SourceCode"/>
      </w:pPr>
      <w:r>
        <w:br/>
      </w:r>
      <w:r>
        <w:rPr>
          <w:rStyle w:val="VerbatimChar"/>
        </w:rPr>
        <w:t xml:space="preserve">Attaching package: 'dplyr'</w:t>
      </w:r>
    </w:p>
    <w:p>
      <w:pPr>
        <w:pStyle w:val="SourceCode"/>
      </w:pPr>
      <w:r>
        <w:rPr>
          <w:rStyle w:val="VerbatimChar"/>
        </w:rPr>
        <w:t xml:space="preserve">The following objects are masked from 'package:stats':</w:t>
      </w:r>
      <w:r>
        <w:br/>
      </w:r>
      <w:r>
        <w:br/>
      </w:r>
      <w:r>
        <w:rPr>
          <w:rStyle w:val="VerbatimChar"/>
        </w:rPr>
        <w:t xml:space="preserve">    filter, lag</w:t>
      </w:r>
    </w:p>
    <w:p>
      <w:pPr>
        <w:pStyle w:val="SourceCode"/>
      </w:pPr>
      <w:r>
        <w:rPr>
          <w:rStyle w:val="VerbatimChar"/>
        </w:rPr>
        <w:t xml:space="preserve">The following objects are masked from 'package:base':</w:t>
      </w:r>
      <w:r>
        <w:br/>
      </w:r>
      <w:r>
        <w:br/>
      </w:r>
      <w:r>
        <w:rPr>
          <w:rStyle w:val="VerbatimChar"/>
        </w:rPr>
        <w:t xml:space="preserve">    intersect, setdiff, setequal, union</w:t>
      </w:r>
    </w:p>
    <w:tbl>
      <w:tblPr>
        <w:tblStyle w:val="Table"/>
        <w:tblW w:type="pct" w:w="5000"/>
        <w:tblLayout w:type="fixed"/>
        <w:tblLook w:firstRow="0" w:lastRow="0" w:firstColumn="0" w:lastColumn="0" w:noHBand="0" w:noVBand="0" w:val="0000"/>
      </w:tblPr>
      <w:tblGrid>
        <w:gridCol w:w="7920"/>
      </w:tblGrid>
      <w:tr>
        <w:tc>
          <w:tcPr/>
          <w:bookmarkStart w:id="54" w:name="fig-ex-lik-curves"/>
          <w:p>
            <w:pPr>
              <w:pStyle w:val="Compact"/>
              <w:jc w:val="center"/>
            </w:pPr>
            <w:r>
              <w:drawing>
                <wp:inline>
                  <wp:extent cx="4620126" cy="3696101"/>
                  <wp:effectExtent b="0" l="0" r="0" t="0"/>
                  <wp:docPr descr="" title="" id="52" name="Picture"/>
                  <a:graphic>
                    <a:graphicData uri="http://schemas.openxmlformats.org/drawingml/2006/picture">
                      <pic:pic>
                        <pic:nvPicPr>
                          <pic:cNvPr descr="methodology_files/figure-docx/fig-ex-lik-curves-1.png" id="53" name="Picture"/>
                          <pic:cNvPicPr>
                            <a:picLocks noChangeArrowheads="1" noChangeAspect="1"/>
                          </pic:cNvPicPr>
                        </pic:nvPicPr>
                        <pic:blipFill>
                          <a:blip r:embed="rId5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54"/>
        </w:tc>
      </w:tr>
    </w:tbl>
    <w:bookmarkEnd w:id="55"/>
    <w:bookmarkStart w:id="56" w:name="standard-errors"/>
    <w:p>
      <w:pPr>
        <w:pStyle w:val="Heading2"/>
      </w:pPr>
      <w:r>
        <w:t xml:space="preserve">4.8 Standard errors</w:t>
      </w:r>
    </w:p>
    <w:p>
      <w:pPr>
        <w:pStyle w:val="FirstParagraph"/>
      </w:pPr>
      <w:r>
        <w:t xml:space="preserve">The standard error of the estimate is approximately equal to</w:t>
      </w:r>
      <w:r>
        <w:t xml:space="preserve"> </w:t>
      </w:r>
      <w:r>
        <w:t xml:space="preserve">the inverse of the curvature (2nd derivative, aka Hessian)</w:t>
      </w:r>
      <w:r>
        <w:t xml:space="preserve"> </w:t>
      </w:r>
      <w:r>
        <w:t xml:space="preserve">of the log-likelihood function, at the maximum:</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smaller standard errors</w:t>
      </w:r>
    </w:p>
    <w:bookmarkEnd w:id="56"/>
    <w:bookmarkStart w:id="57" w:name="hessian-for-the-exponential-model"/>
    <w:p>
      <w:pPr>
        <w:pStyle w:val="Heading2"/>
      </w:pPr>
      <w:r>
        <w:t xml:space="preserve">4.9 Hessian for the exponential model</w:t>
      </w:r>
    </w:p>
    <w:p>
      <w:pPr>
        <w:pStyle w:val="FirstParagraph"/>
      </w:pPr>
      <w:r>
        <w:t xml:space="preserve">For the latent-time exponential model,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the score and the Hessian (here a scalar second derivative)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The observed information is</w:t>
      </w:r>
      <w:r>
        <w:t xml:space="preserve"> </w:t>
      </w:r>
      <m:oMath>
        <m:r>
          <m:rPr>
            <m:scr m:val="script"/>
            <m:sty m:val="p"/>
          </m:rPr>
          <m:t>I</m:t>
        </m:r>
        <m:r>
          <m:rPr>
            <m:sty m:val="p"/>
          </m:rPr>
          <m:t>(</m:t>
        </m:r>
        <m:r>
          <m:t>λ</m:t>
        </m:r>
        <m:r>
          <m:rPr>
            <m:sty m:val="p"/>
          </m:rPr>
          <m:t>)</m:t>
        </m:r>
        <m:r>
          <m:rPr>
            <m:sty m:val="p"/>
          </m:rPr>
          <m:t>=</m:t>
        </m:r>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Evaluated at the MLE</w:t>
      </w:r>
      <w:r>
        <w:t xml:space="preserve"> </w:t>
      </w:r>
      <m:oMath>
        <m:acc>
          <m:accPr>
            <m:chr m:val="̂"/>
          </m:accPr>
          <m:e>
            <m:r>
              <m:t>λ</m:t>
            </m:r>
          </m:e>
        </m:acc>
        <m:r>
          <m:rPr>
            <m:sty m:val="p"/>
          </m:rPr>
          <m:t>=</m:t>
        </m:r>
        <m:r>
          <m:t>1</m:t>
        </m:r>
        <m:r>
          <m:rPr>
            <m:sty m:val="p"/>
          </m:rPr>
          <m:t>/</m:t>
        </m:r>
        <m:acc>
          <m:accPr>
            <m:chr m:val="‾"/>
          </m:accPr>
          <m:e>
            <m:r>
              <m:t>t</m:t>
            </m:r>
          </m:e>
        </m:acc>
      </m:oMath>
      <w:r>
        <w:t xml:space="preserve">, the variance and standard</w:t>
      </w:r>
      <w:r>
        <w:t xml:space="preserve"> </w:t>
      </w:r>
      <w:r>
        <w:t xml:space="preserve">error are</w:t>
      </w:r>
    </w:p>
    <w:p>
      <w:pPr>
        <w:pStyle w:val="BodyText"/>
      </w:pPr>
      <m:oMathPara>
        <m:oMathParaPr>
          <m:jc m:val="center"/>
        </m:oMathParaPr>
        <m:oMath>
          <m:acc>
            <m:accPr>
              <m:chr m:val="̂"/>
            </m:accPr>
            <m:e>
              <m:r>
                <m:rPr>
                  <m:sty m:val="p"/>
                </m:rPr>
                <m:t>Var</m:t>
              </m:r>
            </m:e>
          </m:acc>
          <m:r>
            <m:rPr>
              <m:sty m:val="p"/>
            </m:rPr>
            <m:t>(</m:t>
          </m:r>
          <m:acc>
            <m:accPr>
              <m:chr m:val="̂"/>
            </m:accPr>
            <m:e>
              <m:r>
                <m:t>λ</m:t>
              </m:r>
            </m:e>
          </m:acc>
          <m:r>
            <m:rPr>
              <m:sty m:val="p"/>
            </m:rP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SE</m:t>
          </m:r>
          <m:r>
            <m:rPr>
              <m:sty m:val="p"/>
            </m:rPr>
            <m:t>(</m:t>
          </m:r>
          <m:acc>
            <m:accPr>
              <m:chr m:val="̂"/>
            </m:accPr>
            <m:e>
              <m:r>
                <m:t>λ</m:t>
              </m:r>
            </m:e>
          </m:acc>
          <m:r>
            <m:rPr>
              <m:sty m:val="p"/>
            </m:rPr>
            <m:t>)</m:t>
          </m:r>
          <m:r>
            <m:rPr>
              <m:sty m:val="p"/>
            </m:rPr>
            <m:t>≈</m:t>
          </m:r>
          <m:f>
            <m:fPr>
              <m:type m:val="bar"/>
            </m:fPr>
            <m:num>
              <m:acc>
                <m:accPr>
                  <m:chr m:val="̂"/>
                </m:accPr>
                <m:e>
                  <m:r>
                    <m:t>λ</m:t>
                  </m:r>
                </m:e>
              </m:acc>
            </m:num>
            <m:den>
              <m:rad>
                <m:radPr>
                  <m:degHide m:val="on"/>
                </m:radPr>
                <m:deg/>
                <m:e>
                  <m:r>
                    <m:t>n</m:t>
                  </m:r>
                </m:e>
              </m:rad>
            </m:den>
          </m:f>
        </m:oMath>
      </m:oMathPara>
    </w:p>
    <w:p>
      <w:pPr>
        <w:pStyle w:val="FirstParagraph"/>
      </w:pPr>
      <w:r>
        <w:t xml:space="preserve">So more curvature (larger</w:t>
      </w:r>
      <w:r>
        <w:t xml:space="preserve"> </w:t>
      </w:r>
      <m:oMath>
        <m:r>
          <m:t>n</m:t>
        </m:r>
        <m:r>
          <m:rPr>
            <m:sty m:val="p"/>
          </m:rPr>
          <m:t>/</m:t>
        </m:r>
        <m:sSup>
          <m:e>
            <m:r>
              <m:t>λ</m:t>
            </m:r>
          </m:e>
          <m:sup>
            <m:r>
              <m:t>2</m:t>
            </m:r>
          </m:sup>
        </m:sSup>
      </m:oMath>
      <w:r>
        <w:t xml:space="preserve">) means a sharper peak and a smaller</w:t>
      </w:r>
      <w:r>
        <w:t xml:space="preserve"> </w:t>
      </w:r>
      <w:r>
        <w:t xml:space="preserve">standard error, consistent with the previous slide.</w:t>
      </w:r>
    </w:p>
    <w:bookmarkEnd w:id="57"/>
    <w:bookmarkStart w:id="58" w:name="likelihood-of-observed-data"/>
    <w:p>
      <w:pPr>
        <w:pStyle w:val="Heading2"/>
      </w:pPr>
      <w:r>
        <w:t xml:space="preserve">4.10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58"/>
    <w:bookmarkStart w:id="67" w:name="antibody-response-curves"/>
    <w:p>
      <w:pPr>
        <w:pStyle w:val="Heading2"/>
      </w:pPr>
      <w:r>
        <w:t xml:space="preserve">4.11 Antibody response curves</w:t>
      </w:r>
    </w:p>
    <w:tbl>
      <w:tblPr>
        <w:tblStyle w:val="Table"/>
        <w:tblW w:type="pct" w:w="5000"/>
        <w:tblLayout w:type="fixed"/>
        <w:tblLook w:firstRow="0" w:lastRow="0" w:firstColumn="0" w:lastColumn="0" w:noHBand="0" w:noVBand="0" w:val="0000"/>
      </w:tblPr>
      <w:tblGrid>
        <w:gridCol w:w="7920"/>
      </w:tblGrid>
      <w:tr>
        <w:tc>
          <w:tcPr/>
          <w:bookmarkStart w:id="62" w:name="fig-sim-case-data"/>
          <w:p>
            <w:pPr>
              <w:jc w:val="center"/>
            </w:pPr>
            <w:r>
              <w:drawing>
                <wp:inline>
                  <wp:extent cx="4620126" cy="3696101"/>
                  <wp:effectExtent b="0" l="0" r="0" t="0"/>
                  <wp:docPr descr="" title="" id="60" name="Picture"/>
                  <a:graphic>
                    <a:graphicData uri="http://schemas.openxmlformats.org/drawingml/2006/picture">
                      <pic:pic>
                        <pic:nvPicPr>
                          <pic:cNvPr descr="methodology_files/figure-docx/unnamed-chunk-3-1.png" id="61" name="Picture"/>
                          <pic:cNvPicPr>
                            <a:picLocks noChangeArrowheads="1" noChangeAspect="1"/>
                          </pic:cNvPicPr>
                        </pic:nvPicPr>
                        <pic:blipFill>
                          <a:blip r:embed="rId5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62"/>
        </w:tc>
      </w:tr>
    </w:tbl>
    <w:p/>
    <w:tbl>
      <w:tblPr>
        <w:tblStyle w:val="Table"/>
        <w:tblW w:type="pct" w:w="5000"/>
        <w:tblLayout w:type="fixed"/>
        <w:tblLook w:firstRow="0" w:lastRow="0" w:firstColumn="0" w:lastColumn="0" w:noHBand="0" w:noVBand="0" w:val="0000"/>
      </w:tblPr>
      <w:tblGrid>
        <w:gridCol w:w="7920"/>
      </w:tblGrid>
      <w:tr>
        <w:tc>
          <w:tcPr/>
          <w:bookmarkStart w:id="66" w:name="fig-decay"/>
          <w:p>
            <w:pPr>
              <w:pStyle w:val="SourceCode"/>
              <w:jc w:val="center"/>
            </w:pPr>
            <w:r>
              <w:rPr>
                <w:rStyle w:val="VerbatimChar"/>
              </w:rPr>
              <w:t xml:space="preserve">Rows: 904 Columns: 8</w:t>
            </w:r>
            <w:r>
              <w:br/>
            </w:r>
            <w:r>
              <w:rPr>
                <w:rStyle w:val="VerbatimChar"/>
              </w:rPr>
              <w:t xml:space="preserve">── Column specification ────────────────────────────────────────────────────────</w:t>
            </w:r>
            <w:r>
              <w:br/>
            </w:r>
            <w:r>
              <w:rPr>
                <w:rStyle w:val="VerbatimChar"/>
              </w:rPr>
              <w:t xml:space="preserve">Delimiter: ","</w:t>
            </w:r>
            <w:r>
              <w:br/>
            </w:r>
            <w:r>
              <w:rPr>
                <w:rStyle w:val="VerbatimChar"/>
              </w:rPr>
              <w:t xml:space="preserve">chr (6): Country, person_id, sample_id, bldculres, antigen_iso, studyvisit</w:t>
            </w:r>
            <w:r>
              <w:br/>
            </w:r>
            <w:r>
              <w:rPr>
                <w:rStyle w:val="VerbatimChar"/>
              </w:rPr>
              <w:t xml:space="preserve">dbl (2): dayssincefeveronset, result</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jc w:val="center"/>
            </w:pPr>
            <w:r>
              <w:drawing>
                <wp:inline>
                  <wp:extent cx="4620126" cy="3696101"/>
                  <wp:effectExtent b="0" l="0" r="0" t="0"/>
                  <wp:docPr descr="" title="" id="64" name="Picture"/>
                  <a:graphic>
                    <a:graphicData uri="http://schemas.openxmlformats.org/drawingml/2006/picture">
                      <pic:pic>
                        <pic:nvPicPr>
                          <pic:cNvPr descr="methodology_files/figure-docx/unnamed-chunk-4-1.png" id="65" name="Picture"/>
                          <pic:cNvPicPr>
                            <a:picLocks noChangeArrowheads="1" noChangeAspect="1"/>
                          </pic:cNvPicPr>
                        </pic:nvPicPr>
                        <pic:blipFill>
                          <a:blip r:embed="rId6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66"/>
        </w:tc>
      </w:tr>
    </w:tbl>
    <w:bookmarkEnd w:id="67"/>
    <w:bookmarkStart w:id="68" w:name="the-per-person-likelihood"/>
    <w:p>
      <w:pPr>
        <w:pStyle w:val="Heading2"/>
      </w:pPr>
      <w:r>
        <w:t xml:space="preserve">4.12 The per-person likelihood</w:t>
      </w:r>
    </w:p>
    <w:p>
      <w:pPr>
        <w:pStyle w:val="FirstParagraph"/>
      </w:pPr>
      <w:r>
        <w:t xml:space="preserve">Substituting</w:t>
      </w:r>
      <w:r>
        <w:t xml:space="preserve"> </w:t>
      </w:r>
      <m:oMath>
        <m:r>
          <m:t>p</m:t>
        </m:r>
        <m:r>
          <m:rPr>
            <m:sty m:val="p"/>
          </m:rPr>
          <m:t>(</m:t>
        </m:r>
        <m:r>
          <m:t>Y</m:t>
        </m:r>
        <m:r>
          <m:rPr>
            <m:sty m:val="p"/>
          </m:rPr>
          <m:t>=</m:t>
        </m:r>
        <m:r>
          <m:t>y</m:t>
        </m:r>
        <m:r>
          <m:rPr>
            <m:sty m:val="p"/>
          </m:rPr>
          <m:t>,</m:t>
        </m:r>
        <m:r>
          <m:t>T</m:t>
        </m:r>
        <m:r>
          <m:rPr>
            <m:sty m:val="p"/>
          </m:rPr>
          <m:t>=</m:t>
        </m:r>
        <m:r>
          <m:t>t</m:t>
        </m:r>
        <m:r>
          <m:rPr>
            <m:sty m:val="p"/>
          </m:rPr>
          <m:t>)</m:t>
        </m:r>
        <m:r>
          <m:rPr>
            <m:sty m:val="p"/>
          </m:rPr>
          <m:t>=</m:t>
        </m:r>
        <m:r>
          <m:t>p</m:t>
        </m:r>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oMath>
      <w:r>
        <w:t xml:space="preserve"> </w:t>
      </w:r>
      <w:r>
        <w:t xml:space="preserve">into the previous expression for</w:t>
      </w:r>
      <w:r>
        <w:t xml:space="preserve"> </w:t>
      </w:r>
      <m:oMath>
        <m:r>
          <m:t>p</m:t>
        </m:r>
        <m:r>
          <m:rPr>
            <m:sty m:val="p"/>
          </m:rPr>
          <m:t>(</m:t>
        </m:r>
        <m:r>
          <m:t>Y</m:t>
        </m:r>
        <m:r>
          <m:rPr>
            <m:sty m:val="p"/>
          </m:rPr>
          <m:t>=</m:t>
        </m:r>
        <m:r>
          <m:t>y</m:t>
        </m:r>
        <m:r>
          <m:rPr>
            <m:sty m:val="p"/>
          </m:rPr>
          <m:t>)</m:t>
        </m:r>
      </m:oMath>
      <w:r>
        <w:t xml:space="preserve">:</w:t>
      </w:r>
    </w:p>
    <w:p>
      <w:pPr>
        <w:pStyle w:val="BodyText"/>
      </w:pPr>
      <m:oMathPara>
        <m:oMathParaPr>
          <m:jc m:val="center"/>
        </m:oMathParaPr>
        <m:oMath>
          <m:eqArr>
            <m:e>
              <m:r>
                <m:t>p</m:t>
              </m:r>
              <m:r>
                <m:rPr>
                  <m:sty m:val="p"/>
                </m:rPr>
                <m:t>(</m:t>
              </m:r>
              <m:r>
                <m:t>Y</m:t>
              </m:r>
              <m:r>
                <m:rPr>
                  <m:sty m:val="p"/>
                </m:rPr>
                <m:t>=</m:t>
              </m:r>
              <m:r>
                <m:t>y</m:t>
              </m:r>
              <m:r>
                <m:rPr>
                  <m:sty m:val="p"/>
                </m:rPr>
                <m:t>)</m:t>
              </m:r>
              <m:r>
                <m:t>&amp;</m:t>
              </m:r>
              <m:r>
                <m:rPr>
                  <m:sty m:val="p"/>
                </m:rPr>
                <m:t>=</m:t>
              </m:r>
              <m:nary>
                <m:naryPr>
                  <m:chr m:val="∫"/>
                  <m:limLoc m:val="subSup"/>
                  <m:subHide m:val="off"/>
                  <m:supHide m:val="on"/>
                </m:naryPr>
                <m:sub>
                  <m:r>
                    <m:t>t</m:t>
                  </m:r>
                </m:sub>
                <m:sup>
                  <m:r>
                    <m:t>​</m:t>
                  </m:r>
                </m:sup>
                <m:e>
                  <m:r>
                    <m:t>p</m:t>
                  </m:r>
                </m:e>
              </m:nary>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r>
                <m:t> </m:t>
              </m:r>
              <m:r>
                <m:t>d</m:t>
              </m:r>
              <m:r>
                <m:t>t</m:t>
              </m:r>
            </m:e>
          </m:eqArr>
        </m:oMath>
      </m:oMathPara>
    </w:p>
    <w:p>
      <w:pPr>
        <w:pStyle w:val="FirstParagraph"/>
      </w:pPr>
      <w:r>
        <w:t xml:space="preserve">This integral is shorthand.</w:t>
      </w:r>
      <w:r>
        <w:t xml:space="preserve"> </w:t>
      </w:r>
      <m:oMath>
        <m:r>
          <m:t>T</m:t>
        </m:r>
      </m:oMath>
      <w:r>
        <w:t xml:space="preserve"> </w:t>
      </w:r>
      <w:r>
        <w:t xml:space="preserve">is not purely continuous: recall from</w:t>
      </w:r>
      <w:r>
        <w:t xml:space="preserve"> </w:t>
      </w:r>
      <w:r>
        <w:t xml:space="preserve">“Time since infection and</w:t>
      </w:r>
      <w:r>
        <w:t xml:space="preserve"> </w:t>
      </w:r>
      <w:r>
        <w:t xml:space="preserve">incidence”</w:t>
      </w:r>
      <w:r>
        <w:t xml:space="preserve"> </w:t>
      </w:r>
      <w:r>
        <w:t xml:space="preserve">that</w:t>
      </w:r>
      <w:r>
        <w:t xml:space="preserve"> </w:t>
      </w:r>
      <m:oMath>
        <m:r>
          <m:t>T</m:t>
        </m:r>
      </m:oMath>
      <w:r>
        <w:t xml:space="preserve"> </w:t>
      </w:r>
      <w:r>
        <w:t xml:space="preserve">has a</w:t>
      </w:r>
      <w:r>
        <w:t xml:space="preserve"> </w:t>
      </w:r>
      <w:r>
        <w:rPr>
          <w:b/>
          <w:bCs/>
        </w:rPr>
        <w:t xml:space="preserve">mixed</w:t>
      </w:r>
      <w:r>
        <w:t xml:space="preserve"> </w:t>
      </w:r>
      <w:r>
        <w:t xml:space="preserve">distribution — continuous on</w:t>
      </w:r>
      <w:r>
        <w:t xml:space="preserve"> </w:t>
      </w:r>
      <m:oMath>
        <m:r>
          <m:rPr>
            <m:sty m:val="p"/>
          </m:rPr>
          <m:t>[</m:t>
        </m:r>
        <m:r>
          <m:t>0</m:t>
        </m:r>
        <m:r>
          <m:rPr>
            <m:sty m:val="p"/>
          </m:rPr>
          <m:t>,</m:t>
        </m:r>
        <m:r>
          <m:t>a</m:t>
        </m:r>
        <m:r>
          <m:rPr>
            <m:sty m:val="p"/>
          </m:rPr>
          <m:t>]</m:t>
        </m:r>
      </m:oMath>
      <w:r>
        <w:t xml:space="preserve"> </w:t>
      </w:r>
      <w:r>
        <w:t xml:space="preserve">with density</w:t>
      </w:r>
      <w:r>
        <w:t xml:space="preserve"> </w:t>
      </w:r>
      <m:oMath>
        <m:r>
          <m:t>λ</m:t>
        </m:r>
        <m:r>
          <m:rPr>
            <m:sty m:val="p"/>
          </m:rPr>
          <m:t>exp</m:t>
        </m:r>
        <m:r>
          <m:t>​</m:t>
        </m:r>
        <m:d>
          <m:dPr>
            <m:begChr m:val="{"/>
            <m:sepChr m:val=""/>
            <m:endChr m:val="}"/>
            <m:grow/>
          </m:dPr>
          <m:e>
            <m:r>
              <m:rPr>
                <m:sty m:val="p"/>
              </m:rPr>
              <m:t>−</m:t>
            </m:r>
            <m:r>
              <m:t>λ</m:t>
            </m:r>
            <m:r>
              <m:t>t</m:t>
            </m:r>
          </m:e>
        </m:d>
        <m:r>
          <m:t>​</m:t>
        </m:r>
      </m:oMath>
      <w:r>
        <w:t xml:space="preserve">, plus a discrete atom</w:t>
      </w:r>
      <w:r>
        <w:t xml:space="preserve"> </w:t>
      </w:r>
      <w:r>
        <w:t xml:space="preserve">at</w:t>
      </w:r>
      <w:r>
        <w:t xml:space="preserve"> </w:t>
      </w:r>
      <m:oMath>
        <m:r>
          <m:t>T</m:t>
        </m:r>
        <m:r>
          <m:rPr>
            <m:sty m:val="p"/>
          </m:rPr>
          <m:t>=</m:t>
        </m:r>
        <m:r>
          <m:rPr>
            <m:nor/>
            <m:sty m:val="p"/>
          </m:rPr>
          <m:t>NA</m:t>
        </m:r>
      </m:oMath>
      <w:r>
        <w:t xml:space="preserve"> </w:t>
      </w:r>
      <w:r>
        <w:t xml:space="preserve">(never infected) with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Written out explicitly, the</w:t>
      </w:r>
      <w:r>
        <w:t xml:space="preserve"> </w:t>
      </w:r>
      <w:r>
        <w:t xml:space="preserve">“integral”</w:t>
      </w:r>
      <w:r>
        <w:t xml:space="preserve"> </w:t>
      </w:r>
      <w:r>
        <w:t xml:space="preserve">over</w:t>
      </w:r>
      <w:r>
        <w:t xml:space="preserve"> </w:t>
      </w:r>
      <m:oMath>
        <m:r>
          <m:t>t</m:t>
        </m:r>
      </m:oMath>
      <w:r>
        <w:t xml:space="preserve"> </w:t>
      </w:r>
      <w:r>
        <w:t xml:space="preserve">is really an integral</w:t>
      </w:r>
      <w:r>
        <w:t xml:space="preserve"> </w:t>
      </w:r>
      <w:r>
        <w:t xml:space="preserve">over the continuous part plus the never-infected term:</w:t>
      </w:r>
    </w:p>
    <w:p>
      <w:pPr>
        <w:pStyle w:val="BodyText"/>
      </w:pPr>
      <m:oMathPara>
        <m:oMathParaPr>
          <m:jc m:val="center"/>
        </m:oMathParaPr>
        <m:oMath>
          <m: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p>
      <w:pPr>
        <w:pStyle w:val="BodyText"/>
      </w:pPr>
      <w:r>
        <w:t xml:space="preserve">Two pieces here were not yet defined:</w:t>
      </w:r>
    </w:p>
    <w:p>
      <w:pPr>
        <w:pStyle w:val="Compact"/>
        <w:numPr>
          <w:ilvl w:val="0"/>
          <w:numId w:val="1022"/>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r>
        <w:t xml:space="preserve">“Time since infection and incidence”</w:t>
      </w:r>
      <w:r>
        <w:t xml:space="preserve">.</w:t>
      </w:r>
    </w:p>
    <w:p>
      <w:pPr>
        <w:pStyle w:val="Compact"/>
        <w:numPr>
          <w:ilvl w:val="0"/>
          <w:numId w:val="1022"/>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68"/>
    <w:bookmarkStart w:id="69" w:name="the-full-sample-likelihood"/>
    <w:p>
      <w:pPr>
        <w:pStyle w:val="Heading2"/>
      </w:pPr>
      <w:r>
        <w:t xml:space="preserve">4.13 The full-sample likelihood</w:t>
      </w:r>
    </w:p>
    <w:p>
      <w:pPr>
        <w:pStyle w:val="FirstParagraph"/>
      </w:pPr>
      <w:r>
        <w:t xml:space="preserve">Now, the likelihood of the observed data</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n</m:t>
            </m:r>
          </m:sub>
        </m:sSub>
        <m:r>
          <m:rPr>
            <m:sty m:val="p"/>
          </m:rPr>
          <m:t>)</m:t>
        </m:r>
      </m:oMath>
      <w:r>
        <w:t xml:space="preserve"> </w:t>
      </w:r>
      <w:r>
        <w:t xml:space="preserve">is:</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eqArr>
        </m:oMath>
      </m:oMathPara>
    </w:p>
    <w:p>
      <w:pPr>
        <w:pStyle w:val="FirstParagraph"/>
      </w:pPr>
      <w:r>
        <w:t xml:space="preserve">If we know</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 denoted</w:t>
      </w:r>
      <w:r>
        <w:t xml:space="preserve"> </w:t>
      </w:r>
      <m:oMath>
        <m:acc>
          <m:accPr>
            <m:chr m:val="̂"/>
          </m:accPr>
          <m:e>
            <m:r>
              <m:t>λ</m:t>
            </m:r>
          </m:e>
        </m:acc>
      </m:oMath>
      <w:r>
        <w:t xml:space="preserve">.</w:t>
      </w:r>
    </w:p>
    <w:bookmarkEnd w:id="69"/>
    <w:bookmarkStart w:id="70" w:name="finding-the-mle-numerically"/>
    <w:p>
      <w:pPr>
        <w:pStyle w:val="Heading2"/>
      </w:pPr>
      <w:r>
        <w:t xml:space="preserve">4.14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rPr>
                  <m:sty m:val="p"/>
                </m:rPr>
                <m:t>log</m:t>
              </m:r>
              <m:r>
                <m:rPr>
                  <m:scr m:val="script"/>
                  <m:sty m:val="p"/>
                </m:rPr>
                <m:t>L</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t>p</m:t>
                      </m:r>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 and corresponding standard error.</w:t>
      </w:r>
    </w:p>
    <w:bookmarkEnd w:id="70"/>
    <w:bookmarkStart w:id="75" w:name="X5bf3afb032987a059a98cb4220d3ca0c37d3f71"/>
    <w:p>
      <w:pPr>
        <w:pStyle w:val="Heading2"/>
      </w:pPr>
      <w:r>
        <w:t xml:space="preserve">4.15 Cluster-robust standard errors for clustered sampling designs</w:t>
      </w:r>
    </w:p>
    <w:p>
      <w:pPr>
        <w:pStyle w:val="FirstParagraph"/>
      </w:pPr>
      <w:r>
        <w:t xml:space="preserve">In many survey designs, observations are clustered (e.g., multiple individuals from the same household, school, or geographic area). Observations within the same cluster are often more similar to each other than to observations from different clusters, violating the independence assumption of standard maximum likelihood estimation.</w:t>
      </w:r>
    </w:p>
    <w:bookmarkStart w:id="71" w:name="why-clustering-matters"/>
    <w:p>
      <w:pPr>
        <w:pStyle w:val="Heading3"/>
      </w:pPr>
      <w:r>
        <w:t xml:space="preserve">4.15.1 Why clustering matters</w:t>
      </w:r>
    </w:p>
    <w:p>
      <w:pPr>
        <w:pStyle w:val="FirstParagraph"/>
      </w:pPr>
      <w:r>
        <w:t xml:space="preserve">When observations are clustered:</w:t>
      </w:r>
    </w:p>
    <w:p>
      <w:pPr>
        <w:pStyle w:val="Compact"/>
        <w:numPr>
          <w:ilvl w:val="0"/>
          <w:numId w:val="1023"/>
        </w:numPr>
      </w:pPr>
      <w:r>
        <w:t xml:space="preserve">Individuals within the same cluster share common exposures or characteristics</w:t>
      </w:r>
    </w:p>
    <w:p>
      <w:pPr>
        <w:pStyle w:val="Compact"/>
        <w:numPr>
          <w:ilvl w:val="0"/>
          <w:numId w:val="1023"/>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23"/>
        </w:numPr>
      </w:pPr>
      <w:r>
        <w:t xml:space="preserve">Confidence intervals will be</w:t>
      </w:r>
      <w:r>
        <w:t xml:space="preserve"> </w:t>
      </w:r>
      <w:r>
        <w:rPr>
          <w:b/>
          <w:bCs/>
        </w:rPr>
        <w:t xml:space="preserve">too narrow</w:t>
      </w:r>
    </w:p>
    <w:p>
      <w:pPr>
        <w:pStyle w:val="Compact"/>
        <w:numPr>
          <w:ilvl w:val="0"/>
          <w:numId w:val="1023"/>
        </w:numPr>
      </w:pPr>
      <w:r>
        <w:t xml:space="preserve">p-values will be</w:t>
      </w:r>
      <w:r>
        <w:t xml:space="preserve"> </w:t>
      </w:r>
      <w:r>
        <w:rPr>
          <w:b/>
          <w:bCs/>
        </w:rPr>
        <w:t xml:space="preserve">too optimistic</w:t>
      </w:r>
    </w:p>
    <w:bookmarkEnd w:id="71"/>
    <w:bookmarkStart w:id="72" w:name="cluster-robust-variance-estimation"/>
    <w:p>
      <w:pPr>
        <w:pStyle w:val="Heading3"/>
      </w:pPr>
      <w:r>
        <w:t xml:space="preserve">4.15.2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(also known as the Huber-White robust variance estimator):</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oMath>
      </m:oMathPara>
    </w:p>
    <w:p>
      <w:pPr>
        <w:pStyle w:val="FirstParagraph"/>
      </w:pPr>
      <w:r>
        <w:t xml:space="preserve">where:</w:t>
      </w:r>
    </w:p>
    <w:p>
      <w:pPr>
        <w:pStyle w:val="Compact"/>
        <w:numPr>
          <w:ilvl w:val="0"/>
          <w:numId w:val="1024"/>
        </w:numPr>
      </w:pPr>
      <m:oMath>
        <m:sSub>
          <m:e>
            <m:r>
              <m:t>V</m:t>
            </m:r>
          </m:e>
          <m:sub>
            <m:r>
              <m:rPr>
                <m:nor/>
                <m:sty m:val="p"/>
              </m:rPr>
              <m:t>robust</m:t>
            </m:r>
          </m:sub>
        </m:sSub>
      </m:oMath>
      <w:r>
        <w:t xml:space="preserve"> </w:t>
      </w:r>
      <w:r>
        <w:t xml:space="preserve">is the cluster-robust variance-covariance matrix for the parameter estimates</w:t>
      </w:r>
    </w:p>
    <w:p>
      <w:pPr>
        <w:pStyle w:val="Compact"/>
        <w:numPr>
          <w:ilvl w:val="0"/>
          <w:numId w:val="1024"/>
        </w:numPr>
      </w:pPr>
      <m:oMath>
        <m:r>
          <m:t>H</m:t>
        </m:r>
      </m:oMath>
      <w:r>
        <w:t xml:space="preserve"> </w:t>
      </w:r>
      <w:r>
        <w:t xml:space="preserve">is the Hessian matrix (matrix of second partial derivatives of the log-likelihood with respect to the parameters, evaluated at the MLE</w:t>
      </w:r>
      <w:r>
        <w:t xml:space="preserve"> </w:t>
      </w:r>
      <m:oMath>
        <m:acc>
          <m:accPr>
            <m:chr m:val="̂"/>
          </m:accPr>
          <m:e>
            <m:r>
              <m:t>λ</m:t>
            </m:r>
          </m:e>
        </m:acc>
      </m:oMath>
      <w:r>
        <w:t xml:space="preserve">)</w:t>
      </w:r>
    </w:p>
    <w:p>
      <w:pPr>
        <w:pStyle w:val="Compact"/>
        <w:numPr>
          <w:ilvl w:val="0"/>
          <w:numId w:val="1024"/>
        </w:numPr>
      </w:pPr>
      <m:oMath>
        <m:r>
          <m:t>B</m:t>
        </m:r>
      </m:oMath>
      <w:r>
        <w:t xml:space="preserve"> </w:t>
      </w:r>
      <w:r>
        <w:t xml:space="preserve">is the</w:t>
      </w:r>
      <w:r>
        <w:t xml:space="preserve"> </w:t>
      </w:r>
      <w:r>
        <w:t xml:space="preserve">“meat”</w:t>
      </w:r>
      <w:r>
        <w:t xml:space="preserve"> </w:t>
      </w:r>
      <w:r>
        <w:t xml:space="preserve">of the sandwich, calculated from cluster-level score contributions:</w:t>
      </w:r>
    </w:p>
    <w:p>
      <w:pPr>
        <w:pStyle w:val="FirstParagraph"/>
      </w:pPr>
      <m:oMathPara>
        <m:oMathParaPr>
          <m:jc m:val="center"/>
        </m:oMathParaPr>
        <m:oMath>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oMath>
      </m:oMathPara>
    </w:p>
    <w:p>
      <w:pPr>
        <w:pStyle w:val="FirstParagraph"/>
      </w:pPr>
      <w:r>
        <w:t xml:space="preserve">where:</w:t>
      </w:r>
    </w:p>
    <w:p>
      <w:pPr>
        <w:pStyle w:val="Compact"/>
        <w:numPr>
          <w:ilvl w:val="0"/>
          <w:numId w:val="1025"/>
        </w:numPr>
      </w:pPr>
      <m:oMath>
        <m:r>
          <m:t>C</m:t>
        </m:r>
      </m:oMath>
      <w:r>
        <w:t xml:space="preserve"> </w:t>
      </w:r>
      <w:r>
        <w:t xml:space="preserve">is the total number of clusters in the sample</w:t>
      </w:r>
    </w:p>
    <w:p>
      <w:pPr>
        <w:pStyle w:val="Compact"/>
        <w:numPr>
          <w:ilvl w:val="0"/>
          <w:numId w:val="1025"/>
        </w:numPr>
      </w:pPr>
      <m:oMath>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t>p</m:t>
        </m:r>
        <m:r>
          <m:rPr>
            <m:sty m:val="p"/>
          </m:rPr>
          <m:t>(</m:t>
        </m:r>
        <m:sSub>
          <m:e>
            <m:r>
              <m:t>Y</m:t>
            </m:r>
          </m:e>
          <m:sub>
            <m:r>
              <m:t>i</m:t>
            </m:r>
          </m:sub>
        </m:sSub>
        <m:r>
          <m:rPr>
            <m:sty m:val="p"/>
          </m:rPr>
          <m:t>|</m:t>
        </m:r>
        <m:r>
          <m:t>λ</m:t>
        </m:r>
        <m:r>
          <m:rPr>
            <m:sty m:val="p"/>
          </m:rPr>
          <m:t>)</m:t>
        </m:r>
      </m:oMath>
      <w:r>
        <w:t xml:space="preserve"> </w:t>
      </w:r>
      <w:r>
        <w:t xml:space="preserve">is the score contribution (gradient of log-likelihood with respect to</w:t>
      </w:r>
      <w:r>
        <w:t xml:space="preserve"> </w:t>
      </w:r>
      <m:oMath>
        <m:r>
          <m:t>λ</m:t>
        </m:r>
      </m:oMath>
      <w:r>
        <w:t xml:space="preserve">) from all observations in cluster</w:t>
      </w:r>
      <w:r>
        <w:t xml:space="preserve"> </w:t>
      </w:r>
      <m:oMath>
        <m:r>
          <m:t>c</m:t>
        </m:r>
      </m:oMath>
    </w:p>
    <w:p>
      <w:pPr>
        <w:pStyle w:val="Compact"/>
        <w:numPr>
          <w:ilvl w:val="0"/>
          <w:numId w:val="1025"/>
        </w:numPr>
      </w:pPr>
      <m:oMath>
        <m:sSub>
          <m:e>
            <m:r>
              <m:rPr>
                <m:sty m:val="p"/>
              </m:rPr>
              <m:t>∇</m:t>
            </m:r>
          </m:e>
          <m:sub>
            <m:r>
              <m:t>λ</m:t>
            </m:r>
          </m:sub>
        </m:sSub>
      </m:oMath>
      <w:r>
        <w:t xml:space="preserve"> </w:t>
      </w:r>
      <w:r>
        <w:t xml:space="preserve">denotes the gradient operator (vector of partial derivatives with respect to the parameter</w:t>
      </w:r>
      <w:r>
        <w:t xml:space="preserve"> </w:t>
      </w:r>
      <m:oMath>
        <m:r>
          <m:t>λ</m:t>
        </m:r>
      </m:oMath>
      <w:r>
        <w:t xml:space="preserve">)</w:t>
      </w:r>
    </w:p>
    <w:bookmarkEnd w:id="72"/>
    <w:bookmarkStart w:id="73" w:name="implementation-in-serocalculator"/>
    <w:p>
      <w:pPr>
        <w:pStyle w:val="Heading3"/>
      </w:pPr>
      <w:r>
        <w:t xml:space="preserve">4.15.3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bookmarkEnd w:id="73"/>
    <w:bookmarkStart w:id="74" w:name="effect-on-results"/>
    <w:p>
      <w:pPr>
        <w:pStyle w:val="Heading3"/>
      </w:pPr>
      <w:r>
        <w:t xml:space="preserve">4.15.4 Effect on results</w:t>
      </w:r>
    </w:p>
    <w:p>
      <w:pPr>
        <w:pStyle w:val="Compact"/>
        <w:numPr>
          <w:ilvl w:val="0"/>
          <w:numId w:val="1026"/>
        </w:numPr>
      </w:pPr>
      <w:r>
        <w:rPr>
          <w:b/>
          <w:bCs/>
        </w:rPr>
        <w:t xml:space="preserve">Point estimates</w:t>
      </w:r>
      <w:r>
        <w:t xml:space="preserve"> </w:t>
      </w:r>
      <w:r>
        <w:t xml:space="preserve">(incidence rates) remain unchanged</w:t>
      </w:r>
    </w:p>
    <w:p>
      <w:pPr>
        <w:pStyle w:val="Compact"/>
        <w:numPr>
          <w:ilvl w:val="0"/>
          <w:numId w:val="1026"/>
        </w:numPr>
      </w:pPr>
      <w:r>
        <w:rPr>
          <w:b/>
          <w:bCs/>
        </w:rPr>
        <w:t xml:space="preserve">Standard errors</w:t>
      </w:r>
      <w:r>
        <w:t xml:space="preserve"> </w:t>
      </w:r>
      <w:r>
        <w:t xml:space="preserve">often increase to reflect within-cluster correlation</w:t>
      </w:r>
    </w:p>
    <w:p>
      <w:pPr>
        <w:pStyle w:val="Compact"/>
        <w:numPr>
          <w:ilvl w:val="0"/>
          <w:numId w:val="1026"/>
        </w:numPr>
      </w:pPr>
      <w:r>
        <w:rPr>
          <w:b/>
          <w:bCs/>
        </w:rPr>
        <w:t xml:space="preserve">Confidence intervals</w:t>
      </w:r>
      <w:r>
        <w:t xml:space="preserve"> </w:t>
      </w:r>
      <w:r>
        <w:t xml:space="preserve">appropriately widen to account for reduced effective sample size</w:t>
      </w:r>
    </w:p>
    <w:bookmarkEnd w:id="74"/>
    <w:bookmarkEnd w:id="75"/>
    <w:bookmarkEnd w:id="76"/>
    <w:bookmarkStart w:id="107"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77"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7"/>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7"/>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7"/>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9"/>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9"/>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9"/>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77"/>
    <w:bookmarkStart w:id="78"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78"/>
    <w:bookmarkStart w:id="79"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79"/>
    <w:bookmarkStart w:id="80"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80"/>
    <w:bookmarkStart w:id="89"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31"/>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31"/>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31"/>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p>
      <w:pPr>
        <w:pStyle w:val="SourceCode"/>
      </w:pPr>
      <w:r>
        <w:rPr>
          <w:rStyle w:val="VerbatimChar"/>
        </w:rPr>
        <w:t xml:space="preserve">Scale for x is already present.</w:t>
      </w:r>
      <w:r>
        <w:br/>
      </w:r>
      <w:r>
        <w:rPr>
          <w:rStyle w:val="VerbatimChar"/>
        </w:rPr>
        <w:t xml:space="preserve">Adding another scale for x, which will replace the existing scale.</w:t>
      </w:r>
    </w:p>
    <w:tbl>
      <w:tblPr>
        <w:tblStyle w:val="Table"/>
        <w:tblW w:type="pct" w:w="5000"/>
        <w:tblLayout w:type="fixed"/>
        <w:tblLook w:firstRow="0" w:lastRow="0" w:firstColumn="0" w:lastColumn="0" w:noHBand="0" w:noVBand="0" w:val="0000"/>
      </w:tblPr>
      <w:tblGrid>
        <w:gridCol w:w="7920"/>
      </w:tblGrid>
      <w:tr>
        <w:tc>
          <w:tcPr/>
          <w:bookmarkStart w:id="84" w:name="fig-response-graph"/>
          <w:p>
            <w:pPr>
              <w:pStyle w:val="Compact"/>
              <w:jc w:val="center"/>
            </w:pPr>
            <w:r>
              <w:drawing>
                <wp:inline>
                  <wp:extent cx="4620126" cy="3696101"/>
                  <wp:effectExtent b="0" l="0" r="0" t="0"/>
                  <wp:docPr descr="" title="" id="82" name="Picture"/>
                  <a:graphic>
                    <a:graphicData uri="http://schemas.openxmlformats.org/drawingml/2006/picture">
                      <pic:pic>
                        <pic:nvPicPr>
                          <pic:cNvPr descr="methodology_files/figure-docx/fig-response-graph-1.png" id="83" name="Picture"/>
                          <pic:cNvPicPr>
                            <a:picLocks noChangeArrowheads="1" noChangeAspect="1"/>
                          </pic:cNvPicPr>
                        </pic:nvPicPr>
                        <pic:blipFill>
                          <a:blip r:embed="rId8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84"/>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85">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87" name="Picture"/>
            <a:graphic>
              <a:graphicData uri="http://schemas.openxmlformats.org/drawingml/2006/picture">
                <pic:pic>
                  <pic:nvPicPr>
                    <pic:cNvPr descr="../man/figures/qr_akm2.svg" id="8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6"/>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89"/>
    <w:bookmarkStart w:id="90" w:name="biological-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32"/>
        </w:numPr>
      </w:pPr>
      <m:oMath>
        <m:sSub>
          <m:e>
            <m:r>
              <m:t>y</m:t>
            </m:r>
          </m:e>
          <m:sub>
            <m:r>
              <m:rPr>
                <m:nor/>
                <m:sty m:val="p"/>
              </m:rPr>
              <m:t>obs</m:t>
            </m:r>
          </m:sub>
        </m:sSub>
      </m:oMath>
      <w:r>
        <w:t xml:space="preserve">: measured serum antibody concentration</w:t>
      </w:r>
    </w:p>
    <w:p>
      <w:pPr>
        <w:pStyle w:val="Compact"/>
        <w:numPr>
          <w:ilvl w:val="0"/>
          <w:numId w:val="1032"/>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2"/>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33"/>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p>
    <w:p>
      <w:pPr>
        <w:pStyle w:val="Compact"/>
        <w:numPr>
          <w:ilvl w:val="0"/>
          <w:numId w:val="1033"/>
        </w:numPr>
      </w:pPr>
      <m:oMath>
        <m:sSub>
          <m:e>
            <m:r>
              <m:t>ϵ</m:t>
            </m:r>
          </m:e>
          <m:sub>
            <m:r>
              <m:t>b</m:t>
            </m:r>
          </m:sub>
        </m:sSub>
        <m:r>
          <m:rPr>
            <m:sty m:val="p"/>
          </m:rPr>
          <m:t>∼</m:t>
        </m:r>
        <m:r>
          <m:rPr>
            <m:nor/>
            <m:sty m:val="p"/>
          </m:rPr>
          <m:t>Unif</m:t>
        </m:r>
        <m:r>
          <m:rPr>
            <m:sty m:val="p"/>
          </m:rPr>
          <m:t>(</m:t>
        </m:r>
        <m:r>
          <m:t>0</m:t>
        </m:r>
        <m:r>
          <m:rPr>
            <m:sty m:val="p"/>
          </m:rPr>
          <m:t>,</m:t>
        </m:r>
        <m:r>
          <m:t>ν</m:t>
        </m:r>
        <m:r>
          <m:rPr>
            <m:sty m:val="p"/>
          </m:rPr>
          <m:t>)</m:t>
        </m:r>
      </m:oMath>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90"/>
    <w:bookmarkStart w:id="91"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34"/>
        </w:numPr>
      </w:pPr>
      <m:oMath>
        <m:sSub>
          <m:e>
            <m:r>
              <m:t>y</m:t>
            </m:r>
          </m:e>
          <m:sub>
            <m:r>
              <m:rPr>
                <m:nor/>
                <m:sty m:val="p"/>
              </m:rPr>
              <m:t>obs</m:t>
            </m:r>
          </m:sub>
        </m:sSub>
      </m:oMath>
      <w:r>
        <w:t xml:space="preserve">: measured serum antibody concentration</w:t>
      </w:r>
    </w:p>
    <w:p>
      <w:pPr>
        <w:pStyle w:val="Compact"/>
        <w:numPr>
          <w:ilvl w:val="0"/>
          <w:numId w:val="1034"/>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4"/>
        </w:numPr>
      </w:pPr>
      <m:oMath>
        <m:r>
          <m:t>ξ</m:t>
        </m:r>
      </m:oMath>
      <w:r>
        <w:t xml:space="preserve">: relative measurement error</w:t>
      </w:r>
    </w:p>
    <w:p>
      <w:pPr>
        <w:pStyle w:val="Compact"/>
        <w:numPr>
          <w:ilvl w:val="0"/>
          <w:numId w:val="1034"/>
        </w:numPr>
      </w:pPr>
      <m:oMath>
        <m:r>
          <m:t>ε</m:t>
        </m:r>
      </m:oMath>
      <w:r>
        <w:t xml:space="preserve">: bound on the relative error</w:t>
      </w:r>
    </w:p>
    <w:p>
      <w:pPr>
        <w:pStyle w:val="FirstParagraph"/>
      </w:pPr>
      <w:r>
        <w:t xml:space="preserve">Model:</w:t>
      </w:r>
    </w:p>
    <w:p>
      <w:pPr>
        <w:pStyle w:val="Compact"/>
        <w:numPr>
          <w:ilvl w:val="0"/>
          <w:numId w:val="1035"/>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p>
    <w:p>
      <w:pPr>
        <w:pStyle w:val="Compact"/>
        <w:numPr>
          <w:ilvl w:val="0"/>
          <w:numId w:val="1035"/>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91"/>
    <w:bookmarkStart w:id="92"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36"/>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p>
    <w:p>
      <w:pPr>
        <w:pStyle w:val="Compact"/>
        <w:numPr>
          <w:ilvl w:val="0"/>
          <w:numId w:val="1036"/>
        </w:numPr>
      </w:pPr>
      <m:oMath>
        <m:sSub>
          <m:e>
            <m:r>
              <m:t>ϵ</m:t>
            </m:r>
          </m:e>
          <m:sub>
            <m:r>
              <m:t>b</m:t>
            </m:r>
          </m:sub>
        </m:sSub>
        <m:r>
          <m:rPr>
            <m:sty m:val="p"/>
          </m:rPr>
          <m:t>∼</m:t>
        </m:r>
        <m:r>
          <m:rPr>
            <m:nor/>
            <m:sty m:val="p"/>
          </m:rPr>
          <m:t>Unif</m:t>
        </m:r>
        <m:r>
          <m:rPr>
            <m:sty m:val="p"/>
          </m:rPr>
          <m:t>(</m:t>
        </m:r>
        <m:r>
          <m:t>0</m:t>
        </m:r>
        <m:r>
          <m:rPr>
            <m:sty m:val="p"/>
          </m:rPr>
          <m:t>,</m:t>
        </m:r>
        <m:r>
          <m:t>ν</m:t>
        </m:r>
        <m:r>
          <m:rPr>
            <m:sty m:val="p"/>
          </m:rPr>
          <m:t>)</m:t>
        </m:r>
      </m:oMath>
    </w:p>
    <w:p>
      <w:pPr>
        <w:pStyle w:val="Compact"/>
        <w:numPr>
          <w:ilvl w:val="0"/>
          <w:numId w:val="1036"/>
        </w:numPr>
      </w:pPr>
      <m:oMath>
        <m:r>
          <m:t>ξ</m:t>
        </m:r>
        <m:r>
          <m:rPr>
            <m:sty m:val="p"/>
          </m:rPr>
          <m:t>∼</m:t>
        </m:r>
        <m:r>
          <m:rPr>
            <m:nor/>
            <m:sty m:val="p"/>
          </m:rPr>
          <m:t>Unif</m:t>
        </m:r>
        <m:r>
          <m:rPr>
            <m:sty m:val="p"/>
          </m:rPr>
          <m:t>(</m:t>
        </m:r>
        <m:r>
          <m:rPr>
            <m:sty m:val="p"/>
          </m:rPr>
          <m:t>−</m:t>
        </m:r>
        <m:r>
          <m:t>ε</m:t>
        </m:r>
        <m:r>
          <m:rPr>
            <m:sty m:val="p"/>
          </m:rPr>
          <m:t>,</m:t>
        </m:r>
        <m:r>
          <m:t>ε</m:t>
        </m:r>
        <m:r>
          <m:rPr>
            <m:sty m:val="p"/>
          </m:rPr>
          <m:t>)</m:t>
        </m:r>
      </m:oMath>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92"/>
    <w:bookmarkStart w:id="93"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7"/>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7"/>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93"/>
    <w:bookmarkStart w:id="98" w:name="multiple-biomarkers"/>
    <w:p>
      <w:pPr>
        <w:pStyle w:val="Heading2"/>
      </w:pPr>
      <w:r>
        <w:t xml:space="preserve">5.10 Multiple biomarkers</w:t>
      </w:r>
    </w:p>
    <w:tbl>
      <w:tblPr>
        <w:tblStyle w:val="Table"/>
        <w:tblW w:type="pct" w:w="5000"/>
        <w:tblLayout w:type="fixed"/>
        <w:tblLook w:firstRow="0" w:lastRow="0" w:firstColumn="0" w:lastColumn="0" w:noHBand="0" w:noVBand="0" w:val="0000"/>
      </w:tblPr>
      <w:tblGrid>
        <w:gridCol w:w="7920"/>
      </w:tblGrid>
      <w:tr>
        <w:tc>
          <w:tcPr/>
          <w:bookmarkStart w:id="97" w:name="fig-loglik"/>
          <w:p>
            <w:pPr>
              <w:pStyle w:val="Compact"/>
              <w:jc w:val="center"/>
            </w:pPr>
            <w:r>
              <w:drawing>
                <wp:inline>
                  <wp:extent cx="4620126" cy="3696101"/>
                  <wp:effectExtent b="0" l="0" r="0" t="0"/>
                  <wp:docPr descr="" title="" id="95" name="Picture"/>
                  <a:graphic>
                    <a:graphicData uri="http://schemas.openxmlformats.org/drawingml/2006/picture">
                      <pic:pic>
                        <pic:nvPicPr>
                          <pic:cNvPr descr="methodology_files/figure-docx/fig-loglik-1.png" id="96" name="Picture"/>
                          <pic:cNvPicPr>
                            <a:picLocks noChangeArrowheads="1" noChangeAspect="1"/>
                          </pic:cNvPicPr>
                        </pic:nvPicPr>
                        <pic:blipFill>
                          <a:blip r:embed="rId9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Example log(likelihood) curves</w:t>
            </w:r>
          </w:p>
          <w:bookmarkEnd w:id="97"/>
        </w:tc>
      </w:tr>
    </w:tbl>
    <w:bookmarkEnd w:id="98"/>
    <w:bookmarkStart w:id="102" w:name="X2f1a22e0e8bfbbb3bd4a9b4c70c58b4086e4038"/>
    <w:p>
      <w:pPr>
        <w:pStyle w:val="Heading2"/>
      </w:pPr>
      <w:r>
        <w:t xml:space="preserve">5.11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00" name="Picture"/>
            <a:graphic>
              <a:graphicData uri="http://schemas.openxmlformats.org/drawingml/2006/picture">
                <pic:pic>
                  <pic:nvPicPr>
                    <pic:cNvPr descr="../man/figures/kinetics-variation-1.png" id="101" name="Picture"/>
                    <pic:cNvPicPr>
                      <a:picLocks noChangeArrowheads="1" noChangeAspect="1"/>
                    </pic:cNvPicPr>
                  </pic:nvPicPr>
                  <pic:blipFill>
                    <a:blip r:embed="rId99"/>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02"/>
    <w:bookmarkStart w:id="106" w:name="Xe0d498a7f1d34353def60f09705ade4ab365d1e"/>
    <w:p>
      <w:pPr>
        <w:pStyle w:val="Heading2"/>
      </w:pPr>
      <w:r>
        <w:t xml:space="preserve">5.12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04" name="Picture"/>
            <a:graphic>
              <a:graphicData uri="http://schemas.openxmlformats.org/drawingml/2006/picture">
                <pic:pic>
                  <pic:nvPicPr>
                    <pic:cNvPr descr="../man/figures/kinetics-variation-2.png" id="105" name="Picture"/>
                    <pic:cNvPicPr>
                      <a:picLocks noChangeArrowheads="1" noChangeAspect="1"/>
                    </pic:cNvPicPr>
                  </pic:nvPicPr>
                  <pic:blipFill>
                    <a:blip r:embed="rId103"/>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06"/>
    <w:bookmarkEnd w:id="107"/>
    <w:bookmarkStart w:id="119" w:name="estimating-the-curves-with-serodynamics"/>
    <w:p>
      <w:pPr>
        <w:pStyle w:val="Heading1"/>
      </w:pPr>
      <w:r>
        <w:t xml:space="preserve">6. Estimating the curves with</w:t>
      </w:r>
      <w:r>
        <w:t xml:space="preserve"> </w:t>
      </w:r>
      <w:r>
        <w:rPr>
          <w:rStyle w:val="VerbatimChar"/>
        </w:rPr>
        <w:t xml:space="preserve">serodynamics</w:t>
      </w:r>
    </w:p>
    <w:bookmarkStart w:id="108"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8"/>
        </w:numPr>
      </w:pPr>
      <w:r>
        <w:t xml:space="preserve">baseline antibody level (</w:t>
      </w:r>
      <m:oMath>
        <m:sSub>
          <m:e>
            <m:r>
              <m:t>y</m:t>
            </m:r>
          </m:e>
          <m:sub>
            <m:r>
              <m:t>0</m:t>
            </m:r>
          </m:sub>
        </m:sSub>
      </m:oMath>
      <w:r>
        <w:t xml:space="preserve">)</w:t>
      </w:r>
    </w:p>
    <w:p>
      <w:pPr>
        <w:pStyle w:val="Compact"/>
        <w:numPr>
          <w:ilvl w:val="0"/>
          <w:numId w:val="1038"/>
        </w:numPr>
      </w:pPr>
      <w:r>
        <w:t xml:space="preserve">peak concentration (</w:t>
      </w:r>
      <m:oMath>
        <m:sSub>
          <m:e>
            <m:r>
              <m:t>y</m:t>
            </m:r>
          </m:e>
          <m:sub>
            <m:r>
              <m:t>1</m:t>
            </m:r>
          </m:sub>
        </m:sSub>
      </m:oMath>
      <w:r>
        <w:t xml:space="preserve">)</w:t>
      </w:r>
    </w:p>
    <w:p>
      <w:pPr>
        <w:pStyle w:val="Compact"/>
        <w:numPr>
          <w:ilvl w:val="0"/>
          <w:numId w:val="1038"/>
        </w:numPr>
      </w:pPr>
      <w:r>
        <w:t xml:space="preserve">time to peak (</w:t>
      </w:r>
      <m:oMath>
        <m:sSub>
          <m:e>
            <m:r>
              <m:t>t</m:t>
            </m:r>
          </m:e>
          <m:sub>
            <m:r>
              <m:t>1</m:t>
            </m:r>
          </m:sub>
        </m:sSub>
      </m:oMath>
      <w:r>
        <w:t xml:space="preserve">)</w:t>
      </w:r>
    </w:p>
    <w:p>
      <w:pPr>
        <w:pStyle w:val="Compact"/>
        <w:numPr>
          <w:ilvl w:val="0"/>
          <w:numId w:val="1038"/>
        </w:numPr>
      </w:pPr>
      <w:r>
        <w:t xml:space="preserve">decay rate (</w:t>
      </w:r>
      <m:oMath>
        <m:r>
          <m:t>α</m:t>
        </m:r>
      </m:oMath>
      <w:r>
        <w:t xml:space="preserve">)</w:t>
      </w:r>
    </w:p>
    <w:p>
      <w:pPr>
        <w:pStyle w:val="Compact"/>
        <w:numPr>
          <w:ilvl w:val="0"/>
          <w:numId w:val="1038"/>
        </w:numPr>
      </w:pPr>
      <w:r>
        <w:t xml:space="preserve">decay shape (</w:t>
      </w:r>
      <m:oMath>
        <m:r>
          <m:t>r</m:t>
        </m:r>
      </m:oMath>
      <w:r>
        <w:t xml:space="preserve">)</w:t>
      </w:r>
    </w:p>
    <w:bookmarkEnd w:id="108"/>
    <w:bookmarkStart w:id="110"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09">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10"/>
    <w:bookmarkStart w:id="111"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11"/>
    <w:bookmarkStart w:id="115"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CaptionedFigure"/>
      </w:pPr>
      <w:r>
        <w:drawing>
          <wp:inline>
            <wp:extent cx="5334000" cy="3000375"/>
            <wp:effectExtent b="0" l="0" r="0" t="0"/>
            <wp:docPr descr="Posterior densities of the five kinetic parameters from the cached nepal_sees_jags_output fit (HlyE IgG, Typhi), by MCMC chain." title="" id="113" name="Picture"/>
            <a:graphic>
              <a:graphicData uri="http://schemas.openxmlformats.org/drawingml/2006/picture">
                <pic:pic>
                  <pic:nvPicPr>
                    <pic:cNvPr descr="../man/figures/serodynamics-cached-fit.png" id="114" name="Picture"/>
                    <pic:cNvPicPr>
                      <a:picLocks noChangeArrowheads="1" noChangeAspect="1"/>
                    </pic:cNvPicPr>
                  </pic:nvPicPr>
                  <pic:blipFill>
                    <a:blip r:embed="rId11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15"/>
    <w:bookmarkStart w:id="116" w:name="two-packages-one-pipeline"/>
    <w:p>
      <w:pPr>
        <w:pStyle w:val="Heading2"/>
      </w:pPr>
      <w:r>
        <w:t xml:space="preserve">6.5 Two packages, one pipeline</w:t>
      </w:r>
    </w:p>
    <w:p>
      <w:pPr>
        <w:pStyle w:val="Compact"/>
        <w:numPr>
          <w:ilvl w:val="0"/>
          <w:numId w:val="1039"/>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9"/>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16"/>
    <w:bookmarkStart w:id="117"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40"/>
        </w:numPr>
      </w:pPr>
      <w:r>
        <w:rPr>
          <w:b/>
          <w:bCs/>
        </w:rPr>
        <w:t xml:space="preserve">estimation uncertainty</w:t>
      </w:r>
      <w:r>
        <w:t xml:space="preserve"> </w:t>
      </w:r>
      <w:r>
        <w:t xml:space="preserve">in the kinetics parameters, and</w:t>
      </w:r>
    </w:p>
    <w:p>
      <w:pPr>
        <w:pStyle w:val="Compact"/>
        <w:numPr>
          <w:ilvl w:val="0"/>
          <w:numId w:val="1040"/>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17"/>
    <w:bookmarkStart w:id="118"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41"/>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41"/>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18"/>
    <w:bookmarkEnd w:id="119"/>
    <w:bookmarkStart w:id="128" w:name="using-serocalculator"/>
    <w:p>
      <w:pPr>
        <w:pStyle w:val="Heading1"/>
      </w:pPr>
      <w:r>
        <w:t xml:space="preserve">7. Using</w:t>
      </w:r>
      <w:r>
        <w:t xml:space="preserve"> </w:t>
      </w:r>
      <w:r>
        <w:rPr>
          <w:rStyle w:val="VerbatimChar"/>
        </w:rPr>
        <w:t xml:space="preserve">serocalculator</w:t>
      </w:r>
    </w:p>
    <w:bookmarkStart w:id="121"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20">
        <w:r>
          <w:rPr>
            <w:rStyle w:val="VerbatimChar"/>
          </w:rPr>
          <w:t xml:space="preserve">serocalculator</w:t>
        </w:r>
      </w:hyperlink>
      <w:r>
        <w:t xml:space="preserve"> </w:t>
      </w:r>
      <w:r>
        <w:t xml:space="preserve">R package.</w:t>
      </w:r>
    </w:p>
    <w:bookmarkEnd w:id="121"/>
    <w:bookmarkStart w:id="122" w:name="estimating-seroincidence"/>
    <w:p>
      <w:pPr>
        <w:pStyle w:val="Heading2"/>
      </w:pPr>
      <w:r>
        <w:t xml:space="preserve">7.2 Estimating seroincidence</w:t>
      </w:r>
    </w:p>
    <w:bookmarkEnd w:id="122"/>
    <w:bookmarkStart w:id="127" w:name="interactive-shiny-app"/>
    <w:p>
      <w:pPr>
        <w:pStyle w:val="Heading2"/>
      </w:pPr>
      <w:r>
        <w:t xml:space="preserve">7.3 Interactive Shiny app</w:t>
      </w:r>
    </w:p>
    <w:p>
      <w:pPr>
        <w:pStyle w:val="FirstParagraph"/>
      </w:pPr>
      <w:r>
        <w:t xml:space="preserve">A point-and-click interface is available at</w:t>
      </w:r>
      <w:r>
        <w:t xml:space="preserve"> </w:t>
      </w:r>
      <w:hyperlink r:id="rId123">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25" name="Picture"/>
            <a:graphic>
              <a:graphicData uri="http://schemas.openxmlformats.org/drawingml/2006/picture">
                <pic:pic>
                  <pic:nvPicPr>
                    <pic:cNvPr descr="../man/figures/shiny-serocalculator.png" id="126" name="Picture"/>
                    <pic:cNvPicPr>
                      <a:picLocks noChangeArrowheads="1" noChangeAspect="1"/>
                    </pic:cNvPicPr>
                  </pic:nvPicPr>
                  <pic:blipFill>
                    <a:blip r:embed="rId124"/>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27"/>
    <w:bookmarkEnd w:id="128"/>
    <w:bookmarkStart w:id="151" w:name="X950effd5ffba89669b8964fc48817b69e54f5c8"/>
    <w:p>
      <w:pPr>
        <w:pStyle w:val="Heading1"/>
      </w:pPr>
      <w:r>
        <w:t xml:space="preserve">8. Validation: recovering known incidence rates</w:t>
      </w:r>
    </w:p>
    <w:bookmarkStart w:id="129" w:name="simulating-clusters-with-known-incidence"/>
    <w:p>
      <w:pPr>
        <w:pStyle w:val="Heading2"/>
      </w:pPr>
      <w:r>
        <w:t xml:space="preserve">8.1 Simulating clusters with known incidence</w:t>
      </w:r>
    </w:p>
    <w:p>
      <w:pPr>
        <w:pStyle w:val="FirstParagraph"/>
      </w:pPr>
      <w:r>
        <w:t xml:space="preserve">We can check the method by</w:t>
      </w:r>
      <w:r>
        <w:t xml:space="preserve"> </w:t>
      </w:r>
      <w:r>
        <w:rPr>
          <w:b/>
          <w:bCs/>
        </w:rPr>
        <w:t xml:space="preserve">simulating</w:t>
      </w:r>
      <w:r>
        <w:t xml:space="preserve"> </w:t>
      </w:r>
      <w:r>
        <w:t xml:space="preserve">cross-sectional serosurveys with</w:t>
      </w:r>
      <w:r>
        <w:t xml:space="preserve"> </w:t>
      </w:r>
      <w:r>
        <w:rPr>
          <w:b/>
          <w:bCs/>
        </w:rPr>
        <w:t xml:space="preserve">known</w:t>
      </w:r>
      <w:r>
        <w:t xml:space="preserve"> </w:t>
      </w:r>
      <w:r>
        <w:t xml:space="preserve">incidence rates and seeing whether the estimates recover them.</w:t>
      </w:r>
      <w:r>
        <w:t xml:space="preserve"> </w:t>
      </w:r>
      <w:r>
        <w:rPr>
          <w:rStyle w:val="VerbatimChar"/>
        </w:rPr>
        <w:t xml:space="preserve">sim_pop_data_multi()</w:t>
      </w:r>
      <w:r>
        <w:t xml:space="preserve"> </w:t>
      </w:r>
      <w:r>
        <w:t xml:space="preserve">simulates several clusters, each at a specified true</w:t>
      </w:r>
      <w:r>
        <w:t xml:space="preserve"> </w:t>
      </w:r>
      <w:r>
        <w:t xml:space="preserve">rate</w:t>
      </w:r>
      <w:r>
        <w:t xml:space="preserve"> </w:t>
      </w:r>
      <m:oMath>
        <m:r>
          <m:t>λ</m:t>
        </m:r>
      </m:oMath>
      <w:r>
        <w:t xml:space="preserve">:</w:t>
      </w:r>
    </w:p>
    <w:bookmarkEnd w:id="129"/>
    <w:bookmarkStart w:id="133" w:name="estimates-recover-the-simulated-rates"/>
    <w:p>
      <w:pPr>
        <w:pStyle w:val="Heading2"/>
      </w:pPr>
      <w:r>
        <w:t xml:space="preserve">8.2 Estimates recover the simulated rates</w:t>
      </w:r>
    </w:p>
    <w:p>
      <w:pPr>
        <w:pStyle w:val="CaptionedFigure"/>
      </w:pPr>
      <w:r>
        <w:drawing>
          <wp:inline>
            <wp:extent cx="5334000" cy="3810000"/>
            <wp:effectExtent b="0" l="0" r="0" t="0"/>
            <wp:docPr descr="Estimated incidence rates (points, with 95% CIs) for the simulated clusters track the true simulated rates (dashed identity line)." title="" id="131" name="Picture"/>
            <a:graphic>
              <a:graphicData uri="http://schemas.openxmlformats.org/drawingml/2006/picture">
                <pic:pic>
                  <pic:nvPicPr>
                    <pic:cNvPr descr="../man/figures/sim-recovery.png" id="132" name="Picture"/>
                    <pic:cNvPicPr>
                      <a:picLocks noChangeArrowheads="1" noChangeAspect="1"/>
                    </pic:cNvPicPr>
                  </pic:nvPicPr>
                  <pic:blipFill>
                    <a:blip r:embed="rId130"/>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Estimated incidence rates (points, with 95% CIs) for the simulated clusters track the true simulated rates (dashed identity line).</w:t>
      </w:r>
    </w:p>
    <w:p>
      <w:pPr>
        <w:pStyle w:val="BodyText"/>
      </w:pPr>
      <w:r>
        <w:t xml:space="preserve">Each point is one simulated cluster: the estimated incidence rate (with its</w:t>
      </w:r>
      <w:r>
        <w:t xml:space="preserve"> </w:t>
      </w:r>
      <w:r>
        <w:t xml:space="preserve">95% confidence interval) against the true rate used to generate the data.</w:t>
      </w:r>
      <w:r>
        <w:t xml:space="preserve"> </w:t>
      </w:r>
      <w:r>
        <w:t xml:space="preserve">The estimates scatter around the identity line, and the intervals are wider</w:t>
      </w:r>
      <w:r>
        <w:t xml:space="preserve"> </w:t>
      </w:r>
      <w:r>
        <w:t xml:space="preserve">at higher incidence. Abridged from the serocalculator</w:t>
      </w:r>
      <w:r>
        <w:t xml:space="preserve"> </w:t>
      </w:r>
      <w:r>
        <w:rPr>
          <w:rStyle w:val="VerbatimChar"/>
        </w:rPr>
        <w:t xml:space="preserve">simulate_xsectionalData</w:t>
      </w:r>
      <w:r>
        <w:t xml:space="preserve"> </w:t>
      </w:r>
      <w:r>
        <w:t xml:space="preserve">vignette.</w:t>
      </w:r>
    </w:p>
    <w:bookmarkEnd w:id="133"/>
    <w:bookmarkStart w:id="135" w:name="in-progress-work"/>
    <w:p>
      <w:pPr>
        <w:pStyle w:val="Heading2"/>
      </w:pPr>
      <w:r>
        <w:t xml:space="preserve">8.3 In-progress work</w:t>
      </w:r>
    </w:p>
    <w:p>
      <w:pPr>
        <w:numPr>
          <w:ilvl w:val="0"/>
          <w:numId w:val="1042"/>
        </w:numPr>
      </w:pPr>
      <w:r>
        <w:t xml:space="preserve">Extending and improving existing Shiny apps for these methods</w:t>
      </w:r>
      <w:r>
        <w:t xml:space="preserve"> </w:t>
      </w:r>
      <w:r>
        <w:t xml:space="preserve">(e.g., the</w:t>
      </w:r>
      <w:r>
        <w:t xml:space="preserve"> </w:t>
      </w:r>
      <w:hyperlink r:id="rId123">
        <w:r>
          <w:rPr>
            <w:rStyle w:val="Hyperlink"/>
          </w:rPr>
          <w:t xml:space="preserve">serocalculator Shiny app</w:t>
        </w:r>
      </w:hyperlink>
      <w:r>
        <w:t xml:space="preserve">,</w:t>
      </w:r>
      <w:r>
        <w:t xml:space="preserve"> </w:t>
      </w:r>
      <w:hyperlink r:id="rId134">
        <w:r>
          <w:rPr>
            <w:rStyle w:val="Hyperlink"/>
          </w:rPr>
          <w:t xml:space="preserve">source</w:t>
        </w:r>
      </w:hyperlink>
      <w:r>
        <w:t xml:space="preserve">)</w:t>
      </w:r>
    </w:p>
    <w:p>
      <w:pPr>
        <w:numPr>
          <w:ilvl w:val="0"/>
          <w:numId w:val="1042"/>
        </w:numPr>
      </w:pPr>
      <w:r>
        <w:t xml:space="preserve">Multivariate modeling of biomarkers (relaxing conditional independence)</w:t>
      </w:r>
    </w:p>
    <w:p>
      <w:pPr>
        <w:numPr>
          <w:ilvl w:val="0"/>
          <w:numId w:val="1042"/>
        </w:numPr>
      </w:pPr>
      <w:r>
        <w:t xml:space="preserve">A graphical (Shiny) app for</w:t>
      </w:r>
      <w:r>
        <w:t xml:space="preserve"> </w:t>
      </w:r>
      <w:r>
        <w:rPr>
          <w:rStyle w:val="VerbatimChar"/>
        </w:rPr>
        <w:t xml:space="preserve">serodynamics</w:t>
      </w:r>
    </w:p>
    <w:p>
      <w:pPr>
        <w:numPr>
          <w:ilvl w:val="0"/>
          <w:numId w:val="1042"/>
        </w:numPr>
      </w:pPr>
      <w:r>
        <w:t xml:space="preserve">Modeling time-varying incidence rates</w:t>
      </w:r>
    </w:p>
    <w:p>
      <w:pPr>
        <w:numPr>
          <w:ilvl w:val="0"/>
          <w:numId w:val="1042"/>
        </w:numPr>
      </w:pPr>
      <w:r>
        <w:t xml:space="preserve">Accounting for re-exposure</w:t>
      </w:r>
    </w:p>
    <w:p>
      <w:pPr>
        <w:numPr>
          <w:ilvl w:val="0"/>
          <w:numId w:val="1042"/>
        </w:numPr>
      </w:pPr>
      <w:r>
        <w:t xml:space="preserve">Accounting for latent immunocompromised subpopulations</w:t>
      </w:r>
    </w:p>
    <w:p>
      <w:pPr>
        <w:numPr>
          <w:ilvl w:val="0"/>
          <w:numId w:val="1042"/>
        </w:numPr>
      </w:pPr>
      <w:r>
        <w:t xml:space="preserve">Calibrating to population demographics</w:t>
      </w:r>
    </w:p>
    <w:bookmarkEnd w:id="135"/>
    <w:bookmarkStart w:id="137" w:name="X3ac2ed3a5325d857e7d247169867e838a0dd832"/>
    <w:p>
      <w:pPr>
        <w:pStyle w:val="Heading2"/>
      </w:pPr>
      <w:r>
        <w:t xml:space="preserve">8.4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36">
        <w:r>
          <w:rPr>
            <w:rStyle w:val="Hyperlink"/>
          </w:rPr>
          <w:t xml:space="preserve">UCD-SERG/shigella#13</w:t>
        </w:r>
      </w:hyperlink>
      <w:r>
        <w:t xml:space="preserve">).</w:t>
      </w:r>
    </w:p>
    <w:bookmarkEnd w:id="137"/>
    <w:bookmarkStart w:id="150" w:name="references"/>
    <w:p>
      <w:pPr>
        <w:pStyle w:val="Heading2"/>
      </w:pPr>
      <w:r>
        <w:t xml:space="preserve">References</w:t>
      </w:r>
    </w:p>
    <w:bookmarkStart w:id="149" w:name="refs"/>
    <w:bookmarkStart w:id="13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38">
        <w:r>
          <w:rPr>
            <w:rStyle w:val="Hyperlink"/>
          </w:rPr>
          <w:t xml:space="preserve">https://doi.org/10.1016/S2666-5247(22)00114-8</w:t>
        </w:r>
      </w:hyperlink>
      <w:r>
        <w:t xml:space="preserve">.</w:t>
      </w:r>
    </w:p>
    <w:bookmarkEnd w:id="139"/>
    <w:bookmarkStart w:id="141"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140">
        <w:r>
          <w:rPr>
            <w:rStyle w:val="Hyperlink"/>
          </w:rPr>
          <w:t xml:space="preserve">https://doi.org/10.1016/j.epidem.2024.100806</w:t>
        </w:r>
      </w:hyperlink>
      <w:r>
        <w:t xml:space="preserve">.</w:t>
      </w:r>
    </w:p>
    <w:bookmarkEnd w:id="141"/>
    <w:bookmarkStart w:id="143"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142">
        <w:r>
          <w:rPr>
            <w:rStyle w:val="Hyperlink"/>
          </w:rPr>
          <w:t xml:space="preserve">https://doi.org/10.1159/000286345</w:t>
        </w:r>
      </w:hyperlink>
      <w:r>
        <w:t xml:space="preserve">.</w:t>
      </w:r>
    </w:p>
    <w:bookmarkEnd w:id="143"/>
    <w:bookmarkStart w:id="145"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144">
        <w:r>
          <w:rPr>
            <w:rStyle w:val="Hyperlink"/>
          </w:rPr>
          <w:t xml:space="preserve">https://doi.org/10.1002/sim.8578</w:t>
        </w:r>
      </w:hyperlink>
      <w:r>
        <w:t xml:space="preserve">.</w:t>
      </w:r>
    </w:p>
    <w:bookmarkEnd w:id="145"/>
    <w:bookmarkStart w:id="147"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146">
        <w:r>
          <w:rPr>
            <w:rStyle w:val="Hyperlink"/>
          </w:rPr>
          <w:t xml:space="preserve">https://doi.org/10.1016/j.epidem.2016.04.001</w:t>
        </w:r>
      </w:hyperlink>
      <w:r>
        <w:t xml:space="preserve">.</w:t>
      </w:r>
    </w:p>
    <w:bookmarkEnd w:id="147"/>
    <w:bookmarkStart w:id="148"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148"/>
    <w:bookmarkEnd w:id="149"/>
    <w:bookmarkEnd w:id="150"/>
    <w:bookmarkEnd w:id="1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6" Target="media/rId16.jpg" /><Relationship Type="http://schemas.openxmlformats.org/officeDocument/2006/relationships/image" Id="rId21" Target="media/rId21.jpg" /><Relationship Type="http://schemas.openxmlformats.org/officeDocument/2006/relationships/image" Id="rId99" Target="media/rId99.png" /><Relationship Type="http://schemas.openxmlformats.org/officeDocument/2006/relationships/image" Id="rId103" Target="media/rId103.png" /><Relationship Type="http://schemas.openxmlformats.org/officeDocument/2006/relationships/image" Id="rId86" Target="media/rId86.svg" /><Relationship Type="http://schemas.openxmlformats.org/officeDocument/2006/relationships/image" Id="rId112" Target="media/rId112.png" /><Relationship Type="http://schemas.openxmlformats.org/officeDocument/2006/relationships/image" Id="rId124" Target="media/rId124.png" /><Relationship Type="http://schemas.openxmlformats.org/officeDocument/2006/relationships/image" Id="rId130" Target="media/rId130.png" /><Relationship Type="http://schemas.openxmlformats.org/officeDocument/2006/relationships/image" Id="rId51" Target="media/rId51.png" /><Relationship Type="http://schemas.openxmlformats.org/officeDocument/2006/relationships/image" Id="rId94" Target="media/rId94.png" /><Relationship Type="http://schemas.openxmlformats.org/officeDocument/2006/relationships/image" Id="rId81" Target="media/rId81.png" /><Relationship Type="http://schemas.openxmlformats.org/officeDocument/2006/relationships/image" Id="rId28" Target="media/rId28.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hyperlink" Id="rId19" Target="https://commons.wikimedia.org/wiki/File:Shigella_stool.jpg" TargetMode="External" /><Relationship Type="http://schemas.openxmlformats.org/officeDocument/2006/relationships/hyperlink" Id="rId24" Target="https://commons.wikimedia.org/wiki/File:Trombicula-larva-stylostome.jpg" TargetMode="External" /><Relationship Type="http://schemas.openxmlformats.org/officeDocument/2006/relationships/hyperlink" Id="rId25" Target="https://creativecommons.org/licenses/by-sa/3.0/" TargetMode="External" /><Relationship Type="http://schemas.openxmlformats.org/officeDocument/2006/relationships/hyperlink" Id="rId144" Target="https://doi.org/10.1002/sim.8578" TargetMode="External" /><Relationship Type="http://schemas.openxmlformats.org/officeDocument/2006/relationships/hyperlink" Id="rId138" Target="https://doi.org/10.1016/S2666-5247(22)00114-8" TargetMode="External" /><Relationship Type="http://schemas.openxmlformats.org/officeDocument/2006/relationships/hyperlink" Id="rId146" Target="https://doi.org/10.1016/j.epidem.2016.04.001" TargetMode="External" /><Relationship Type="http://schemas.openxmlformats.org/officeDocument/2006/relationships/hyperlink" Id="rId140" Target="https://doi.org/10.1016/j.epidem.2024.100806" TargetMode="External" /><Relationship Type="http://schemas.openxmlformats.org/officeDocument/2006/relationships/hyperlink" Id="rId142" Target="https://doi.org/10.1159/000286345" TargetMode="External" /><Relationship Type="http://schemas.openxmlformats.org/officeDocument/2006/relationships/hyperlink" Id="rId120" Target="https://github.com/UCD-SERG/serocalculator" TargetMode="External" /><Relationship Type="http://schemas.openxmlformats.org/officeDocument/2006/relationships/hyperlink" Id="rId109" Target="https://github.com/UCD-SERG/serodynamics" TargetMode="External" /><Relationship Type="http://schemas.openxmlformats.org/officeDocument/2006/relationships/hyperlink" Id="rId47" Target="https://github.com/UCD-SERG/serodynamics/issues/11" TargetMode="External" /><Relationship Type="http://schemas.openxmlformats.org/officeDocument/2006/relationships/hyperlink" Id="rId136" Target="https://github.com/UCD-SERG/shigella/pull/13" TargetMode="External" /><Relationship Type="http://schemas.openxmlformats.org/officeDocument/2006/relationships/hyperlink" Id="rId134" Target="https://github.com/UCD-SERG/shiny_serocalculator" TargetMode="External" /><Relationship Type="http://schemas.openxmlformats.org/officeDocument/2006/relationships/hyperlink" Id="rId85" Target="https://ucdserg.shinyapps.io/antibody-kinetics-model-2/" TargetMode="External" /><Relationship Type="http://schemas.openxmlformats.org/officeDocument/2006/relationships/hyperlink" Id="rId123"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9" Target="https://commons.wikimedia.org/wiki/File:Shigella_stool.jpg" TargetMode="External" /><Relationship Type="http://schemas.openxmlformats.org/officeDocument/2006/relationships/hyperlink" Id="rId24" Target="https://commons.wikimedia.org/wiki/File:Trombicula-larva-stylostome.jpg" TargetMode="External" /><Relationship Type="http://schemas.openxmlformats.org/officeDocument/2006/relationships/hyperlink" Id="rId25" Target="https://creativecommons.org/licenses/by-sa/3.0/" TargetMode="External" /><Relationship Type="http://schemas.openxmlformats.org/officeDocument/2006/relationships/hyperlink" Id="rId144" Target="https://doi.org/10.1002/sim.8578" TargetMode="External" /><Relationship Type="http://schemas.openxmlformats.org/officeDocument/2006/relationships/hyperlink" Id="rId138" Target="https://doi.org/10.1016/S2666-5247(22)00114-8" TargetMode="External" /><Relationship Type="http://schemas.openxmlformats.org/officeDocument/2006/relationships/hyperlink" Id="rId146" Target="https://doi.org/10.1016/j.epidem.2016.04.001" TargetMode="External" /><Relationship Type="http://schemas.openxmlformats.org/officeDocument/2006/relationships/hyperlink" Id="rId140" Target="https://doi.org/10.1016/j.epidem.2024.100806" TargetMode="External" /><Relationship Type="http://schemas.openxmlformats.org/officeDocument/2006/relationships/hyperlink" Id="rId142" Target="https://doi.org/10.1159/000286345" TargetMode="External" /><Relationship Type="http://schemas.openxmlformats.org/officeDocument/2006/relationships/hyperlink" Id="rId120" Target="https://github.com/UCD-SERG/serocalculator" TargetMode="External" /><Relationship Type="http://schemas.openxmlformats.org/officeDocument/2006/relationships/hyperlink" Id="rId109" Target="https://github.com/UCD-SERG/serodynamics" TargetMode="External" /><Relationship Type="http://schemas.openxmlformats.org/officeDocument/2006/relationships/hyperlink" Id="rId47" Target="https://github.com/UCD-SERG/serodynamics/issues/11" TargetMode="External" /><Relationship Type="http://schemas.openxmlformats.org/officeDocument/2006/relationships/hyperlink" Id="rId136" Target="https://github.com/UCD-SERG/shigella/pull/13" TargetMode="External" /><Relationship Type="http://schemas.openxmlformats.org/officeDocument/2006/relationships/hyperlink" Id="rId134" Target="https://github.com/UCD-SERG/shiny_serocalculator" TargetMode="External" /><Relationship Type="http://schemas.openxmlformats.org/officeDocument/2006/relationships/hyperlink" Id="rId85" Target="https://ucdserg.shinyapps.io/antibody-kinetics-model-2/" TargetMode="External" /><Relationship Type="http://schemas.openxmlformats.org/officeDocument/2006/relationships/hyperlink" Id="rId123"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2026-07-22T02:24:23Z</dcterms:created>
  <dcterms:modified xsi:type="dcterms:W3CDTF">2026-07-22T02:24:23Z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Invalid Date</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y fmtid="{D5CDD505-2E9C-101B-9397-08002B2CF9AE}" pid="13" name="vignette">
    <vt:lpwstr>% % %</vt:lpwstr>
  </property>
</Properties>
</file>