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8.png" ContentType="image/png"/>
  <Override PartName="/word/media/rId112.png" ContentType="image/png"/>
  <Override PartName="/word/media/rId89.svg" ContentType="image/svg+xml"/>
  <Override PartName="/word/media/rId121.png" ContentType="image/png"/>
  <Override PartName="/word/media/rId145.png" ContentType="image/png"/>
  <Override PartName="/word/media/rId157.png" ContentType="image/png"/>
  <Override PartName="/word/media/rId97.png" ContentType="image/png"/>
  <Override PartName="/word/media/rId172.png" ContentType="image/png"/>
  <Override PartName="/word/media/rId138.png" ContentType="image/png"/>
  <Override PartName="/word/media/rId52.png" ContentType="image/png"/>
  <Override PartName="/word/media/rId103.png" ContentType="image/png"/>
  <Override PartName="/word/media/rId163.png" ContentType="image/png"/>
  <Override PartName="/word/media/rId84.png" ContentType="image/png"/>
  <Override PartName="/word/media/rId133.png" ContentType="image/png"/>
  <Override PartName="/word/media/rId150.png" ContentType="image/png"/>
  <Override PartName="/word/media/rId168.png" ContentType="image/png"/>
  <Override PartName="/word/media/rId177.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9"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8"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of the</w:t>
      </w:r>
      <w:r>
        <w:t xml:space="preserve"> </w:t>
      </w:r>
      <w:r>
        <w:rPr>
          <w:i/>
          <w:iCs/>
        </w:rPr>
        <w:t xml:space="preserve">negative</w:t>
      </w:r>
      <w:r>
        <w:t xml:space="preserve"> </w:t>
      </w:r>
      <w:r>
        <w:t xml:space="preserve">log-likelihood</w:t>
      </w:r>
      <w:r>
        <w:t xml:space="preserve"> </w:t>
      </w:r>
      <w:r>
        <w:t xml:space="preserve">(the observed information),</w:t>
      </w:r>
      <w:r>
        <w:t xml:space="preserve"> </w:t>
      </w:r>
      <w:r>
        <w:t xml:space="preserve">evaluated at the MLE</w:t>
      </w:r>
      <w:r>
        <w:t xml:space="preserve"> </w:t>
      </w:r>
      <m:oMath>
        <m:acc>
          <m:accPr>
            <m:chr m:val="̂"/>
          </m:accPr>
          <m:e>
            <m:r>
              <m:t>λ</m:t>
            </m:r>
          </m:e>
        </m:acc>
      </m:oMath>
      <w:r>
        <w:t xml:space="preserve">.</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multi-way-clustering"/>
    <w:p>
      <w:pPr>
        <w:pStyle w:val="Heading3"/>
      </w:pPr>
      <w:r>
        <w:t xml:space="preserve">4.15.3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p>
      <w:pPr>
        <w:pStyle w:val="BodyText"/>
      </w:pP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defined above,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p>
      <w:pPr>
        <w:pStyle w:val="FirstParagraph"/>
      </w:pPr>
      <w:r>
        <w:t xml:space="preserve">For two cluster variables (</w:t>
      </w:r>
      <m:oMath>
        <m:r>
          <m:t>p</m:t>
        </m:r>
        <m:r>
          <m:rPr>
            <m:sty m:val="p"/>
          </m:rPr>
          <m:t>=</m:t>
        </m:r>
        <m:r>
          <m:t>2</m:t>
        </m:r>
      </m:oMath>
      <w:r>
        <w:t xml:space="preserve">),</w:t>
      </w:r>
      <w:r>
        <w:t xml:space="preserve"> </w:t>
      </w:r>
      <w:r>
        <w:t xml:space="preserve">this reduces to the familiar 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r>
        <w:t xml:space="preserve"> </w:t>
      </w: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bookmarkEnd w:id="74"/>
    <w:bookmarkStart w:id="75" w:name="small-sample-correction-and-safeguards"/>
    <w:p>
      <w:pPr>
        <w:pStyle w:val="Heading3"/>
      </w:pPr>
      <w:r>
        <w:t xml:space="preserve">4.15.4 Small-sample correction and safeguards</w:t>
      </w:r>
    </w:p>
    <w:p>
      <w:pPr>
        <w:pStyle w:val="FirstParagraph"/>
      </w:pP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by a forward finite difference of the 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p>
      <w:pPr>
        <w:pStyle w:val="FirstParagraph"/>
      </w:pP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is inflated by the usual</w:t>
      </w:r>
      <w:r>
        <w:t xml:space="preserve"> </w:t>
      </w:r>
      <w:r>
        <w:t xml:space="preserve">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p>
      <w:pPr>
        <w:pStyle w:val="BodyText"/>
      </w:pPr>
      <w:r>
        <w:t xml:space="preserve">The inclusion-exclusion sum</w:t>
      </w:r>
      <w:r>
        <w:t xml:space="preserve"> </w:t>
      </w:r>
      <m:oMath>
        <m:sSub>
          <m:e>
            <m:r>
              <m:t>V</m:t>
            </m:r>
          </m:e>
          <m:sub>
            <m:r>
              <m:rPr>
                <m:nor/>
                <m:sty m:val="p"/>
              </m:rPr>
              <m:t>multiway</m:t>
            </m:r>
          </m:sub>
        </m:sSub>
      </m:oMath>
      <w:r>
        <w:t xml:space="preserve"> </w:t>
      </w:r>
      <w:r>
        <w:t xml:space="preserve">is not guaranteed to be non-negative.</w:t>
      </w:r>
      <w:r>
        <w:t xml:space="preserve"> </w:t>
      </w:r>
      <w:r>
        <w:t xml:space="preserve">This is a documented property of the Cameron-Gelbach-Miller estimator,</w:t>
      </w:r>
      <w:r>
        <w:t xml:space="preserve"> </w:t>
      </w:r>
      <w:r>
        <w:t xml:space="preserve">not a bug.</w:t>
      </w:r>
      <w:r>
        <w:t xml:space="preserve"> </w:t>
      </w:r>
      <w:r>
        <w:rPr>
          <w:rStyle w:val="VerbatimChar"/>
        </w:rPr>
        <w:t xml:space="preserve">serocalculator</w:t>
      </w:r>
      <w:r>
        <w:t xml:space="preserve"> </w:t>
      </w:r>
      <w:r>
        <w:t xml:space="preserve">therefore floors the raw estimate at 0</w:t>
      </w:r>
      <w:r>
        <w:t xml:space="preserve"> </w:t>
      </w:r>
      <w:r>
        <w:t xml:space="preserve">(emitting a warning) before it can reach</w:t>
      </w:r>
      <w:r>
        <w:t xml:space="preserve"> </w:t>
      </w:r>
      <m:oMath>
        <m:rad>
          <m:radPr>
            <m:degHide m:val="on"/>
          </m:radPr>
          <m:deg/>
          <m:e>
            <m:r>
              <m:t>V</m:t>
            </m:r>
          </m:e>
        </m:rad>
      </m:oMath>
      <w:r>
        <w:t xml:space="preserve"> </w:t>
      </w:r>
      <w:r>
        <w:t xml:space="preserve">as a silent</w:t>
      </w:r>
      <w:r>
        <w:t xml:space="preserve"> </w:t>
      </w:r>
      <w:r>
        <w:rPr>
          <w:rStyle w:val="VerbatimChar"/>
        </w:rPr>
        <w:t xml:space="preserve">NaN</w:t>
      </w:r>
      <w:r>
        <w:t xml:space="preserve">:</w:t>
      </w:r>
    </w:p>
    <w:p>
      <w:pPr>
        <w:pStyle w:val="BodyText"/>
      </w:pPr>
      <m:oMathPara>
        <m:oMathParaPr>
          <m:jc m:val="center"/>
        </m:oMathParaPr>
        <m:oMath>
          <m:sSubSup>
            <m:e>
              <m:r>
                <m:t>V</m:t>
              </m:r>
            </m:e>
            <m:sub>
              <m:r>
                <m:rPr>
                  <m:nor/>
                  <m:sty m:val="p"/>
                </m:rPr>
                <m:t>raw</m:t>
              </m:r>
            </m:sub>
            <m:sup>
              <m:r>
                <m:rPr>
                  <m:sty m:val="p"/>
                </m:rPr>
                <m:t>+</m:t>
              </m:r>
            </m:sup>
          </m:sSubSup>
          <m:r>
            <m:rPr>
              <m:sty m:val="p"/>
            </m:rPr>
            <m:t>=</m:t>
          </m:r>
          <m:r>
            <m:rPr>
              <m:sty m:val="p"/>
            </m:rPr>
            <m:t>max</m:t>
          </m:r>
          <m:r>
            <m:t>​</m:t>
          </m:r>
          <m:d>
            <m:dPr>
              <m:begChr m:val="("/>
              <m:sepChr m:val=""/>
              <m:endChr m:val=")"/>
              <m:grow/>
            </m:dPr>
            <m:e>
              <m:r>
                <m:t>0</m:t>
              </m:r>
              <m:r>
                <m:rPr>
                  <m:sty m:val="p"/>
                </m:rPr>
                <m:t>,</m:t>
              </m:r>
              <m:sSub>
                <m:e>
                  <m:r>
                    <m:t>V</m:t>
                  </m:r>
                </m:e>
                <m:sub>
                  <m:r>
                    <m:rPr>
                      <m:nor/>
                      <m:sty m:val="p"/>
                    </m:rPr>
                    <m:t>multiway</m:t>
                  </m:r>
                </m:sub>
              </m:sSub>
            </m:e>
          </m:d>
          <m:r>
            <m:t>​</m:t>
          </m:r>
        </m:oMath>
      </m:oMathPara>
    </w:p>
    <w:p>
      <w:pPr>
        <w:pStyle w:val="FirstParagraph"/>
      </w:pPr>
      <w:r>
        <w:t xml:space="preserve">Setting</w:t>
      </w:r>
      <w:r>
        <w:t xml:space="preserve"> </w:t>
      </w:r>
      <w:r>
        <w:rPr>
          <w:rStyle w:val="VerbatimChar"/>
        </w:rPr>
        <w:t xml:space="preserve">floor_to_standard = TRUE</w:t>
      </w:r>
      <w:r>
        <w:t xml:space="preserve"> </w:t>
      </w:r>
      <w:r>
        <w:t xml:space="preserve">additionally floors the result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Sup>
                <m:e>
                  <m:r>
                    <m:t>V</m:t>
                  </m:r>
                </m:e>
                <m:sub>
                  <m:r>
                    <m:rPr>
                      <m:nor/>
                      <m:sty m:val="p"/>
                    </m:rPr>
                    <m:t>raw</m:t>
                  </m:r>
                </m:sub>
                <m:sup>
                  <m:r>
                    <m:rPr>
                      <m:sty m:val="p"/>
                    </m:rPr>
                    <m:t>+</m:t>
                  </m:r>
                </m:sup>
              </m:sSubSup>
            </m:e>
          </m:d>
          <m:r>
            <m:t>​</m:t>
          </m:r>
        </m:oMath>
      </m:oMathPara>
    </w:p>
    <w:p>
      <w:pPr>
        <w:pStyle w:val="FirstParagraph"/>
      </w:pPr>
      <w:r>
        <w:t xml:space="preserve">If any one-way subset term is unavailable,</w:t>
      </w:r>
      <w:r>
        <w:t xml:space="preserve"> </w:t>
      </w:r>
      <w:r>
        <w:t xml:space="preserve">for example because its Hessian is non-finite or non-positive,</w:t>
      </w:r>
      <w:r>
        <w:t xml:space="preserve"> </w:t>
      </w:r>
      <w:r>
        <w:t xml:space="preserve">the inclusion-exclusion sum is itself non-finite.</w:t>
      </w:r>
      <w:r>
        <w:t xml:space="preserve"> </w:t>
      </w:r>
      <w:r>
        <w:rPr>
          <w:rStyle w:val="VerbatimChar"/>
        </w:rPr>
        <w:t xml:space="preserve">serocalculator</w:t>
      </w:r>
      <w:r>
        <w:t xml:space="preserve"> </w:t>
      </w:r>
      <w:r>
        <w:t xml:space="preserve">warns and returns a missing standard error in that case,</w:t>
      </w:r>
      <w:r>
        <w:t xml:space="preserve"> </w:t>
      </w:r>
      <w:r>
        <w:t xml:space="preserve">or falls back to</w:t>
      </w:r>
      <w:r>
        <w:t xml:space="preserve"> </w:t>
      </w:r>
      <m:oMath>
        <m:sSub>
          <m:e>
            <m:r>
              <m:t>V</m:t>
            </m:r>
          </m:e>
          <m:sub>
            <m:r>
              <m:rPr>
                <m:nor/>
                <m:sty m:val="p"/>
              </m:rPr>
              <m:t>standard</m:t>
            </m:r>
          </m:sub>
        </m:sSub>
      </m:oMath>
      <w:r>
        <w:t xml:space="preserve"> </w:t>
      </w:r>
      <w:r>
        <w:t xml:space="preserve">when</w:t>
      </w:r>
      <w:r>
        <w:t xml:space="preserve"> </w:t>
      </w:r>
      <w:r>
        <w:rPr>
          <w:rStyle w:val="VerbatimChar"/>
        </w:rPr>
        <w:t xml:space="preserve">floor_to_standard = TRUE</w:t>
      </w:r>
      <w:r>
        <w:t xml:space="preserve">,</w:t>
      </w:r>
      <w:r>
        <w:t xml:space="preserve"> </w:t>
      </w:r>
      <w:r>
        <w:t xml:space="preserve">rather than letting the missing value propagate silently.</w:t>
      </w:r>
    </w:p>
    <w:bookmarkEnd w:id="75"/>
    <w:bookmarkStart w:id="76" w:name="implementation-in-serocalculator"/>
    <w:p>
      <w:pPr>
        <w:pStyle w:val="Heading3"/>
      </w:pPr>
      <w:r>
        <w:t xml:space="preserve">4.15.5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bookmarkEnd w:id="76"/>
    <w:bookmarkStart w:id="77" w:name="effect-on-results"/>
    <w:p>
      <w:pPr>
        <w:pStyle w:val="Heading3"/>
      </w:pPr>
      <w:r>
        <w:t xml:space="preserve">4.15.6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7"/>
    <w:bookmarkEnd w:id="78"/>
    <w:bookmarkEnd w:id="79"/>
    <w:bookmarkStart w:id="116"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80"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80"/>
    <w:bookmarkStart w:id="81"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1"/>
    <w:bookmarkStart w:id="82"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2"/>
    <w:bookmarkStart w:id="83"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3"/>
    <w:bookmarkStart w:id="92"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7" w:name="fig-response-graph"/>
          <w:p>
            <w:pPr>
              <w:pStyle w:val="Compact"/>
              <w:jc w:val="center"/>
            </w:pPr>
            <w:r>
              <w:drawing>
                <wp:inline>
                  <wp:extent cx="4620126" cy="3696101"/>
                  <wp:effectExtent b="0" l="0" r="0" t="0"/>
                  <wp:docPr descr="" title="" id="85" name="Picture"/>
                  <a:graphic>
                    <a:graphicData uri="http://schemas.openxmlformats.org/drawingml/2006/picture">
                      <pic:pic>
                        <pic:nvPicPr>
                          <pic:cNvPr descr="methodology_files/figure-docx/fig-response-graph-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7"/>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8">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90" name="Picture"/>
            <a:graphic>
              <a:graphicData uri="http://schemas.openxmlformats.org/drawingml/2006/picture">
                <pic:pic>
                  <pic:nvPicPr>
                    <pic:cNvPr descr="../man/figures/qr_akm2.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2"/>
    <w:bookmarkStart w:id="93"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3"/>
    <w:bookmarkStart w:id="94"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4"/>
    <w:bookmarkStart w:id="95"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5"/>
    <w:bookmarkStart w:id="96"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6"/>
    <w:bookmarkStart w:id="101"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00" w:name="fig-curve-posterior"/>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curve-posterior-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00"/>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01"/>
    <w:bookmarkStart w:id="107"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2">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loglik"/>
          <w:p>
            <w:pPr>
              <w:pStyle w:val="Compact"/>
              <w:jc w:val="center"/>
            </w:pPr>
            <w:r>
              <w:drawing>
                <wp:inline>
                  <wp:extent cx="4620126" cy="3696101"/>
                  <wp:effectExtent b="0" l="0" r="0" t="0"/>
                  <wp:docPr descr="" title="" id="104" name="Picture"/>
                  <a:graphic>
                    <a:graphicData uri="http://schemas.openxmlformats.org/drawingml/2006/picture">
                      <pic:pic>
                        <pic:nvPicPr>
                          <pic:cNvPr descr="methodology_files/figure-docx/fig-loglik-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6"/>
        </w:tc>
      </w:tr>
    </w:tbl>
    <w:bookmarkEnd w:id="107"/>
    <w:bookmarkStart w:id="111"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9" name="Picture"/>
            <a:graphic>
              <a:graphicData uri="http://schemas.openxmlformats.org/drawingml/2006/picture">
                <pic:pic>
                  <pic:nvPicPr>
                    <pic:cNvPr descr="../man/figures/kinetics-variation-1.png" id="110" name="Picture"/>
                    <pic:cNvPicPr>
                      <a:picLocks noChangeArrowheads="1" noChangeAspect="1"/>
                    </pic:cNvPicPr>
                  </pic:nvPicPr>
                  <pic:blipFill>
                    <a:blip r:embed="rId108"/>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11"/>
    <w:bookmarkStart w:id="115"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3" name="Picture"/>
            <a:graphic>
              <a:graphicData uri="http://schemas.openxmlformats.org/drawingml/2006/picture">
                <pic:pic>
                  <pic:nvPicPr>
                    <pic:cNvPr descr="../man/figures/kinetics-variation-2.png" id="114" name="Picture"/>
                    <pic:cNvPicPr>
                      <a:picLocks noChangeArrowheads="1" noChangeAspect="1"/>
                    </pic:cNvPicPr>
                  </pic:nvPicPr>
                  <pic:blipFill>
                    <a:blip r:embed="rId112"/>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5"/>
    <w:bookmarkEnd w:id="116"/>
    <w:bookmarkStart w:id="128" w:name="estimating-the-curves-with-serodynamics"/>
    <w:p>
      <w:pPr>
        <w:pStyle w:val="Heading1"/>
      </w:pPr>
      <w:r>
        <w:t xml:space="preserve">6. Estimating the curves with</w:t>
      </w:r>
      <w:r>
        <w:t xml:space="preserve"> </w:t>
      </w:r>
      <w:r>
        <w:rPr>
          <w:rStyle w:val="VerbatimChar"/>
        </w:rPr>
        <w:t xml:space="preserve">serodynamics</w:t>
      </w:r>
    </w:p>
    <w:bookmarkStart w:id="117"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7"/>
    <w:bookmarkStart w:id="119"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8">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9"/>
    <w:bookmarkStart w:id="120"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20"/>
    <w:bookmarkStart w:id="124"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2" name="Picture"/>
            <a:graphic>
              <a:graphicData uri="http://schemas.openxmlformats.org/drawingml/2006/picture">
                <pic:pic>
                  <pic:nvPicPr>
                    <pic:cNvPr descr="../man/figures/serodynamics-cached-fit.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4"/>
    <w:bookmarkStart w:id="125"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5"/>
    <w:bookmarkStart w:id="126"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6"/>
    <w:bookmarkStart w:id="127"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7"/>
    <w:bookmarkEnd w:id="128"/>
    <w:bookmarkStart w:id="149" w:name="using-serocalculator"/>
    <w:p>
      <w:pPr>
        <w:pStyle w:val="Heading1"/>
      </w:pPr>
      <w:r>
        <w:t xml:space="preserve">7. Using</w:t>
      </w:r>
      <w:r>
        <w:t xml:space="preserve"> </w:t>
      </w:r>
      <w:r>
        <w:rPr>
          <w:rStyle w:val="VerbatimChar"/>
        </w:rPr>
        <w:t xml:space="preserve">serocalculator</w:t>
      </w:r>
    </w:p>
    <w:bookmarkStart w:id="13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9">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30"/>
    <w:bookmarkStart w:id="131"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31"/>
    <w:bookmarkStart w:id="132"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2"/>
    <w:bookmarkStart w:id="137"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6" w:name="fig-sim-distribution"/>
          <w:p>
            <w:pPr>
              <w:pStyle w:val="Compact"/>
              <w:jc w:val="center"/>
            </w:pPr>
            <w:r>
              <w:drawing>
                <wp:inline>
                  <wp:extent cx="4620126" cy="3696101"/>
                  <wp:effectExtent b="0" l="0" r="0" t="0"/>
                  <wp:docPr descr="" title="" id="134" name="Picture"/>
                  <a:graphic>
                    <a:graphicData uri="http://schemas.openxmlformats.org/drawingml/2006/picture">
                      <pic:pic>
                        <pic:nvPicPr>
                          <pic:cNvPr descr="methodology_files/figure-docx/fig-sim-distribution-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6"/>
        </w:tc>
      </w:tr>
    </w:tbl>
    <w:bookmarkEnd w:id="137"/>
    <w:bookmarkStart w:id="142"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41" w:name="fig-est-single-loglik"/>
          <w:p>
            <w:pPr>
              <w:pStyle w:val="Compact"/>
              <w:jc w:val="center"/>
            </w:pPr>
            <w:r>
              <w:drawing>
                <wp:inline>
                  <wp:extent cx="4620126" cy="3696101"/>
                  <wp:effectExtent b="0" l="0" r="0" t="0"/>
                  <wp:docPr descr="" title="" id="139" name="Picture"/>
                  <a:graphic>
                    <a:graphicData uri="http://schemas.openxmlformats.org/drawingml/2006/picture">
                      <pic:pic>
                        <pic:nvPicPr>
                          <pic:cNvPr descr="methodology_files/figure-docx/fig-est-single-loglik-1.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41"/>
        </w:tc>
      </w:tr>
    </w:tbl>
    <w:bookmarkEnd w:id="142"/>
    <w:bookmarkStart w:id="143"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3"/>
    <w:bookmarkStart w:id="148" w:name="interactive-shiny-app"/>
    <w:p>
      <w:pPr>
        <w:pStyle w:val="Heading2"/>
      </w:pPr>
      <w:r>
        <w:t xml:space="preserve">7.7 Interactive Shiny app</w:t>
      </w:r>
    </w:p>
    <w:p>
      <w:pPr>
        <w:pStyle w:val="FirstParagraph"/>
      </w:pPr>
      <w:r>
        <w:t xml:space="preserve">A point-and-click interface is available at</w:t>
      </w:r>
      <w:r>
        <w:t xml:space="preserve"> </w:t>
      </w:r>
      <w:hyperlink r:id="rId14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6" name="Picture"/>
            <a:graphic>
              <a:graphicData uri="http://schemas.openxmlformats.org/drawingml/2006/picture">
                <pic:pic>
                  <pic:nvPicPr>
                    <pic:cNvPr descr="../man/figures/shiny-serocalculator.png" id="147" name="Picture"/>
                    <pic:cNvPicPr>
                      <a:picLocks noChangeArrowheads="1" noChangeAspect="1"/>
                    </pic:cNvPicPr>
                  </pic:nvPicPr>
                  <pic:blipFill>
                    <a:blip r:embed="rId14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8"/>
    <w:bookmarkEnd w:id="149"/>
    <w:bookmarkStart w:id="182" w:name="sec-validation"/>
    <w:p>
      <w:pPr>
        <w:pStyle w:val="Heading1"/>
      </w:pPr>
      <w:r>
        <w:t xml:space="preserve">8. Validation: recovering known incidence rates</w:t>
      </w:r>
    </w:p>
    <w:bookmarkStart w:id="154"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3" w:name="fig-sim-multi-distribution"/>
          <w:p>
            <w:pPr>
              <w:pStyle w:val="Compact"/>
              <w:jc w:val="center"/>
            </w:pPr>
            <w:r>
              <w:drawing>
                <wp:inline>
                  <wp:extent cx="4620126" cy="4620126"/>
                  <wp:effectExtent b="0" l="0" r="0" t="0"/>
                  <wp:docPr descr="" title="" id="151" name="Picture"/>
                  <a:graphic>
                    <a:graphicData uri="http://schemas.openxmlformats.org/drawingml/2006/picture">
                      <pic:pic>
                        <pic:nvPicPr>
                          <pic:cNvPr descr="methodology_files/figure-docx/fig-sim-multi-distribution-1.png" id="152" name="Picture"/>
                          <pic:cNvPicPr>
                            <a:picLocks noChangeArrowheads="1" noChangeAspect="1"/>
                          </pic:cNvPicPr>
                        </pic:nvPicPr>
                        <pic:blipFill>
                          <a:blip r:embed="rId15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3"/>
        </w:tc>
      </w:tr>
    </w:tbl>
    <w:bookmarkEnd w:id="154"/>
    <w:bookmarkStart w:id="156"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5"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5"/>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6"/>
    <w:bookmarkStart w:id="161"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60" w:name="fig-cluster-logliks"/>
          <w:p>
            <w:pPr>
              <w:pStyle w:val="Compact"/>
              <w:jc w:val="center"/>
            </w:pPr>
            <w:r>
              <w:drawing>
                <wp:inline>
                  <wp:extent cx="4620126" cy="6468176"/>
                  <wp:effectExtent b="0" l="0" r="0" t="0"/>
                  <wp:docPr descr="" title="" id="158" name="Picture"/>
                  <a:graphic>
                    <a:graphicData uri="http://schemas.openxmlformats.org/drawingml/2006/picture">
                      <pic:pic>
                        <pic:nvPicPr>
                          <pic:cNvPr descr="methodology_files/figure-docx/fig-cluster-logliks-1.png" id="159" name="Picture"/>
                          <pic:cNvPicPr>
                            <a:picLocks noChangeArrowheads="1" noChangeAspect="1"/>
                          </pic:cNvPicPr>
                        </pic:nvPicPr>
                        <pic:blipFill>
                          <a:blip r:embed="rId15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60"/>
        </w:tc>
      </w:tr>
    </w:tbl>
    <w:bookmarkEnd w:id="161"/>
    <w:bookmarkStart w:id="167"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2">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6" w:name="fig-problem-strata"/>
          <w:p>
            <w:pPr>
              <w:pStyle w:val="Compact"/>
              <w:jc w:val="center"/>
            </w:pPr>
            <w:r>
              <w:drawing>
                <wp:inline>
                  <wp:extent cx="4620126" cy="6468176"/>
                  <wp:effectExtent b="0" l="0" r="0" t="0"/>
                  <wp:docPr descr="" title="" id="164" name="Picture"/>
                  <a:graphic>
                    <a:graphicData uri="http://schemas.openxmlformats.org/drawingml/2006/picture">
                      <pic:pic>
                        <pic:nvPicPr>
                          <pic:cNvPr descr="methodology_files/figure-docx/fig-problem-strata-1.png" id="165" name="Picture"/>
                          <pic:cNvPicPr>
                            <a:picLocks noChangeArrowheads="1" noChangeAspect="1"/>
                          </pic:cNvPicPr>
                        </pic:nvPicPr>
                        <pic:blipFill>
                          <a:blip r:embed="rId16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6"/>
        </w:tc>
      </w:tr>
    </w:tbl>
    <w:bookmarkEnd w:id="167"/>
    <w:bookmarkStart w:id="176"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71" w:name="fig-sim-recovery"/>
          <w:p>
            <w:pPr>
              <w:pStyle w:val="Compact"/>
              <w:jc w:val="center"/>
            </w:pPr>
            <w:r>
              <w:drawing>
                <wp:inline>
                  <wp:extent cx="4620126" cy="3696101"/>
                  <wp:effectExtent b="0" l="0" r="0" t="0"/>
                  <wp:docPr descr="" title="" id="169" name="Picture"/>
                  <a:graphic>
                    <a:graphicData uri="http://schemas.openxmlformats.org/drawingml/2006/picture">
                      <pic:pic>
                        <pic:nvPicPr>
                          <pic:cNvPr descr="methodology_files/figure-docx/fig-sim-recovery-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71"/>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5" w:name="fig-empirical-se"/>
          <w:p>
            <w:pPr>
              <w:pStyle w:val="Compact"/>
              <w:jc w:val="center"/>
            </w:pPr>
            <w:r>
              <w:drawing>
                <wp:inline>
                  <wp:extent cx="4620126" cy="3696101"/>
                  <wp:effectExtent b="0" l="0" r="0" t="0"/>
                  <wp:docPr descr="" title="" id="173" name="Picture"/>
                  <a:graphic>
                    <a:graphicData uri="http://schemas.openxmlformats.org/drawingml/2006/picture">
                      <pic:pic>
                        <pic:nvPicPr>
                          <pic:cNvPr descr="methodology_files/figure-docx/fig-empirical-se-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5"/>
        </w:tc>
      </w:tr>
    </w:tbl>
    <w:bookmarkEnd w:id="176"/>
    <w:bookmarkStart w:id="181"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80" w:name="fig-sim-recovery-renew"/>
          <w:p>
            <w:pPr>
              <w:pStyle w:val="Compact"/>
              <w:jc w:val="center"/>
            </w:pPr>
            <w:r>
              <w:drawing>
                <wp:inline>
                  <wp:extent cx="4620126" cy="3696101"/>
                  <wp:effectExtent b="0" l="0" r="0" t="0"/>
                  <wp:docPr descr="" title="" id="178" name="Picture"/>
                  <a:graphic>
                    <a:graphicData uri="http://schemas.openxmlformats.org/drawingml/2006/picture">
                      <pic:pic>
                        <pic:nvPicPr>
                          <pic:cNvPr descr="methodology_files/figure-docx/fig-sim-recovery-renew-1.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80"/>
        </w:tc>
      </w:tr>
    </w:tbl>
    <w:bookmarkEnd w:id="181"/>
    <w:bookmarkEnd w:id="182"/>
    <w:bookmarkStart w:id="187" w:name="ongoing-and-future-work"/>
    <w:p>
      <w:pPr>
        <w:pStyle w:val="Heading1"/>
      </w:pPr>
      <w:r>
        <w:t xml:space="preserve">9. Ongoing and future work</w:t>
      </w:r>
    </w:p>
    <w:bookmarkStart w:id="184"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4">
        <w:r>
          <w:rPr>
            <w:rStyle w:val="Hyperlink"/>
          </w:rPr>
          <w:t xml:space="preserve">serocalculator Shiny app</w:t>
        </w:r>
      </w:hyperlink>
      <w:r>
        <w:t xml:space="preserve">,</w:t>
      </w:r>
      <w:r>
        <w:t xml:space="preserve"> </w:t>
      </w:r>
      <w:hyperlink r:id="rId183">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4"/>
    <w:bookmarkStart w:id="186"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5">
        <w:r>
          <w:rPr>
            <w:rStyle w:val="Hyperlink"/>
          </w:rPr>
          <w:t xml:space="preserve">UCD-SERG/shigella#13</w:t>
        </w:r>
      </w:hyperlink>
      <w:r>
        <w:t xml:space="preserve">).</w:t>
      </w:r>
    </w:p>
    <w:bookmarkEnd w:id="186"/>
    <w:bookmarkEnd w:id="187"/>
    <w:bookmarkStart w:id="202" w:name="references"/>
    <w:p>
      <w:pPr>
        <w:pStyle w:val="Heading1"/>
      </w:pPr>
      <w:r>
        <w:t xml:space="preserve">References</w:t>
      </w:r>
    </w:p>
    <w:bookmarkStart w:id="201" w:name="refs"/>
    <w:bookmarkStart w:id="18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8">
        <w:r>
          <w:rPr>
            <w:rStyle w:val="Hyperlink"/>
          </w:rPr>
          <w:t xml:space="preserve">https://doi.org/10.1016/S2666-5247(22)00114-8</w:t>
        </w:r>
      </w:hyperlink>
      <w:r>
        <w:t xml:space="preserve">.</w:t>
      </w:r>
    </w:p>
    <w:bookmarkEnd w:id="189"/>
    <w:bookmarkStart w:id="191"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190">
        <w:r>
          <w:rPr>
            <w:rStyle w:val="Hyperlink"/>
          </w:rPr>
          <w:t xml:space="preserve">https://doi.org/10.1198/jbes.2010.07136</w:t>
        </w:r>
      </w:hyperlink>
      <w:r>
        <w:t xml:space="preserve">.</w:t>
      </w:r>
    </w:p>
    <w:bookmarkEnd w:id="191"/>
    <w:bookmarkStart w:id="193"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92">
        <w:r>
          <w:rPr>
            <w:rStyle w:val="Hyperlink"/>
          </w:rPr>
          <w:t xml:space="preserve">https://doi.org/10.1016/j.epidem.2024.100806</w:t>
        </w:r>
      </w:hyperlink>
      <w:r>
        <w:t xml:space="preserve">.</w:t>
      </w:r>
    </w:p>
    <w:bookmarkEnd w:id="193"/>
    <w:bookmarkStart w:id="19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4">
        <w:r>
          <w:rPr>
            <w:rStyle w:val="Hyperlink"/>
          </w:rPr>
          <w:t xml:space="preserve">https://doi.org/10.1159/000286345</w:t>
        </w:r>
      </w:hyperlink>
      <w:r>
        <w:t xml:space="preserve">.</w:t>
      </w:r>
    </w:p>
    <w:bookmarkEnd w:id="195"/>
    <w:bookmarkStart w:id="19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6">
        <w:r>
          <w:rPr>
            <w:rStyle w:val="Hyperlink"/>
          </w:rPr>
          <w:t xml:space="preserve">https://doi.org/10.1002/sim.8578</w:t>
        </w:r>
      </w:hyperlink>
      <w:r>
        <w:t xml:space="preserve">.</w:t>
      </w:r>
    </w:p>
    <w:bookmarkEnd w:id="197"/>
    <w:bookmarkStart w:id="19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8">
        <w:r>
          <w:rPr>
            <w:rStyle w:val="Hyperlink"/>
          </w:rPr>
          <w:t xml:space="preserve">https://doi.org/10.1016/j.epidem.2016.04.001</w:t>
        </w:r>
      </w:hyperlink>
      <w:r>
        <w:t xml:space="preserve">.</w:t>
      </w:r>
    </w:p>
    <w:bookmarkEnd w:id="199"/>
    <w:bookmarkStart w:id="200"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89" Target="media/rId89.svg" /><Relationship Type="http://schemas.openxmlformats.org/officeDocument/2006/relationships/image" Id="rId121" Target="media/rId121.png" /><Relationship Type="http://schemas.openxmlformats.org/officeDocument/2006/relationships/image" Id="rId145" Target="media/rId145.png" /><Relationship Type="http://schemas.openxmlformats.org/officeDocument/2006/relationships/image" Id="rId157" Target="media/rId157.png" /><Relationship Type="http://schemas.openxmlformats.org/officeDocument/2006/relationships/image" Id="rId97" Target="media/rId97.png" /><Relationship Type="http://schemas.openxmlformats.org/officeDocument/2006/relationships/image" Id="rId172" Target="media/rId172.png" /><Relationship Type="http://schemas.openxmlformats.org/officeDocument/2006/relationships/image" Id="rId138" Target="media/rId138.png" /><Relationship Type="http://schemas.openxmlformats.org/officeDocument/2006/relationships/image" Id="rId52" Target="media/rId52.png" /><Relationship Type="http://schemas.openxmlformats.org/officeDocument/2006/relationships/image" Id="rId103" Target="media/rId103.png" /><Relationship Type="http://schemas.openxmlformats.org/officeDocument/2006/relationships/image" Id="rId163" Target="media/rId163.png" /><Relationship Type="http://schemas.openxmlformats.org/officeDocument/2006/relationships/image" Id="rId84" Target="media/rId84.png" /><Relationship Type="http://schemas.openxmlformats.org/officeDocument/2006/relationships/image" Id="rId133" Target="media/rId133.png" /><Relationship Type="http://schemas.openxmlformats.org/officeDocument/2006/relationships/image" Id="rId150" Target="media/rId150.png" /><Relationship Type="http://schemas.openxmlformats.org/officeDocument/2006/relationships/image" Id="rId168" Target="media/rId168.png" /><Relationship Type="http://schemas.openxmlformats.org/officeDocument/2006/relationships/image" Id="rId177" Target="media/rId177.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6" Target="https://doi.org/10.1002/sim.8578" TargetMode="External" /><Relationship Type="http://schemas.openxmlformats.org/officeDocument/2006/relationships/hyperlink" Id="rId188" Target="https://doi.org/10.1016/S2666-5247(22)00114-8" TargetMode="External" /><Relationship Type="http://schemas.openxmlformats.org/officeDocument/2006/relationships/hyperlink" Id="rId198" Target="https://doi.org/10.1016/j.epidem.2016.04.001" TargetMode="External" /><Relationship Type="http://schemas.openxmlformats.org/officeDocument/2006/relationships/hyperlink" Id="rId192" Target="https://doi.org/10.1016/j.epidem.2024.100806" TargetMode="External" /><Relationship Type="http://schemas.openxmlformats.org/officeDocument/2006/relationships/hyperlink" Id="rId194" Target="https://doi.org/10.1159/000286345" TargetMode="External" /><Relationship Type="http://schemas.openxmlformats.org/officeDocument/2006/relationships/hyperlink" Id="rId190" Target="https://doi.org/10.1198/jbes.2010.07136" TargetMode="External" /><Relationship Type="http://schemas.openxmlformats.org/officeDocument/2006/relationships/hyperlink" Id="rId129" Target="https://github.com/UCD-SERG/serocalculator" TargetMode="External" /><Relationship Type="http://schemas.openxmlformats.org/officeDocument/2006/relationships/hyperlink" Id="rId162" Target="https://github.com/UCD-SERG/serocalculator/issues/629" TargetMode="External" /><Relationship Type="http://schemas.openxmlformats.org/officeDocument/2006/relationships/hyperlink" Id="rId102" Target="https://github.com/UCD-SERG/serocalculator/issues/637" TargetMode="External" /><Relationship Type="http://schemas.openxmlformats.org/officeDocument/2006/relationships/hyperlink" Id="rId118"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5" Target="https://github.com/UCD-SERG/shigella/pull/13" TargetMode="External" /><Relationship Type="http://schemas.openxmlformats.org/officeDocument/2006/relationships/hyperlink" Id="rId183" Target="https://github.com/UCD-SERG/shiny_serocalculator" TargetMode="External" /><Relationship Type="http://schemas.openxmlformats.org/officeDocument/2006/relationships/hyperlink" Id="rId88" Target="https://ucdserg.shinyapps.io/antibody-kinetics-model-2/" TargetMode="External" /><Relationship Type="http://schemas.openxmlformats.org/officeDocument/2006/relationships/hyperlink" Id="rId14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6" Target="https://doi.org/10.1002/sim.8578" TargetMode="External" /><Relationship Type="http://schemas.openxmlformats.org/officeDocument/2006/relationships/hyperlink" Id="rId188" Target="https://doi.org/10.1016/S2666-5247(22)00114-8" TargetMode="External" /><Relationship Type="http://schemas.openxmlformats.org/officeDocument/2006/relationships/hyperlink" Id="rId198" Target="https://doi.org/10.1016/j.epidem.2016.04.001" TargetMode="External" /><Relationship Type="http://schemas.openxmlformats.org/officeDocument/2006/relationships/hyperlink" Id="rId192" Target="https://doi.org/10.1016/j.epidem.2024.100806" TargetMode="External" /><Relationship Type="http://schemas.openxmlformats.org/officeDocument/2006/relationships/hyperlink" Id="rId194" Target="https://doi.org/10.1159/000286345" TargetMode="External" /><Relationship Type="http://schemas.openxmlformats.org/officeDocument/2006/relationships/hyperlink" Id="rId190" Target="https://doi.org/10.1198/jbes.2010.07136" TargetMode="External" /><Relationship Type="http://schemas.openxmlformats.org/officeDocument/2006/relationships/hyperlink" Id="rId129" Target="https://github.com/UCD-SERG/serocalculator" TargetMode="External" /><Relationship Type="http://schemas.openxmlformats.org/officeDocument/2006/relationships/hyperlink" Id="rId162" Target="https://github.com/UCD-SERG/serocalculator/issues/629" TargetMode="External" /><Relationship Type="http://schemas.openxmlformats.org/officeDocument/2006/relationships/hyperlink" Id="rId102" Target="https://github.com/UCD-SERG/serocalculator/issues/637" TargetMode="External" /><Relationship Type="http://schemas.openxmlformats.org/officeDocument/2006/relationships/hyperlink" Id="rId118"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5" Target="https://github.com/UCD-SERG/shigella/pull/13" TargetMode="External" /><Relationship Type="http://schemas.openxmlformats.org/officeDocument/2006/relationships/hyperlink" Id="rId183" Target="https://github.com/UCD-SERG/shiny_serocalculator" TargetMode="External" /><Relationship Type="http://schemas.openxmlformats.org/officeDocument/2006/relationships/hyperlink" Id="rId88" Target="https://ucdserg.shinyapps.io/antibody-kinetics-model-2/" TargetMode="External" /><Relationship Type="http://schemas.openxmlformats.org/officeDocument/2006/relationships/hyperlink" Id="rId14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2026-08-08T06:58:12Z</dcterms:created>
  <dcterms:modified xsi:type="dcterms:W3CDTF">2026-08-08T06:58:12Z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