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Scrub Typhus Seroincidence Vignette</w:t>
      </w:r>
    </w:p>
    <w:p>
      <w:pPr>
        <w:pStyle w:val="Author"/>
      </w:pPr>
      <w:r>
        <w:t xml:space="preserve">UC Davis Seroepidemiology Research Group (SERG)</w:t>
      </w:r>
    </w:p>
    <w:p>
      <w:pPr>
        <w:pStyle w:val="Date"/>
      </w:pPr>
      <w:r>
        <w:t xml:space="preserve">2026-07-25</w:t>
      </w:r>
    </w:p>
    <w:bookmarkStart w:id="10" w:name="introduction"/>
    <w:p>
      <w:pPr>
        <w:pStyle w:val="Heading2"/>
      </w:pPr>
      <w:r>
        <w:t xml:space="preserve">1 Introduction</w:t>
      </w:r>
    </w:p>
    <w:p>
      <w:pPr>
        <w:pStyle w:val="FirstParagraph"/>
      </w:pPr>
      <w:r>
        <w:t xml:space="preserve">This vignette reproduces the analysis for:</w:t>
      </w:r>
      <w:r>
        <w:t xml:space="preserve"> </w:t>
      </w:r>
      <w:hyperlink r:id="rId9">
        <w:r>
          <w:rPr>
            <w:rStyle w:val="Hyperlink"/>
            <w:b/>
            <w:bCs/>
          </w:rPr>
          <w:t xml:space="preserve">Estimating the seroincidence of scrub typhus using antibody dynamics following infection</w:t>
        </w:r>
      </w:hyperlink>
      <w:r>
        <w:t xml:space="preserve"> </w:t>
      </w:r>
      <w:r>
        <w:t xml:space="preserve">(</w:t>
      </w:r>
      <w:r>
        <w:t xml:space="preserve">Aiemjoy et al.</w:t>
      </w:r>
      <w:r>
        <w:t xml:space="preserve"> </w:t>
      </w:r>
      <w:r>
        <w:t xml:space="preserve">(Accepted Feb 2024)</w:t>
      </w:r>
      <w:r>
        <w:t xml:space="preserve">).</w:t>
      </w:r>
    </w:p>
    <w:bookmarkEnd w:id="10"/>
    <w:bookmarkStart w:id="12" w:name="methods"/>
    <w:p>
      <w:pPr>
        <w:pStyle w:val="Heading2"/>
      </w:pPr>
      <w:r>
        <w:t xml:space="preserve">2 Methods</w:t>
      </w:r>
    </w:p>
    <w:p>
      <w:pPr>
        <w:pStyle w:val="FirstParagraph"/>
      </w:pPr>
      <w:r>
        <w:t xml:space="preserve">The</w:t>
      </w:r>
      <w:r>
        <w:t xml:space="preserve"> </w:t>
      </w:r>
      <w:r>
        <w:rPr>
          <w:b/>
          <w:bCs/>
        </w:rPr>
        <w:t xml:space="preserve">serocalculator</w:t>
      </w:r>
      <w:r>
        <w:t xml:space="preserve"> </w:t>
      </w:r>
      <w:r>
        <w:t xml:space="preserve">R package provides a rapid and computationally simple method for 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et al. (2012)</w:t>
      </w:r>
      <w:r>
        <w:t xml:space="preserve">,</w:t>
      </w:r>
      <w:r>
        <w:t xml:space="preserve"> </w:t>
      </w:r>
      <w:r>
        <w:t xml:space="preserve">and further developed in subsequent publications by</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 from confirmed cases with a known symptom onset date</w:t>
      </w:r>
      <w:r>
        <w:t xml:space="preserve"> </w:t>
      </w:r>
      <w:r>
        <w:t xml:space="preserve">are assumed to represent the time course of human serum antibodies against a specific pathogen.</w:t>
      </w:r>
      <w:r>
        <w:t xml:space="preserve"> </w:t>
      </w:r>
      <w:r>
        <w:t xml:space="preserve">Therefore,</w:t>
      </w:r>
      <w:r>
        <w:t xml:space="preserve"> </w:t>
      </w:r>
      <w:r>
        <w:t xml:space="preserve">by using these longitudinal antibody dynamics with any cross–sectional sample of the same antibodies in a human population,</w:t>
      </w:r>
      <w:r>
        <w:t xml:space="preserve"> </w:t>
      </w:r>
      <w:r>
        <w:t xml:space="preserve">an incidence estimate can be calculated.</w:t>
      </w:r>
    </w:p>
    <w:bookmarkStart w:id="11" w:name="the-seroincidence-estimator"/>
    <w:p>
      <w:pPr>
        <w:pStyle w:val="Heading3"/>
      </w:pPr>
      <w:r>
        <w:t xml:space="preserve">2.1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w:t>
      </w:r>
      <w:r>
        <w:t xml:space="preserve"> </w:t>
      </w:r>
      <w:r>
        <w:t xml:space="preserve">The distribution of serum antibody concentrations in a cross–sectional population sample is calculated as a function of the longitudinal seroresponse and the frequency of seroconversion (or seroincidence).</w:t>
      </w:r>
      <w:r>
        <w:t xml:space="preserve"> </w:t>
      </w:r>
      <w:r>
        <w:t xml:space="preserve">Given the seroresponse, this marginal distribution of antibody concentrations can be fitted to the cross-sectional data and thereby providing a means to estimate the seroincidence.</w:t>
      </w:r>
    </w:p>
    <w:bookmarkEnd w:id="11"/>
    <w:bookmarkEnd w:id="12"/>
    <w:bookmarkStart w:id="32" w:name="scrub-typhus-seroincidence"/>
    <w:p>
      <w:pPr>
        <w:pStyle w:val="Heading2"/>
      </w:pPr>
      <w:r>
        <w:t xml:space="preserve">3 Scrub Typhus Seroincidence</w:t>
      </w:r>
    </w:p>
    <w:p>
      <w:pPr>
        <w:pStyle w:val="FirstParagraph"/>
      </w:pPr>
      <w:r>
        <w:t xml:space="preserve">Scrub typhus, a vector-borne bacterial infection, is an important but neglected disease globally. Accurately characterizing burden is challenging due to non-specific symptoms and limited diagnostics. Prior seroepidemiology studies have struggled to find consensus cutoffs that permit comparing estimates across contexts and time. In this study, we present a novel approach that does not require a cutoff and instead uses information about antibody kinetics after infection to estimate seroincidence. We use data from three cohorts of scrub typhus patients in Chiang Rai, Thailand, and Vellore, India to characterize antibody kinetics after infection and two population serosurveys in the Kathmandu valley, Nepal, and Tamil Nadu, India to estimate seroincidence. The samples were tested for IgM and IgG responses to Orientia tsutsugamushi-derived recombinant 56-kDa antigen using commercial ELISA kits. We used Bayesian hierarchical models to characterize antibody responses after scrub typhus infection and used the joint distributions of the peak antibody titers and decay rates to estimate population-level incidence rates in the cross-sectional serosurveys.</w:t>
      </w:r>
    </w:p>
    <w:bookmarkStart w:id="16" w:name="load-packages"/>
    <w:p>
      <w:pPr>
        <w:pStyle w:val="Heading3"/>
      </w:pPr>
      <w:r>
        <w:t xml:space="preserve">3.1 Load packages</w:t>
      </w:r>
    </w:p>
    <w:p>
      <w:pPr>
        <w:pStyle w:val="FirstParagraph"/>
      </w:pPr>
      <w:r>
        <w:t xml:space="preserve">The first step in conducting this analysis is to load our necessary packages.</w:t>
      </w:r>
      <w:r>
        <w:t xml:space="preserve"> </w:t>
      </w:r>
      <w:r>
        <w:t xml:space="preserve">If you haven’t installed already, you will need to do so before loading.</w:t>
      </w:r>
      <w:r>
        <w:t xml:space="preserve"> </w:t>
      </w:r>
      <w:r>
        <w:t xml:space="preserve">We will also need to have the</w:t>
      </w:r>
      <w:r>
        <w:t xml:space="preserve"> </w:t>
      </w:r>
      <w:r>
        <w:rPr>
          <w:rStyle w:val="VerbatimChar"/>
        </w:rPr>
        <w:t xml:space="preserve">tidyverse</w:t>
      </w:r>
      <w:r>
        <w:t xml:space="preserve"> </w:t>
      </w:r>
      <w:r>
        <w:t xml:space="preserve">and</w:t>
      </w:r>
      <w:r>
        <w:t xml:space="preserve"> </w:t>
      </w:r>
      <w:r>
        <w:rPr>
          <w:rStyle w:val="VerbatimChar"/>
        </w:rPr>
        <w:t xml:space="preserve">mixtools</w:t>
      </w:r>
      <w:r>
        <w:t xml:space="preserve"> </w:t>
      </w:r>
      <w:r>
        <w:t xml:space="preserve">packages installed</w:t>
      </w:r>
      <w:r>
        <w:t xml:space="preserve"> </w:t>
      </w:r>
      <w:r>
        <w:t xml:space="preserve">for data manipulation and graphics operations we will perform in this vignette.</w:t>
      </w:r>
      <w:r>
        <w:t xml:space="preserve"> </w:t>
      </w:r>
      <w:r>
        <w:t xml:space="preserve">Please see the websites for</w:t>
      </w:r>
      <w:r>
        <w:t xml:space="preserve"> </w:t>
      </w:r>
      <w:hyperlink r:id="rId13">
        <w:r>
          <w:rPr>
            <w:rStyle w:val="VerbatimChar"/>
          </w:rPr>
          <w:t xml:space="preserve">serocalculator</w:t>
        </w:r>
      </w:hyperlink>
      <w:r>
        <w:t xml:space="preserve">,</w:t>
      </w:r>
      <w:r>
        <w:t xml:space="preserve"> </w:t>
      </w:r>
      <w:hyperlink r:id="rId14">
        <w:r>
          <w:rPr>
            <w:rStyle w:val="VerbatimChar"/>
          </w:rPr>
          <w:t xml:space="preserve">tidyverse</w:t>
        </w:r>
      </w:hyperlink>
      <w:r>
        <w:t xml:space="preserve">,</w:t>
      </w:r>
      <w:r>
        <w:t xml:space="preserve"> </w:t>
      </w:r>
      <w:r>
        <w:t xml:space="preserve">and</w:t>
      </w:r>
      <w:r>
        <w:t xml:space="preserve"> </w:t>
      </w:r>
      <w:hyperlink r:id="rId15">
        <w:r>
          <w:rPr>
            <w:rStyle w:val="VerbatimChar"/>
          </w:rPr>
          <w:t xml:space="preserve">mixtools</w:t>
        </w:r>
      </w:hyperlink>
      <w:r>
        <w:t xml:space="preserve"> </w:t>
      </w:r>
      <w:r>
        <w:t xml:space="preserve">for guidance on installing these packages into your R package library.</w:t>
      </w:r>
    </w:p>
    <w:p>
      <w:pPr>
        <w:pStyle w:val="BodyText"/>
      </w:pPr>
      <w:r>
        <w:t xml:space="preserve">Once all three of those packages are installed, we can load them into</w:t>
      </w:r>
      <w:r>
        <w:t xml:space="preserve"> </w:t>
      </w:r>
      <w:r>
        <w:t xml:space="preserve">our active R session environment:</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(mixtools)</w:t>
      </w:r>
    </w:p>
    <w:bookmarkEnd w:id="16"/>
    <w:bookmarkStart w:id="30" w:name="load-data"/>
    <w:p>
      <w:pPr>
        <w:pStyle w:val="Heading3"/>
      </w:pPr>
      <w:r>
        <w:t xml:space="preserve">3.2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7">
        <w:r>
          <w:rPr>
            <w:rStyle w:val="Hyperlink"/>
          </w:rPr>
          <w:t xml:space="preserve">Serocalculator Repository</w:t>
        </w:r>
      </w:hyperlink>
      <w:r>
        <w:t xml:space="preserve"> </w:t>
      </w:r>
      <w:r>
        <w:t xml:space="preserve">on Open Science Framework (OSF). We will pull this data directly into our R environment.</w:t>
      </w:r>
    </w:p>
    <w:bookmarkStart w:id="18" w:name="X1714420ab9e2734f8369f5ee70a749859cd59dc"/>
    <w:p>
      <w:pPr>
        <w:pStyle w:val="Heading4"/>
      </w:pPr>
      <w:r>
        <w:t xml:space="preserve">3.2.1 Load and prepare longitudinal parameter data</w:t>
      </w:r>
    </w:p>
    <w:p>
      <w:pPr>
        <w:pStyle w:val="FirstParagraph"/>
      </w:pPr>
      <w:r>
        <w:t xml:space="preserve">We will first load the longitudinal curve parameters to set the antibody decay parameters. These parameters were modeled with Bayesian hierarchical models to fit two-phase power-function decay models to the longitudinal antibody responses among confirmed enteric fever cases.</w:t>
      </w:r>
    </w:p>
    <w:p>
      <w:pPr>
        <w:pStyle w:val="SourceCode"/>
      </w:pPr>
      <w:r>
        <w:rPr>
          <w:rStyle w:val="CommentTok"/>
        </w:rPr>
        <w:t xml:space="preserve"># Import longitudinal antibody parameters from OSF</w:t>
      </w:r>
      <w:r>
        <w:br/>
      </w:r>
      <w:r>
        <w:br/>
      </w:r>
      <w:r>
        <w:rPr>
          <w:rStyle w:val="NormalTok"/>
        </w:rPr>
        <w:t xml:space="preserve">curves </w:t>
      </w:r>
      <w:r>
        <w:rPr>
          <w:rStyle w:val="OtherTok"/>
        </w:rPr>
        <w:t xml:space="preserve">&lt;-</w:t>
      </w:r>
      <w:r>
        <w:br/>
      </w:r>
      <w:r>
        <w:rPr>
          <w:rStyle w:val="NormalTok"/>
        </w:rPr>
        <w:t xml:space="preserve">  </w:t>
      </w:r>
      <w:r>
        <w:rPr>
          <w:rStyle w:val="StringTok"/>
        </w:rPr>
        <w:t xml:space="preserve">"https://osf.io/download/u5gxh/"</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load_sr_params</w:t>
      </w:r>
      <w:r>
        <w:rPr>
          <w:rStyle w:val="NormalTok"/>
        </w:rPr>
        <w:t xml:space="preserve">()</w:t>
      </w:r>
      <w:r>
        <w:br/>
      </w:r>
      <w:r>
        <w:rPr>
          <w:rStyle w:val="CommentTok"/>
        </w:rPr>
        <w:t xml:space="preserve">#&gt; Warning: `data` is missing `iter` column</w:t>
      </w:r>
      <w:r>
        <w:br/>
      </w:r>
      <w:r>
        <w:rPr>
          <w:rStyle w:val="CommentTok"/>
        </w:rPr>
        <w:t xml:space="preserve">#&gt; It will be inferred from row ordering.</w:t>
      </w:r>
    </w:p>
    <w:bookmarkEnd w:id="18"/>
    <w:bookmarkStart w:id="22" w:name="visualize-curve-parameters"/>
    <w:p>
      <w:pPr>
        <w:pStyle w:val="Heading4"/>
      </w:pPr>
      <w:r>
        <w:t xml:space="preserve">3.2.2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NormalTok"/>
        </w:rPr>
        <w:t xml:space="preserve">curves </w:t>
      </w:r>
      <w:r>
        <w:rPr>
          <w:rStyle w:val="SpecialCharTok"/>
        </w:rPr>
        <w:t xml:space="preserve">|&gt;</w:t>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20" name="Picture"/>
            <a:graphic>
              <a:graphicData uri="http://schemas.openxmlformats.org/drawingml/2006/picture">
                <pic:pic>
                  <pic:nvPicPr>
                    <pic:cNvPr descr="scrubTyphus_example_files/figure-docx/unnamed-chunk-2-1.png" id="21" name="Picture"/>
                    <pic:cNvPicPr>
                      <a:picLocks noChangeArrowheads="1" noChangeAspect="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p>
    <w:bookmarkEnd w:id="22"/>
    <w:bookmarkStart w:id="23" w:name="load-and-prepare-cross-sectional-data"/>
    <w:p>
      <w:pPr>
        <w:pStyle w:val="Heading4"/>
      </w:pPr>
      <w:r>
        <w:t xml:space="preserve">3.2.3 Load and prepare cross-sectional data</w:t>
      </w:r>
    </w:p>
    <w:p>
      <w:pPr>
        <w:pStyle w:val="FirstParagraph"/>
      </w:pPr>
      <w:r>
        <w:t xml:space="preserve">Next, we load our sample cross-sectional data.</w:t>
      </w:r>
    </w:p>
    <w:p>
      <w:pPr>
        <w:pStyle w:val="SourceCode"/>
      </w:pPr>
      <w:r>
        <w:rPr>
          <w:rStyle w:val="CommentTok"/>
        </w:rPr>
        <w:t xml:space="preserve"># Import cross-sectional data from OSF and rename required variables</w:t>
      </w:r>
      <w:r>
        <w:br/>
      </w:r>
      <w:r>
        <w:rPr>
          <w:rStyle w:val="NormalTok"/>
        </w:rPr>
        <w:t xml:space="preserve">xs_data </w:t>
      </w:r>
      <w:r>
        <w:rPr>
          <w:rStyle w:val="OtherTok"/>
        </w:rPr>
        <w:t xml:space="preserve">&lt;-</w:t>
      </w:r>
      <w:r>
        <w:rPr>
          <w:rStyle w:val="NormalTok"/>
        </w:rPr>
        <w:t xml:space="preserve"> </w:t>
      </w:r>
      <w:r>
        <w:rPr>
          <w:rStyle w:val="FunctionTok"/>
        </w:rPr>
        <w:t xml:space="preserve">load_pop_data</w:t>
      </w:r>
      <w:r>
        <w:rPr>
          <w:rStyle w:val="NormalTok"/>
        </w:rPr>
        <w:t xml:space="preserve">(</w:t>
      </w:r>
      <w:r>
        <w:br/>
      </w:r>
      <w:r>
        <w:rPr>
          <w:rStyle w:val="NormalTok"/>
        </w:rPr>
        <w:t xml:space="preserve">  </w:t>
      </w:r>
      <w:r>
        <w:rPr>
          <w:rStyle w:val="AttributeTok"/>
        </w:rPr>
        <w:t xml:space="preserve">file_path =</w:t>
      </w:r>
      <w:r>
        <w:rPr>
          <w:rStyle w:val="NormalTok"/>
        </w:rPr>
        <w:t xml:space="preserve"> </w:t>
      </w:r>
      <w:r>
        <w:rPr>
          <w:rStyle w:val="StringTok"/>
        </w:rPr>
        <w:t xml:space="preserve">"https://osf.io/download/h5js4/"</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StringTok"/>
        </w:rPr>
        <w:t xml:space="preserve">"result"</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StringTok"/>
        </w:rPr>
        <w:t xml:space="preserve">"index_id"</w:t>
      </w:r>
      <w:r>
        <w:rPr>
          <w:rStyle w:val="NormalTok"/>
        </w:rPr>
        <w:t xml:space="preserve">,</w:t>
      </w:r>
      <w:r>
        <w:br/>
      </w:r>
      <w:r>
        <w:rPr>
          <w:rStyle w:val="NormalTok"/>
        </w:rPr>
        <w:t xml:space="preserve">  </w:t>
      </w:r>
      <w:r>
        <w:rPr>
          <w:rStyle w:val="AttributeTok"/>
        </w:rPr>
        <w:t xml:space="preserve">standardize =</w:t>
      </w:r>
      <w:r>
        <w:rPr>
          <w:rStyle w:val="NormalTok"/>
        </w:rPr>
        <w:t xml:space="preserve"> </w:t>
      </w:r>
      <w:r>
        <w:rPr>
          <w:rStyle w:val="ConstantTok"/>
        </w:rPr>
        <w:t xml:space="preserve">TRUE</w:t>
      </w:r>
      <w:r>
        <w:br/>
      </w:r>
      <w:r>
        <w:rPr>
          <w:rStyle w:val="NormalTok"/>
        </w:rPr>
        <w:t xml:space="preserve">)</w:t>
      </w:r>
    </w:p>
    <w:bookmarkEnd w:id="23"/>
    <w:bookmarkStart w:id="24" w:name="check-formatting"/>
    <w:p>
      <w:pPr>
        <w:pStyle w:val="Heading4"/>
      </w:pPr>
      <w:r>
        <w:t xml:space="preserve">3.2.4 Check formatting</w:t>
      </w:r>
    </w:p>
    <w:p>
      <w:pPr>
        <w:pStyle w:val="FirstParagraph"/>
      </w:pPr>
      <w:r>
        <w:t xml:space="preserve">We can check that</w:t>
      </w:r>
      <w:r>
        <w:t xml:space="preserve"> </w:t>
      </w:r>
      <w:r>
        <w:rPr>
          <w:rStyle w:val="VerbatimChar"/>
        </w:rPr>
        <w:t xml:space="preserve">xs_data</w:t>
      </w:r>
      <w:r>
        <w:t xml:space="preserve"> </w:t>
      </w:r>
      <w:r>
        <w:t xml:space="preserve">has the correct formatting using the</w:t>
      </w:r>
      <w:r>
        <w:t xml:space="preserve"> </w:t>
      </w:r>
      <w:r>
        <w:rPr>
          <w:rStyle w:val="VerbatimChar"/>
        </w:rPr>
        <w:t xml:space="preserve">check_pop_data()</w:t>
      </w:r>
      <w:r>
        <w:t xml:space="preserve"> </w:t>
      </w:r>
      <w:r>
        <w:t xml:space="preserve">function:</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check_pop_data</w:t>
      </w:r>
      <w:r>
        <w:rPr>
          <w:rStyle w:val="NormalTok"/>
        </w:rPr>
        <w:t xml:space="preserve">(</w:t>
      </w:r>
      <w:r>
        <w:rPr>
          <w:rStyle w:val="AttributeTok"/>
        </w:rPr>
        <w:t xml:space="preserve">verbose =</w:t>
      </w:r>
      <w:r>
        <w:rPr>
          <w:rStyle w:val="NormalTok"/>
        </w:rPr>
        <w:t xml:space="preserve"> </w:t>
      </w:r>
      <w:r>
        <w:rPr>
          <w:rStyle w:val="ConstantTok"/>
        </w:rPr>
        <w:t xml:space="preserve">TRUE</w:t>
      </w:r>
      <w:r>
        <w:rPr>
          <w:rStyle w:val="NormalTok"/>
        </w:rPr>
        <w:t xml:space="preserve">)</w:t>
      </w:r>
      <w:r>
        <w:br/>
      </w:r>
      <w:r>
        <w:rPr>
          <w:rStyle w:val="CommentTok"/>
        </w:rPr>
        <w:t xml:space="preserve">#&gt; data format is as expected.</w:t>
      </w:r>
    </w:p>
    <w:bookmarkEnd w:id="24"/>
    <w:bookmarkStart w:id="25" w:name="summarize-antibody-data"/>
    <w:p>
      <w:pPr>
        <w:pStyle w:val="Heading4"/>
      </w:pPr>
      <w:r>
        <w:t xml:space="preserve">3.2.5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There were 2 warnings in `dplyr::summarize()`.</w:t>
      </w:r>
      <w:r>
        <w:br/>
      </w:r>
      <w:r>
        <w:rPr>
          <w:rStyle w:val="CommentTok"/>
        </w:rPr>
        <w:t xml:space="preserve">#&gt; The first warning was:</w:t>
      </w:r>
      <w:r>
        <w:br/>
      </w:r>
      <w:r>
        <w:rPr>
          <w:rStyle w:val="CommentTok"/>
        </w:rPr>
        <w:t xml:space="preserve">#&gt; ℹ In argument: `across(...)`.</w:t>
      </w:r>
      <w:r>
        <w:br/>
      </w:r>
      <w:r>
        <w:rPr>
          <w:rStyle w:val="CommentTok"/>
        </w:rPr>
        <w:t xml:space="preserve">#&gt; ℹ In group 4: `antigen_iso = OT56kda_IgM`, `country = Nepal`.</w:t>
      </w:r>
      <w:r>
        <w:br/>
      </w:r>
      <w:r>
        <w:rPr>
          <w:rStyle w:val="CommentTok"/>
        </w:rPr>
        <w:t xml:space="preserve">#&gt; Caused by warning in `min()`:</w:t>
      </w:r>
      <w:r>
        <w:br/>
      </w:r>
      <w:r>
        <w:rPr>
          <w:rStyle w:val="CommentTok"/>
        </w:rPr>
        <w:t xml:space="preserve">#&gt; ! no non-missing arguments to min; returning Inf</w:t>
      </w:r>
      <w:r>
        <w:br/>
      </w:r>
      <w:r>
        <w:rPr>
          <w:rStyle w:val="CommentTok"/>
        </w:rPr>
        <w:t xml:space="preserve">#&gt; ℹ Run `dplyr::last_dplyr_warnings()` to see the 1 remaining warning.</w:t>
      </w:r>
      <w:r>
        <w:br/>
      </w:r>
      <w:r>
        <w:rPr>
          <w:rStyle w:val="CommentTok"/>
        </w:rPr>
        <w:t xml:space="preserve">#&gt; </w:t>
      </w:r>
      <w:r>
        <w:br/>
      </w:r>
      <w:r>
        <w:rPr>
          <w:rStyle w:val="CommentTok"/>
        </w:rPr>
        <w:t xml:space="preserve">#&gt; n = 1608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2 × 8</w:t>
      </w:r>
      <w:r>
        <w:br/>
      </w:r>
      <w:r>
        <w:rPr>
          <w:rStyle w:val="CommentTok"/>
        </w:rPr>
        <w:t xml:space="preserve">#&gt;   country     n   min first_quartile median  mean third_quartile   max</w:t>
      </w:r>
      <w:r>
        <w:br/>
      </w:r>
      <w:r>
        <w:rPr>
          <w:rStyle w:val="CommentTok"/>
        </w:rPr>
        <w:t xml:space="preserve">#&gt;   &lt;fct&gt;   &lt;int&gt; &lt;dbl&gt;          &lt;dbl&gt;  &lt;dbl&gt; &lt;dbl&gt;          &lt;dbl&gt; &lt;dbl&gt;</w:t>
      </w:r>
      <w:r>
        <w:br/>
      </w:r>
      <w:r>
        <w:rPr>
          <w:rStyle w:val="CommentTok"/>
        </w:rPr>
        <w:t xml:space="preserve">#&gt; 1 India     721  18             40     49    50.5           62    87  </w:t>
      </w:r>
      <w:r>
        <w:br/>
      </w:r>
      <w:r>
        <w:rPr>
          <w:rStyle w:val="CommentTok"/>
        </w:rPr>
        <w:t xml:space="preserve">#&gt; 2 Nepal     887   0.9            5.5   10.9  11.6           17.0  27.4</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4 × 8</w:t>
      </w:r>
      <w:r>
        <w:br/>
      </w:r>
      <w:r>
        <w:rPr>
          <w:rStyle w:val="CommentTok"/>
        </w:rPr>
        <w:t xml:space="preserve">#&gt;   antigen_iso country     Min `1st Qu.` Median `3rd Qu.`     Max `# NAs`</w:t>
      </w:r>
      <w:r>
        <w:br/>
      </w:r>
      <w:r>
        <w:rPr>
          <w:rStyle w:val="CommentTok"/>
        </w:rPr>
        <w:t xml:space="preserve">#&gt;   &lt;fct&gt;       &lt;fct&gt;     &lt;dbl&gt;     &lt;dbl&gt;  &lt;dbl&gt;     &lt;dbl&gt;   &lt;dbl&gt;   &lt;int&gt;</w:t>
      </w:r>
      <w:r>
        <w:br/>
      </w:r>
      <w:r>
        <w:rPr>
          <w:rStyle w:val="CommentTok"/>
        </w:rPr>
        <w:t xml:space="preserve">#&gt; 1 OT56kda_IgG India     0.05      0.111  0.222     2.56     3.81       0</w:t>
      </w:r>
      <w:r>
        <w:br/>
      </w:r>
      <w:r>
        <w:rPr>
          <w:rStyle w:val="CommentTok"/>
        </w:rPr>
        <w:t xml:space="preserve">#&gt; 2 OT56kda_IgM India     0.051     0.1    0.139     0.229    3.60       0</w:t>
      </w:r>
      <w:r>
        <w:br/>
      </w:r>
      <w:r>
        <w:rPr>
          <w:rStyle w:val="CommentTok"/>
        </w:rPr>
        <w:t xml:space="preserve">#&gt; 3 OT56kda_IgG Nepal     0.112     0.335  0.464     0.602    3.29       0</w:t>
      </w:r>
      <w:r>
        <w:br/>
      </w:r>
      <w:r>
        <w:rPr>
          <w:rStyle w:val="CommentTok"/>
        </w:rPr>
        <w:t xml:space="preserve">#&gt; 4 OT56kda_IgM Nepal   Inf        NA     NA        NA     -Inf       1105</w:t>
      </w:r>
    </w:p>
    <w:bookmarkEnd w:id="25"/>
    <w:bookmarkStart w:id="29" w:name="visualize-antibody-data"/>
    <w:p>
      <w:pPr>
        <w:pStyle w:val="Heading4"/>
      </w:pPr>
      <w:r>
        <w:t xml:space="preserve">3.2.6 Visualize antibody data</w:t>
      </w:r>
    </w:p>
    <w:p>
      <w:pPr>
        <w:pStyle w:val="FirstParagraph"/>
      </w:pPr>
      <w:r>
        <w:t xml:space="preserve">Let’s also take a look at how antibody responses change by age.</w:t>
      </w:r>
    </w:p>
    <w:p>
      <w:pPr>
        <w:pStyle w:val="SourceCode"/>
      </w:pPr>
      <w:r>
        <w:rPr>
          <w:rStyle w:val="CommentTok"/>
        </w:rPr>
        <w:t xml:space="preserve"># Plot antibody responses by age</w:t>
      </w:r>
      <w:r>
        <w:br/>
      </w:r>
      <w:r>
        <w:rPr>
          <w:rStyle w:val="FunctionTok"/>
        </w:rPr>
        <w:t xml:space="preserve">autoplot</w:t>
      </w:r>
      <w:r>
        <w:rPr>
          <w:rStyle w:val="NormalTok"/>
        </w:rPr>
        <w:t xml:space="preserve">(</w:t>
      </w:r>
      <w:r>
        <w:rPr>
          <w:rStyle w:val="AttributeTok"/>
        </w:rPr>
        <w:t xml:space="preserve">object =</w:t>
      </w:r>
      <w:r>
        <w:rPr>
          <w:rStyle w:val="NormalTok"/>
        </w:rPr>
        <w:t xml:space="preserve"> xs_data, </w:t>
      </w:r>
      <w:r>
        <w:rPr>
          <w:rStyle w:val="AttributeTok"/>
        </w:rPr>
        <w:t xml:space="preserve">type =</w:t>
      </w:r>
      <w:r>
        <w:rPr>
          <w:rStyle w:val="NormalTok"/>
        </w:rPr>
        <w:t xml:space="preserve"> </w:t>
      </w:r>
      <w:r>
        <w:rPr>
          <w:rStyle w:val="StringTok"/>
        </w:rPr>
        <w:t xml:space="preserve">"age-scatter"</w:t>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Removed 1105 rows containing missing values or values outside the scale range</w:t>
      </w:r>
      <w:r>
        <w:br/>
      </w:r>
      <w:r>
        <w:rPr>
          <w:rStyle w:val="CommentTok"/>
        </w:rPr>
        <w:t xml:space="preserve">#&gt; (`geom_point()`).</w:t>
      </w:r>
    </w:p>
    <w:p>
      <w:pPr>
        <w:pStyle w:val="FirstParagraph"/>
      </w:pPr>
      <w:r>
        <w:drawing>
          <wp:inline>
            <wp:extent cx="5334000" cy="3048000"/>
            <wp:effectExtent b="0" l="0" r="0" t="0"/>
            <wp:docPr descr="" title="" id="27" name="Picture"/>
            <a:graphic>
              <a:graphicData uri="http://schemas.openxmlformats.org/drawingml/2006/picture">
                <pic:pic>
                  <pic:nvPicPr>
                    <pic:cNvPr descr="scrubTyphus_example_files/figure-docx/plot-age-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bookmarkEnd w:id="29"/>
    <w:bookmarkEnd w:id="30"/>
    <w:bookmarkStart w:id="31" w:name="compile-noise-parameters"/>
    <w:p>
      <w:pPr>
        <w:pStyle w:val="Heading3"/>
      </w:pPr>
      <w:r>
        <w:t xml:space="preserve">3.3 Compile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Measurement noise,</w:t>
      </w:r>
      <w:r>
        <w:t xml:space="preserve"> </w:t>
      </w:r>
      <m:oMath>
        <m:r>
          <m:t>ε</m:t>
        </m:r>
      </m:oMath>
      <w:r>
        <w:t xml:space="preserve"> </w:t>
      </w:r>
      <w:r>
        <w:t xml:space="preserve">(</w:t>
      </w:r>
      <w:r>
        <w:t xml:space="preserve">“epsilon”</w:t>
      </w:r>
      <w:r>
        <w:t xml:space="preserve">), represents error from the laboratory testing process.</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antibody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antibody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biologic noise</w:t>
      </w:r>
      <w:r>
        <w:br/>
      </w:r>
      <w:r>
        <w:rPr>
          <w:rStyle w:val="NormalTok"/>
        </w:rPr>
        <w:t xml:space="preserve">b_noise </w:t>
      </w:r>
      <w:r>
        <w:rPr>
          <w:rStyle w:val="OtherTok"/>
        </w:rPr>
        <w:t xml:space="preserve">&lt;-</w:t>
      </w:r>
      <w:r>
        <w:rPr>
          <w:rStyle w:val="NormalTok"/>
        </w:rPr>
        <w:t xml:space="preserve"> xs_data </w:t>
      </w:r>
      <w:r>
        <w:rPr>
          <w:rStyle w:val="SpecialCharTok"/>
        </w:rPr>
        <w:t xml:space="preserve">|&gt;</w:t>
      </w:r>
      <w:r>
        <w:br/>
      </w:r>
      <w:r>
        <w:rPr>
          <w:rStyle w:val="NormalTok"/>
        </w:rPr>
        <w:t xml:space="preserve">  </w:t>
      </w:r>
      <w:r>
        <w:rPr>
          <w:rStyle w:val="FunctionTok"/>
        </w:rPr>
        <w:t xml:space="preserve">group_by</w:t>
      </w:r>
      <w:r>
        <w:rPr>
          <w:rStyle w:val="NormalTok"/>
        </w:rPr>
        <w:t xml:space="preserve">(antigen_iso)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(value))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&lt;</w:t>
      </w:r>
      <w:r>
        <w:rPr>
          <w:rStyle w:val="NormalTok"/>
        </w:rPr>
        <w:t xml:space="preserve"> </w:t>
      </w:r>
      <w:r>
        <w:rPr>
          <w:rStyle w:val="DecValTok"/>
        </w:rPr>
        <w:t xml:space="preserve">40</w:t>
      </w:r>
      <w:r>
        <w:rPr>
          <w:rStyle w:val="NormalTok"/>
        </w:rPr>
        <w:t xml:space="preserve">) </w:t>
      </w:r>
      <w:r>
        <w:rPr>
          <w:rStyle w:val="SpecialCharTok"/>
        </w:rPr>
        <w:t xml:space="preserve">|&gt;</w:t>
      </w:r>
      <w:r>
        <w:rPr>
          <w:rStyle w:val="NormalTok"/>
        </w:rPr>
        <w:t xml:space="preserve"> </w:t>
      </w:r>
      <w:r>
        <w:rPr>
          <w:rStyle w:val="CommentTok"/>
        </w:rPr>
        <w:t xml:space="preserve"># restrict to young ages to capture recent exposures</w:t>
      </w:r>
      <w:r>
        <w:br/>
      </w:r>
      <w:r>
        <w:rPr>
          <w:rStyle w:val="NormalTok"/>
        </w:rPr>
        <w:t xml:space="preserve">  </w:t>
      </w:r>
      <w:r>
        <w:rPr>
          <w:rStyle w:val="FunctionTok"/>
        </w:rPr>
        <w:t xml:space="preserve">do</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54321</w:t>
      </w:r>
      <w:r>
        <w:rPr>
          <w:rStyle w:val="NormalTok"/>
        </w:rPr>
        <w:t xml:space="preserve">)</w:t>
      </w:r>
      <w:r>
        <w:br/>
      </w:r>
      <w:r>
        <w:rPr>
          <w:rStyle w:val="NormalTok"/>
        </w:rPr>
        <w:t xml:space="preserve">    </w:t>
      </w:r>
      <w:r>
        <w:rPr>
          <w:rStyle w:val="CommentTok"/>
        </w:rPr>
        <w:t xml:space="preserve"># Fit the mixture model</w:t>
      </w:r>
      <w:r>
        <w:br/>
      </w:r>
      <w:r>
        <w:rPr>
          <w:rStyle w:val="NormalTok"/>
        </w:rPr>
        <w:t xml:space="preserve">    mixmod </w:t>
      </w:r>
      <w:r>
        <w:rPr>
          <w:rStyle w:val="OtherTok"/>
        </w:rPr>
        <w:t xml:space="preserve">&lt;-</w:t>
      </w:r>
      <w:r>
        <w:rPr>
          <w:rStyle w:val="NormalTok"/>
        </w:rPr>
        <w:t xml:space="preserve"> </w:t>
      </w:r>
      <w:r>
        <w:rPr>
          <w:rStyle w:val="FunctionTok"/>
        </w:rPr>
        <w:t xml:space="preserve">normalmixEM</w:t>
      </w:r>
      <w:r>
        <w:rPr>
          <w:rStyle w:val="NormalTok"/>
        </w:rPr>
        <w:t xml:space="preserve">(.</w:t>
      </w:r>
      <w:r>
        <w:rPr>
          <w:rStyle w:val="SpecialCharTok"/>
        </w:rPr>
        <w:t xml:space="preserve">$</w:t>
      </w:r>
      <w:r>
        <w:rPr>
          <w:rStyle w:val="NormalTok"/>
        </w:rPr>
        <w:t xml:space="preserve">value, </w:t>
      </w:r>
      <w:r>
        <w:rPr>
          <w:rStyle w:val="AttributeTok"/>
        </w:rPr>
        <w:t xml:space="preserve">k =</w:t>
      </w:r>
      <w:r>
        <w:rPr>
          <w:rStyle w:val="NormalTok"/>
        </w:rPr>
        <w:t xml:space="preserve"> </w:t>
      </w:r>
      <w:r>
        <w:rPr>
          <w:rStyle w:val="DecValTok"/>
        </w:rPr>
        <w:t xml:space="preserve">2</w:t>
      </w:r>
      <w:r>
        <w:rPr>
          <w:rStyle w:val="NormalTok"/>
        </w:rPr>
        <w:t xml:space="preserve">, </w:t>
      </w:r>
      <w:r>
        <w:rPr>
          <w:rStyle w:val="AttributeTok"/>
        </w:rPr>
        <w:t xml:space="preserve">maxit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mmentTok"/>
        </w:rPr>
        <w:t xml:space="preserve"># k is the number of components, adjust as necessary</w:t>
      </w:r>
      <w:r>
        <w:br/>
      </w:r>
      <w:r>
        <w:rPr>
          <w:rStyle w:val="NormalTok"/>
        </w:rPr>
        <w:t xml:space="preserve">    </w:t>
      </w:r>
      <w:r>
        <w:rPr>
          <w:rStyle w:val="CommentTok"/>
        </w:rPr>
        <w:t xml:space="preserve"># Assuming the first component is the lower distribution:</w:t>
      </w:r>
      <w:r>
        <w:br/>
      </w:r>
      <w:r>
        <w:rPr>
          <w:rStyle w:val="NormalTok"/>
        </w:rPr>
        <w:t xml:space="preserve">    lower_mu </w:t>
      </w:r>
      <w:r>
        <w:rPr>
          <w:rStyle w:val="OtherTok"/>
        </w:rPr>
        <w:t xml:space="preserve">&lt;-</w:t>
      </w:r>
      <w:r>
        <w:rPr>
          <w:rStyle w:val="NormalTok"/>
        </w:rPr>
        <w:t xml:space="preserve"> mixmod</w:t>
      </w:r>
      <w:r>
        <w:rPr>
          <w:rStyle w:val="SpecialCharTok"/>
        </w:rPr>
        <w:t xml:space="preserve">$</w:t>
      </w:r>
      <w:r>
        <w:rPr>
          <w:rStyle w:val="NormalTok"/>
        </w:rPr>
        <w:t xml:space="preserve">mu[</w:t>
      </w:r>
      <w:r>
        <w:rPr>
          <w:rStyle w:val="DecValTok"/>
        </w:rPr>
        <w:t xml:space="preserve">1</w:t>
      </w:r>
      <w:r>
        <w:rPr>
          <w:rStyle w:val="NormalTok"/>
        </w:rPr>
        <w:t xml:space="preserve">]</w:t>
      </w:r>
      <w:r>
        <w:br/>
      </w:r>
      <w:r>
        <w:rPr>
          <w:rStyle w:val="NormalTok"/>
        </w:rPr>
        <w:t xml:space="preserve">    lower_sigma </w:t>
      </w:r>
      <w:r>
        <w:rPr>
          <w:rStyle w:val="OtherTok"/>
        </w:rPr>
        <w:t xml:space="preserve">&lt;-</w:t>
      </w:r>
      <w:r>
        <w:rPr>
          <w:rStyle w:val="NormalTok"/>
        </w:rPr>
        <w:t xml:space="preserve"> </w:t>
      </w:r>
      <w:r>
        <w:rPr>
          <w:rStyle w:val="FunctionTok"/>
        </w:rPr>
        <w:t xml:space="preserve">sqrt</w:t>
      </w:r>
      <w:r>
        <w:rPr>
          <w:rStyle w:val="NormalTok"/>
        </w:rPr>
        <w:t xml:space="preserve">(mixmod</w:t>
      </w:r>
      <w:r>
        <w:rPr>
          <w:rStyle w:val="SpecialCharTok"/>
        </w:rPr>
        <w:t xml:space="preserve">$</w:t>
      </w:r>
      <w:r>
        <w:rPr>
          <w:rStyle w:val="NormalTok"/>
        </w:rPr>
        <w:t xml:space="preserve">sigma[</w:t>
      </w:r>
      <w:r>
        <w:rPr>
          <w:rStyle w:val="DecValTok"/>
        </w:rPr>
        <w:t xml:space="preserve">1</w:t>
      </w:r>
      <w:r>
        <w:rPr>
          <w:rStyle w:val="NormalTok"/>
        </w:rPr>
        <w:t xml:space="preserve">])</w:t>
      </w:r>
      <w:r>
        <w:br/>
      </w:r>
      <w:r>
        <w:rPr>
          <w:rStyle w:val="NormalTok"/>
        </w:rPr>
        <w:t xml:space="preserve">    </w:t>
      </w:r>
      <w:r>
        <w:rPr>
          <w:rStyle w:val="CommentTok"/>
        </w:rPr>
        <w:t xml:space="preserve"># Calculate the 90th percentile of the lower distribution</w:t>
      </w:r>
      <w:r>
        <w:br/>
      </w:r>
      <w:r>
        <w:rPr>
          <w:rStyle w:val="NormalTok"/>
        </w:rPr>
        <w:t xml:space="preserve">    percentile75 </w:t>
      </w:r>
      <w:r>
        <w:rPr>
          <w:rStyle w:val="OtherTok"/>
        </w:rPr>
        <w:t xml:space="preserve">&lt;-</w:t>
      </w:r>
      <w:r>
        <w:rPr>
          <w:rStyle w:val="NormalTok"/>
        </w:rPr>
        <w:t xml:space="preserve"> </w:t>
      </w:r>
      <w:r>
        <w:rPr>
          <w:rStyle w:val="FunctionTok"/>
        </w:rPr>
        <w:t xml:space="preserve">qnorm</w:t>
      </w:r>
      <w:r>
        <w:rPr>
          <w:rStyle w:val="NormalTok"/>
        </w:rPr>
        <w:t xml:space="preserve">(</w:t>
      </w:r>
      <w:r>
        <w:br/>
      </w:r>
      <w:r>
        <w:rPr>
          <w:rStyle w:val="NormalTok"/>
        </w:rPr>
        <w:t xml:space="preserve">      </w:t>
      </w:r>
      <w:r>
        <w:rPr>
          <w:rStyle w:val="FloatTok"/>
        </w:rPr>
        <w:t xml:space="preserve">0.75</w:t>
      </w:r>
      <w:r>
        <w:rPr>
          <w:rStyle w:val="NormalTok"/>
        </w:rPr>
        <w:t xml:space="preserve">,</w:t>
      </w:r>
      <w:r>
        <w:br/>
      </w:r>
      <w:r>
        <w:rPr>
          <w:rStyle w:val="NormalTok"/>
        </w:rPr>
        <w:t xml:space="preserve">      lower_mu,</w:t>
      </w:r>
      <w:r>
        <w:br/>
      </w:r>
      <w:r>
        <w:rPr>
          <w:rStyle w:val="NormalTok"/>
        </w:rPr>
        <w:t xml:space="preserve">      lower_sigma</w:t>
      </w:r>
      <w:r>
        <w:br/>
      </w:r>
      <w:r>
        <w:rPr>
          <w:rStyle w:val="NormalTok"/>
        </w:rPr>
        <w:t xml:space="preserve">    )</w:t>
      </w:r>
      <w:r>
        <w:br/>
      </w:r>
      <w:r>
        <w:rPr>
          <w:rStyle w:val="NormalTok"/>
        </w:rPr>
        <w:t xml:space="preserve">    </w:t>
      </w:r>
      <w:r>
        <w:rPr>
          <w:rStyle w:val="CommentTok"/>
        </w:rPr>
        <w:t xml:space="preserve"># Return the results</w:t>
      </w:r>
      <w:r>
        <w:br/>
      </w:r>
      <w:r>
        <w:rPr>
          <w:rStyle w:val="NormalTok"/>
        </w:rPr>
        <w:t xml:space="preserve">    </w:t>
      </w:r>
      <w:r>
        <w:rPr>
          <w:rStyle w:val="FunctionTok"/>
        </w:rPr>
        <w:t xml:space="preserve">data.frame</w:t>
      </w:r>
      <w:r>
        <w:rPr>
          <w:rStyle w:val="NormalTok"/>
        </w:rPr>
        <w:t xml:space="preserve">(</w:t>
      </w:r>
      <w:r>
        <w:rPr>
          <w:rStyle w:val="AttributeTok"/>
        </w:rPr>
        <w:t xml:space="preserve">antigen_iso =</w:t>
      </w:r>
      <w:r>
        <w:rPr>
          <w:rStyle w:val="NormalTok"/>
        </w:rPr>
        <w:t xml:space="preserve"> .</w:t>
      </w:r>
      <w:r>
        <w:rPr>
          <w:rStyle w:val="SpecialCharTok"/>
        </w:rPr>
        <w:t xml:space="preserve">$</w:t>
      </w:r>
      <w:r>
        <w:rPr>
          <w:rStyle w:val="NormalTok"/>
        </w:rPr>
        <w:t xml:space="preserve">antigen_iso[</w:t>
      </w:r>
      <w:r>
        <w:rPr>
          <w:rStyle w:val="DecValTok"/>
        </w:rPr>
        <w:t xml:space="preserve">1</w:t>
      </w:r>
      <w:r>
        <w:rPr>
          <w:rStyle w:val="NormalTok"/>
        </w:rPr>
        <w:t xml:space="preserve">],</w:t>
      </w:r>
      <w:r>
        <w:br/>
      </w:r>
      <w:r>
        <w:rPr>
          <w:rStyle w:val="NormalTok"/>
        </w:rPr>
        <w:t xml:space="preserve">               </w:t>
      </w:r>
      <w:r>
        <w:rPr>
          <w:rStyle w:val="AttributeTok"/>
        </w:rPr>
        <w:t xml:space="preserve">percentile75 =</w:t>
      </w:r>
      <w:r>
        <w:rPr>
          <w:rStyle w:val="NormalTok"/>
        </w:rPr>
        <w:t xml:space="preserve"> percentile75)</w:t>
      </w:r>
      <w:r>
        <w:br/>
      </w:r>
      <w:r>
        <w:rPr>
          <w:rStyle w:val="NormalTok"/>
        </w:rPr>
        <w:t xml:space="preserve">  })</w:t>
      </w:r>
      <w:r>
        <w:br/>
      </w:r>
      <w:r>
        <w:rPr>
          <w:rStyle w:val="CommentTok"/>
        </w:rPr>
        <w:t xml:space="preserve">#&gt; number of iterations= 35 </w:t>
      </w:r>
      <w:r>
        <w:br/>
      </w:r>
      <w:r>
        <w:rPr>
          <w:rStyle w:val="CommentTok"/>
        </w:rPr>
        <w:t xml:space="preserve">#&gt; number of iterations= 24</w:t>
      </w:r>
      <w:r>
        <w:br/>
      </w:r>
      <w:r>
        <w:br/>
      </w:r>
      <w:r>
        <w:br/>
      </w:r>
      <w:r>
        <w:br/>
      </w:r>
      <w:r>
        <w:rPr>
          <w:rStyle w:val="CommentTok"/>
        </w:rPr>
        <w:t xml:space="preserve"># define conditional parameters</w:t>
      </w:r>
      <w:r>
        <w:br/>
      </w:r>
      <w:r>
        <w:rPr>
          <w:rStyle w:val="NormalTok"/>
        </w:rPr>
        <w:t xml:space="preserve">noise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antigen_iso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 </w:t>
      </w:r>
      <w:r>
        <w:rPr>
          <w:rStyle w:val="StringTok"/>
        </w:rPr>
        <w:t xml:space="preserve">"OT56kda_IgM"</w:t>
      </w:r>
      <w:r>
        <w:rPr>
          <w:rStyle w:val="NormalTok"/>
        </w:rPr>
        <w:t xml:space="preserve">),</w:t>
      </w:r>
      <w:r>
        <w:br/>
      </w:r>
      <w:r>
        <w:rPr>
          <w:rStyle w:val="NormalTok"/>
        </w:rPr>
        <w:t xml:space="preserve">  </w:t>
      </w:r>
      <w:r>
        <w:rPr>
          <w:rStyle w:val="AttributeTok"/>
        </w:rPr>
        <w:t xml:space="preserve">nu =</w:t>
      </w:r>
      <w:r>
        <w:rPr>
          <w:rStyle w:val="NormalTok"/>
        </w:rPr>
        <w:t xml:space="preserve"> </w:t>
      </w:r>
      <w:r>
        <w:rPr>
          <w:rStyle w:val="FunctionTok"/>
        </w:rPr>
        <w:t xml:space="preserve">as.numeric</w:t>
      </w:r>
      <w:r>
        <w:rPr>
          <w:rStyle w:val="NormalTok"/>
        </w:rPr>
        <w:t xml:space="preserve">(</w:t>
      </w:r>
      <w:r>
        <w:rPr>
          <w:rStyle w:val="FunctionTok"/>
        </w:rPr>
        <w:t xml:space="preserve">c</w:t>
      </w:r>
      <w:r>
        <w:rPr>
          <w:rStyle w:val="NormalTok"/>
        </w:rPr>
        <w:t xml:space="preserve">(b_noise[</w:t>
      </w:r>
      <w:r>
        <w:rPr>
          <w:rStyle w:val="DecValTok"/>
        </w:rPr>
        <w:t xml:space="preserve">2</w:t>
      </w:r>
      <w:r>
        <w:rPr>
          <w:rStyle w:val="NormalTok"/>
        </w:rPr>
        <w:t xml:space="preserve">, </w:t>
      </w:r>
      <w:r>
        <w:rPr>
          <w:rStyle w:val="DecValTok"/>
        </w:rPr>
        <w:t xml:space="preserve">2</w:t>
      </w:r>
      <w:r>
        <w:rPr>
          <w:rStyle w:val="NormalTok"/>
        </w:rPr>
        <w:t xml:space="preserve">], b_noise[</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Biologic noise (nu)</w:t>
      </w:r>
      <w:r>
        <w:br/>
      </w:r>
      <w:r>
        <w:rPr>
          <w:rStyle w:val="NormalTok"/>
        </w:rPr>
        <w:t xml:space="preserve">  </w:t>
      </w:r>
      <w:r>
        <w:rPr>
          <w:rStyle w:val="AttributeTok"/>
        </w:rPr>
        <w:t xml:space="preserve">eps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M noise (eps)</w:t>
      </w:r>
      <w:r>
        <w:br/>
      </w:r>
      <w:r>
        <w:rPr>
          <w:rStyle w:val="NormalTok"/>
        </w:rPr>
        <w:t xml:space="preserve">  </w:t>
      </w:r>
      <w:r>
        <w:rPr>
          <w:rStyle w:val="AttributeTok"/>
        </w:rPr>
        <w:t xml:space="preserve">y.low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low cutoff (llod)</w:t>
      </w:r>
      <w:r>
        <w:br/>
      </w:r>
      <w:r>
        <w:rPr>
          <w:rStyle w:val="NormalTok"/>
        </w:rPr>
        <w:t xml:space="preserve">  </w:t>
      </w:r>
      <w:r>
        <w:rPr>
          <w:rStyle w:val="AttributeTok"/>
        </w:rPr>
        <w:t xml:space="preserve">y.high =</w:t>
      </w:r>
      <w:r>
        <w:rPr>
          <w:rStyle w:val="NormalTok"/>
        </w:rPr>
        <w:t xml:space="preserve"> </w:t>
      </w:r>
      <w:r>
        <w:rPr>
          <w:rStyle w:val="FunctionTok"/>
        </w:rPr>
        <w:t xml:space="preserve">c</w:t>
      </w:r>
      <w:r>
        <w:rPr>
          <w:rStyle w:val="NormalTok"/>
        </w:rPr>
        <w:t xml:space="preserve">(</w:t>
      </w:r>
      <w:r>
        <w:rPr>
          <w:rStyle w:val="DecValTok"/>
        </w:rPr>
        <w:t xml:space="preserve">200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CommentTok"/>
        </w:rPr>
        <w:t xml:space="preserve"># high cutoff (y.high)</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round, </w:t>
      </w:r>
      <w:r>
        <w:rPr>
          <w:rStyle w:val="AttributeTok"/>
        </w:rPr>
        <w:t xml:space="preserve">digits =</w:t>
      </w:r>
      <w:r>
        <w:rPr>
          <w:rStyle w:val="NormalTok"/>
        </w:rPr>
        <w:t xml:space="preserve"> </w:t>
      </w:r>
      <w:r>
        <w:rPr>
          <w:rStyle w:val="DecValTok"/>
        </w:rPr>
        <w:t xml:space="preserve">2</w:t>
      </w:r>
      <w:r>
        <w:rPr>
          <w:rStyle w:val="NormalTok"/>
        </w:rPr>
        <w:t xml:space="preserve">))</w:t>
      </w:r>
    </w:p>
    <w:bookmarkEnd w:id="31"/>
    <w:bookmarkEnd w:id="32"/>
    <w:bookmarkStart w:id="33" w:name="estimate-seroincidence-by-study-site"/>
    <w:p>
      <w:pPr>
        <w:pStyle w:val="Heading2"/>
      </w:pPr>
      <w:r>
        <w:t xml:space="preserve">4 Estimate Seroincidence by study site</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country     n est.start incidence.rate      SE  CI.lwr CI.upr se_type</w:t>
      </w:r>
      <w:r>
        <w:br/>
      </w:r>
      <w:r>
        <w:rPr>
          <w:rStyle w:val="CommentTok"/>
        </w:rPr>
        <w:t xml:space="preserve">#&gt;   &lt;chr&gt;    &lt;fct&gt;   &lt;int&gt;     &lt;dbl&gt;          &lt;dbl&gt;   &lt;dbl&gt;   &lt;dbl&gt;  &lt;dbl&gt; &lt;chr&gt;  </w:t>
      </w:r>
      <w:r>
        <w:br/>
      </w:r>
      <w:r>
        <w:rPr>
          <w:rStyle w:val="CommentTok"/>
        </w:rPr>
        <w:t xml:space="preserve">#&gt; 1 Stratum… India     721       0.1        0.0202  0.00148 0.0175  0.0233 standa…</w:t>
      </w:r>
      <w:r>
        <w:br/>
      </w:r>
      <w:r>
        <w:rPr>
          <w:rStyle w:val="CommentTok"/>
        </w:rPr>
        <w:t xml:space="preserve">#&gt; 2 Stratum… Nepal    1105       0.1        0.00854 0.00107 0.00668 0.0109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bookmarkEnd w:id="33"/>
    <w:bookmarkStart w:id="37" w:name="Xcd636ef07901f38ecd05b9ecc5e89e73b00ace1"/>
    <w:p>
      <w:pPr>
        <w:pStyle w:val="Heading2"/>
      </w:pPr>
      <w:r>
        <w:t xml:space="preserve">5 Estimate Seroincidence by study site and age strata</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est2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"ageQ"</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Some strata are completely missing one or more biomarkers.</w:t>
      </w:r>
      <w:r>
        <w:br/>
      </w:r>
      <w:r>
        <w:rPr>
          <w:rStyle w:val="CommentTok"/>
        </w:rPr>
        <w:t xml:space="preserve">#&gt; , , antigen_iso = OT56kda_IgM</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t>
      </w:r>
      <w:r>
        <w:br/>
      </w:r>
      <w:r>
        <w:rPr>
          <w:rStyle w:val="CommentTok"/>
        </w:rPr>
        <w:t xml:space="preserve">#&gt; , , antigen_iso = OT56kda_IgG</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(est2)</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ageQ </w:t>
      </w:r>
      <w:r>
        <w:br/>
      </w:r>
      <w:r>
        <w:rPr>
          <w:rStyle w:val="CommentTok"/>
        </w:rPr>
        <w:t xml:space="preserve">#&gt; </w:t>
      </w:r>
      <w:r>
        <w:br/>
      </w:r>
      <w:r>
        <w:rPr>
          <w:rStyle w:val="CommentTok"/>
        </w:rPr>
        <w:t xml:space="preserve">#&gt;  Seroincidence estimates:</w:t>
      </w:r>
      <w:r>
        <w:br/>
      </w:r>
      <w:r>
        <w:rPr>
          <w:rStyle w:val="CommentTok"/>
        </w:rPr>
        <w:t xml:space="preserve">#&gt; # A tibble: 5 × 15</w:t>
      </w:r>
      <w:r>
        <w:br/>
      </w:r>
      <w:r>
        <w:rPr>
          <w:rStyle w:val="CommentTok"/>
        </w:rPr>
        <w:t xml:space="preserve">#&gt;   Stratum   country ageQ      n est.start incidence.rate      SE  CI.lwr  CI.upr</w:t>
      </w:r>
      <w:r>
        <w:br/>
      </w:r>
      <w:r>
        <w:rPr>
          <w:rStyle w:val="CommentTok"/>
        </w:rPr>
        <w:t xml:space="preserve">#&gt;   &lt;chr&gt;     &lt;fct&gt;   &lt;fct&gt; &lt;int&gt;     &lt;dbl&gt;          &lt;dbl&gt;   &lt;dbl&gt;   &lt;dbl&gt;   &lt;dbl&gt;</w:t>
      </w:r>
      <w:r>
        <w:br/>
      </w:r>
      <w:r>
        <w:rPr>
          <w:rStyle w:val="CommentTok"/>
        </w:rPr>
        <w:t xml:space="preserve">#&gt; 1 Stratum 1 India   18-29    59       0.1        0.00985 0.00330 0.00511 0.0190 </w:t>
      </w:r>
      <w:r>
        <w:br/>
      </w:r>
      <w:r>
        <w:rPr>
          <w:rStyle w:val="CommentTok"/>
        </w:rPr>
        <w:t xml:space="preserve">#&gt; 2 Stratum 2 India   30-49   302       0.1        0.0151  0.00178 0.0120  0.0190 </w:t>
      </w:r>
      <w:r>
        <w:br/>
      </w:r>
      <w:r>
        <w:rPr>
          <w:rStyle w:val="CommentTok"/>
        </w:rPr>
        <w:t xml:space="preserve">#&gt; 3 Stratum 3 India   50-89   360       0.1        0.0288  0.00290 0.0236  0.0350 </w:t>
      </w:r>
      <w:r>
        <w:br/>
      </w:r>
      <w:r>
        <w:rPr>
          <w:rStyle w:val="CommentTok"/>
        </w:rPr>
        <w:t xml:space="preserve">#&gt; 4 Stratum 4 Nepal   0-17    876       0.1        0.00606 0.00108 0.00428 0.00860</w:t>
      </w:r>
      <w:r>
        <w:br/>
      </w:r>
      <w:r>
        <w:rPr>
          <w:rStyle w:val="CommentTok"/>
        </w:rPr>
        <w:t xml:space="preserve">#&gt; 5 Stratum 5 Nepal   18-29   229       0.1        0.0144  0.00259 0.0101  0.0205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Let’s visualize our seroincidence estimates by strata.</w:t>
      </w:r>
    </w:p>
    <w:p>
      <w:pPr>
        <w:pStyle w:val="SourceCode"/>
      </w:pPr>
      <w:r>
        <w:rPr>
          <w:rStyle w:val="CommentTok"/>
        </w:rPr>
        <w:t xml:space="preserve"># Plot seroincidence estimates</w:t>
      </w:r>
      <w:r>
        <w:br/>
      </w:r>
      <w:r>
        <w:br/>
      </w:r>
      <w:r>
        <w:rPr>
          <w:rStyle w:val="CommentTok"/>
        </w:rPr>
        <w:t xml:space="preserve"># Save summary(est) as a dataframe</w:t>
      </w:r>
      <w:r>
        <w:br/>
      </w:r>
      <w:r>
        <w:rPr>
          <w:rStyle w:val="NormalTok"/>
        </w:rPr>
        <w:t xml:space="preserve">estdf </w:t>
      </w:r>
      <w:r>
        <w:rPr>
          <w:rStyle w:val="OtherTok"/>
        </w:rPr>
        <w:t xml:space="preserve">&lt;-</w:t>
      </w:r>
      <w:r>
        <w:rPr>
          <w:rStyle w:val="NormalTok"/>
        </w:rPr>
        <w:t xml:space="preserve"> </w:t>
      </w:r>
      <w:r>
        <w:rPr>
          <w:rStyle w:val="FunctionTok"/>
        </w:rPr>
        <w:t xml:space="preserve">summary</w:t>
      </w:r>
      <w:r>
        <w:rPr>
          <w:rStyle w:val="NormalTok"/>
        </w:rPr>
        <w:t xml:space="preserve">(est)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ageQ =</w:t>
      </w:r>
      <w:r>
        <w:rPr>
          <w:rStyle w:val="NormalTok"/>
        </w:rPr>
        <w:t xml:space="preserve"> </w:t>
      </w:r>
      <w:r>
        <w:rPr>
          <w:rStyle w:val="StringTok"/>
        </w:rPr>
        <w:t xml:space="preserve">"Overall"</w:t>
      </w:r>
      <w:r>
        <w:rPr>
          <w:rStyle w:val="NormalTok"/>
        </w:rPr>
        <w:t xml:space="preserve">)</w:t>
      </w:r>
      <w:r>
        <w:br/>
      </w:r>
      <w:r>
        <w:br/>
      </w:r>
      <w:r>
        <w:rPr>
          <w:rStyle w:val="CommentTok"/>
        </w:rPr>
        <w:t xml:space="preserve"># Save summary(est2) as a dataframe</w:t>
      </w:r>
      <w:r>
        <w:br/>
      </w:r>
      <w:r>
        <w:rPr>
          <w:rStyle w:val="NormalTok"/>
        </w:rPr>
        <w:t xml:space="preserve">est2df </w:t>
      </w:r>
      <w:r>
        <w:rPr>
          <w:rStyle w:val="OtherTok"/>
        </w:rPr>
        <w:t xml:space="preserve">&lt;-</w:t>
      </w:r>
      <w:r>
        <w:rPr>
          <w:rStyle w:val="NormalTok"/>
        </w:rPr>
        <w:t xml:space="preserve"> </w:t>
      </w:r>
      <w:r>
        <w:rPr>
          <w:rStyle w:val="FunctionTok"/>
        </w:rPr>
        <w:t xml:space="preserve">summary</w:t>
      </w:r>
      <w:r>
        <w:rPr>
          <w:rStyle w:val="NormalTok"/>
        </w:rPr>
        <w:t xml:space="preserve">(est2)</w:t>
      </w:r>
      <w:r>
        <w:br/>
      </w:r>
      <w:r>
        <w:br/>
      </w:r>
      <w:r>
        <w:br/>
      </w:r>
      <w:r>
        <w:rPr>
          <w:rStyle w:val="NormalTok"/>
        </w:rPr>
        <w:t xml:space="preserve">est_comb </w:t>
      </w:r>
      <w:r>
        <w:rPr>
          <w:rStyle w:val="OtherTok"/>
        </w:rPr>
        <w:t xml:space="preserve">&lt;-</w:t>
      </w:r>
      <w:r>
        <w:rPr>
          <w:rStyle w:val="NormalTok"/>
        </w:rPr>
        <w:t xml:space="preserve"> </w:t>
      </w:r>
      <w:r>
        <w:rPr>
          <w:rStyle w:val="FunctionTok"/>
        </w:rPr>
        <w:t xml:space="preserve">rbind</w:t>
      </w:r>
      <w:r>
        <w:rPr>
          <w:rStyle w:val="NormalTok"/>
        </w:rPr>
        <w:t xml:space="preserve">(estdf, est2df)</w:t>
      </w:r>
      <w:r>
        <w:br/>
      </w:r>
      <w:r>
        <w:br/>
      </w:r>
      <w:r>
        <w:rPr>
          <w:rStyle w:val="CommentTok"/>
        </w:rPr>
        <w:t xml:space="preserve"># Create barplot (rescale incidence rate and CIs)</w:t>
      </w:r>
      <w:r>
        <w:br/>
      </w:r>
      <w:r>
        <w:rPr>
          <w:rStyle w:val="FunctionTok"/>
        </w:rPr>
        <w:t xml:space="preserve">ggplot</w:t>
      </w:r>
      <w:r>
        <w:rPr>
          <w:rStyle w:val="NormalTok"/>
        </w:rPr>
        <w:t xml:space="preserve">(est_comb, </w:t>
      </w:r>
      <w:r>
        <w:rPr>
          <w:rStyle w:val="FunctionTok"/>
        </w:rPr>
        <w:t xml:space="preserve">aes</w:t>
      </w:r>
      <w:r>
        <w:rPr>
          <w:rStyle w:val="NormalTok"/>
        </w:rPr>
        <w:t xml:space="preserve">(</w:t>
      </w:r>
      <w:r>
        <w:rPr>
          <w:rStyle w:val="AttributeTok"/>
        </w:rPr>
        <w:t xml:space="preserve">y =</w:t>
      </w:r>
      <w:r>
        <w:rPr>
          <w:rStyle w:val="NormalTok"/>
        </w:rPr>
        <w:t xml:space="preserve"> ageQ, </w:t>
      </w:r>
      <w:r>
        <w:rPr>
          <w:rStyle w:val="AttributeTok"/>
        </w:rPr>
        <w:t xml:space="preserve">x =</w:t>
      </w:r>
      <w:r>
        <w:rPr>
          <w:rStyle w:val="NormalTok"/>
        </w:rPr>
        <w:t xml:space="preserve"> incidence.rate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fill =</w:t>
      </w:r>
      <w:r>
        <w:rPr>
          <w:rStyle w:val="NormalTok"/>
        </w:rPr>
        <w:t xml:space="preserve"> country)) </w:t>
      </w:r>
      <w:r>
        <w:rPr>
          <w:rStyle w:val="SpecialCharTok"/>
        </w:rPr>
        <w:t xml:space="preserve">+</w:t>
      </w:r>
      <w:r>
        <w:br/>
      </w:r>
      <w:r>
        <w:rPr>
          <w:rStyle w:val="NormalTok"/>
        </w:rPr>
        <w:t xml:space="preserve">  </w:t>
      </w:r>
      <w:r>
        <w:rPr>
          <w:rStyle w:val="FunctionTok"/>
        </w:rPr>
        <w:t xml:space="preserve">geom_bar</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geom_linerange</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CI.lwr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xmax =</w:t>
      </w:r>
      <w:r>
        <w:rPr>
          <w:rStyle w:val="NormalTok"/>
        </w:rPr>
        <w:t xml:space="preserve"> CI.upr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"Enteric Fever Seroincidence by Catchment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"Seroincience rate per 1000 person-years"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"Catchment"</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country)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"orange2"</w:t>
      </w:r>
      <w:r>
        <w:rPr>
          <w:rStyle w:val="NormalTok"/>
        </w:rPr>
        <w:t xml:space="preserve">, </w:t>
      </w:r>
      <w:r>
        <w:rPr>
          <w:rStyle w:val="StringTok"/>
        </w:rPr>
        <w:t xml:space="preserve">"#39558CFF"</w:t>
      </w:r>
      <w:r>
        <w:rPr>
          <w:rStyle w:val="NormalTok"/>
        </w:rPr>
        <w:t xml:space="preserve">, </w:t>
      </w:r>
      <w:r>
        <w:rPr>
          <w:rStyle w:val="StringTok"/>
        </w:rPr>
        <w:t xml:space="preserve">"red"</w:t>
      </w:r>
      <w:r>
        <w:rPr>
          <w:rStyle w:val="NormalTok"/>
        </w:rPr>
        <w:t xml:space="preserve">))</w:t>
      </w:r>
    </w:p>
    <w:p>
      <w:pPr>
        <w:pStyle w:val="FirstParagraph"/>
      </w:pPr>
      <w:r>
        <w:drawing>
          <wp:inline>
            <wp:extent cx="5334000" cy="3048000"/>
            <wp:effectExtent b="0" l="0" r="0" t="0"/>
            <wp:docPr descr="" title="" id="35" name="Picture"/>
            <a:graphic>
              <a:graphicData uri="http://schemas.openxmlformats.org/drawingml/2006/picture">
                <pic:pic>
                  <pic:nvPicPr>
                    <pic:cNvPr descr="scrubTyphus_example_files/figure-docx/unnamed-chunk-6-1.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bookmarkEnd w:id="37"/>
    <w:bookmarkStart w:id="38" w:name="acknowledgments"/>
    <w:p>
      <w:pPr>
        <w:pStyle w:val="Heading2"/>
      </w:pPr>
      <w:r>
        <w:t xml:space="preserve">6 Acknowledgments</w:t>
      </w:r>
    </w:p>
    <w:p>
      <w:pPr>
        <w:pStyle w:val="FirstParagraph"/>
      </w:pPr>
      <w:r>
        <w:t xml:space="preserve">We gratefully acknowledge the study participants for their valuable time and interest in participating in these studies</w:t>
      </w:r>
    </w:p>
    <w:bookmarkEnd w:id="38"/>
    <w:bookmarkStart w:id="39" w:name="funding"/>
    <w:p>
      <w:pPr>
        <w:pStyle w:val="Heading2"/>
      </w:pPr>
      <w:r>
        <w:t xml:space="preserve">7 Funding</w:t>
      </w:r>
    </w:p>
    <w:p>
      <w:pPr>
        <w:pStyle w:val="FirstParagraph"/>
      </w:pPr>
      <w:r>
        <w:t xml:space="preserve">This work was supported by the National Institutes of Health Fogarty International Center (FIC) at [K01 TW012177] and the National Institute of Allergy and Infectious Diseases (NIAID) [R21 1AI176416]</w:t>
      </w:r>
    </w:p>
    <w:bookmarkEnd w:id="39"/>
    <w:bookmarkStart w:id="52" w:name="references"/>
    <w:p>
      <w:pPr>
        <w:pStyle w:val="Heading2"/>
      </w:pPr>
      <w:r>
        <w:t xml:space="preserve">8 References</w:t>
      </w:r>
    </w:p>
    <w:bookmarkStart w:id="51" w:name="refs"/>
    <w:bookmarkStart w:id="40" w:name="ref-Aiemjoy_2024_scrub"/>
    <w:p>
      <w:pPr>
        <w:pStyle w:val="Bibliography"/>
      </w:pPr>
      <w:r>
        <w:t xml:space="preserve">Aiemjoy, Kristen, Nishan Katuwal, Krista Vaidya, et al.</w:t>
      </w:r>
      <w:r>
        <w:t xml:space="preserve"> Accepted Feb 2024.</w:t>
      </w:r>
      <w:r>
        <w:t xml:space="preserve"> </w:t>
      </w:r>
      <w:r>
        <w:t xml:space="preserve">“Estimating the Seroincidence of Scrub Typhus Using Antibody Dynamics Following Infection.”</w:t>
      </w:r>
      <w:r>
        <w:t xml:space="preserve"> </w:t>
      </w:r>
      <w:r>
        <w:rPr>
          <w:i/>
          <w:iCs/>
        </w:rPr>
        <w:t xml:space="preserve">American Journal of Tropical Medicine and Hygiene</w:t>
      </w:r>
      <w:r>
        <w:t xml:space="preserve">, Accepted Feb 2024.</w:t>
      </w:r>
    </w:p>
    <w:bookmarkEnd w:id="40"/>
    <w:bookmarkStart w:id="42"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41">
        <w:r>
          <w:rPr>
            <w:rStyle w:val="Hyperlink"/>
          </w:rPr>
          <w:t xml:space="preserve">https://doi.org/10.1016/j.epidem.2014.08.002</w:t>
        </w:r>
      </w:hyperlink>
      <w:r>
        <w:t xml:space="preserve">.</w:t>
      </w:r>
    </w:p>
    <w:bookmarkEnd w:id="42"/>
    <w:bookmarkStart w:id="44"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43">
        <w:r>
          <w:rPr>
            <w:rStyle w:val="Hyperlink"/>
          </w:rPr>
          <w:t xml:space="preserve">https://doi.org/10.1002/sim.3592</w:t>
        </w:r>
      </w:hyperlink>
      <w:r>
        <w:t xml:space="preserve">.</w:t>
      </w:r>
    </w:p>
    <w:bookmarkEnd w:id="44"/>
    <w:bookmarkStart w:id="46"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5">
        <w:r>
          <w:rPr>
            <w:rStyle w:val="Hyperlink"/>
          </w:rPr>
          <w:t xml:space="preserve">https://doi.org/10.1002/sim.8578</w:t>
        </w:r>
      </w:hyperlink>
      <w:r>
        <w:t xml:space="preserve">.</w:t>
      </w:r>
    </w:p>
    <w:bookmarkEnd w:id="46"/>
    <w:bookmarkStart w:id="48"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7">
        <w:r>
          <w:rPr>
            <w:rStyle w:val="Hyperlink"/>
          </w:rPr>
          <w:t xml:space="preserve">https://doi.org/10.1016/j.epidem.2016.04.001</w:t>
        </w:r>
      </w:hyperlink>
      <w:r>
        <w:t xml:space="preserve">.</w:t>
      </w:r>
    </w:p>
    <w:bookmarkEnd w:id="48"/>
    <w:bookmarkStart w:id="50"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9">
        <w:r>
          <w:rPr>
            <w:rStyle w:val="Hyperlink"/>
          </w:rPr>
          <w:t xml:space="preserve">https://doi.org/10.1002/sim.5322</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_rels/footnotes.xml.rels><?xml version="1.0" encoding="UTF-8"?><Relationships xmlns="http://schemas.openxmlformats.org/package/2006/relationships"><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Scrub Typhus Seroincidence Vignette</dc:title>
  <dc:creator>UC Davis Seroepidemiology Research Group (SERG)</dc:creator>
  <cp:keywords/>
  <dcterms:created xsi:type="dcterms:W3CDTF">2026-07-25T21:34:58Z</dcterms:created>
  <dcterms:modified xsi:type="dcterms:W3CDTF">2026-07-25T21:34:58Z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