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3.png" ContentType="image/png"/>
  <Override PartName="/word/media/rId129.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2"/>
        </w:numPr>
      </w:pPr>
      <w:r>
        <w:t xml:space="preserve">Individuals within the same cluster share common exposures or characteristics</w:t>
      </w:r>
    </w:p>
    <w:p>
      <w:pPr>
        <w:pStyle w:val="Compact"/>
        <w:numPr>
          <w:ilvl w:val="0"/>
          <w:numId w:val="1022"/>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2"/>
        </w:numPr>
      </w:pPr>
      <w:r>
        <w:t xml:space="preserve">Confidence intervals will be</w:t>
      </w:r>
      <w:r>
        <w:t xml:space="preserve"> </w:t>
      </w:r>
      <w:r>
        <w:rPr>
          <w:b/>
          <w:bCs/>
        </w:rPr>
        <w:t xml:space="preserve">too narrow</w:t>
      </w:r>
    </w:p>
    <w:p>
      <w:pPr>
        <w:pStyle w:val="Compact"/>
        <w:numPr>
          <w:ilvl w:val="0"/>
          <w:numId w:val="1022"/>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3"/>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3"/>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3"/>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4"/>
        </w:numPr>
      </w:pPr>
      <m:oMath>
        <m:r>
          <m:t>C</m:t>
        </m:r>
      </m:oMath>
      <w:r>
        <w:t xml:space="preserve"> </w:t>
      </w:r>
      <w:r>
        <w:t xml:space="preserve">is the total number of clusters in the sample</w:t>
      </w:r>
    </w:p>
    <w:p>
      <w:pPr>
        <w:pStyle w:val="Compact"/>
        <w:numPr>
          <w:ilvl w:val="0"/>
          <w:numId w:val="1024"/>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4"/>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5"/>
        </w:numPr>
      </w:pPr>
      <w:r>
        <w:rPr>
          <w:b/>
          <w:bCs/>
        </w:rPr>
        <w:t xml:space="preserve">Point estimates</w:t>
      </w:r>
      <w:r>
        <w:t xml:space="preserve"> </w:t>
      </w:r>
      <w:r>
        <w:t xml:space="preserve">(incidence rates) remain unchanged</w:t>
      </w:r>
    </w:p>
    <w:p>
      <w:pPr>
        <w:pStyle w:val="Compact"/>
        <w:numPr>
          <w:ilvl w:val="0"/>
          <w:numId w:val="1025"/>
        </w:numPr>
      </w:pPr>
      <w:r>
        <w:rPr>
          <w:b/>
          <w:bCs/>
        </w:rPr>
        <w:t xml:space="preserve">Standard errors</w:t>
      </w:r>
      <w:r>
        <w:t xml:space="preserve"> </w:t>
      </w:r>
      <w:r>
        <w:t xml:space="preserve">often increase to reflect within-cluster correlation</w:t>
      </w:r>
    </w:p>
    <w:p>
      <w:pPr>
        <w:pStyle w:val="Compact"/>
        <w:numPr>
          <w:ilvl w:val="0"/>
          <w:numId w:val="1025"/>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6"/>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6"/>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6"/>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8"/>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8"/>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8"/>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0"/>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0"/>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0"/>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1"/>
        </w:numPr>
      </w:pPr>
      <m:oMath>
        <m:sSub>
          <m:e>
            <m:r>
              <m:t>y</m:t>
            </m:r>
          </m:e>
          <m:sub>
            <m:r>
              <m:rPr>
                <m:nor/>
                <m:sty m:val="p"/>
              </m:rPr>
              <m:t>obs</m:t>
            </m:r>
          </m:sub>
        </m:sSub>
      </m:oMath>
      <w:r>
        <w:t xml:space="preserve">: measured serum antibody concentration</w:t>
      </w:r>
    </w:p>
    <w:p>
      <w:pPr>
        <w:pStyle w:val="Compact"/>
        <w:numPr>
          <w:ilvl w:val="0"/>
          <w:numId w:val="1031"/>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1"/>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2"/>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2"/>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3"/>
        </w:numPr>
      </w:pPr>
      <m:oMath>
        <m:sSub>
          <m:e>
            <m:r>
              <m:t>y</m:t>
            </m:r>
          </m:e>
          <m:sub>
            <m:r>
              <m:rPr>
                <m:nor/>
                <m:sty m:val="p"/>
              </m:rPr>
              <m:t>obs</m:t>
            </m:r>
          </m:sub>
        </m:sSub>
      </m:oMath>
      <w:r>
        <w:t xml:space="preserve">: measured serum antibody concentration</w:t>
      </w:r>
    </w:p>
    <w:p>
      <w:pPr>
        <w:pStyle w:val="Compact"/>
        <w:numPr>
          <w:ilvl w:val="0"/>
          <w:numId w:val="1033"/>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3"/>
        </w:numPr>
      </w:pPr>
      <m:oMath>
        <m:r>
          <m:t>ξ</m:t>
        </m:r>
      </m:oMath>
      <w:r>
        <w:t xml:space="preserve">: relative measurement error</w:t>
      </w:r>
    </w:p>
    <w:p>
      <w:pPr>
        <w:pStyle w:val="Compact"/>
        <w:numPr>
          <w:ilvl w:val="0"/>
          <w:numId w:val="1033"/>
        </w:numPr>
      </w:pPr>
      <m:oMath>
        <m:r>
          <m:t>ε</m:t>
        </m:r>
      </m:oMath>
      <w:r>
        <w:t xml:space="preserve">: bound on the relative error</w:t>
      </w:r>
    </w:p>
    <w:p>
      <w:pPr>
        <w:pStyle w:val="FirstParagraph"/>
      </w:pPr>
      <w:r>
        <w:t xml:space="preserve">Model:</w:t>
      </w:r>
    </w:p>
    <w:p>
      <w:pPr>
        <w:pStyle w:val="Compact"/>
        <w:numPr>
          <w:ilvl w:val="0"/>
          <w:numId w:val="1034"/>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4"/>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5"/>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5"/>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6"/>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6"/>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8"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7"/>
        </w:numPr>
      </w:pPr>
      <w:r>
        <w:t xml:space="preserve">baseline antibody level (</w:t>
      </w:r>
      <m:oMath>
        <m:sSub>
          <m:e>
            <m:r>
              <m:t>y</m:t>
            </m:r>
          </m:e>
          <m:sub>
            <m:r>
              <m:t>0</m:t>
            </m:r>
          </m:sub>
        </m:sSub>
      </m:oMath>
      <w:r>
        <w:t xml:space="preserve">)</w:t>
      </w:r>
    </w:p>
    <w:p>
      <w:pPr>
        <w:pStyle w:val="Compact"/>
        <w:numPr>
          <w:ilvl w:val="0"/>
          <w:numId w:val="1037"/>
        </w:numPr>
      </w:pPr>
      <w:r>
        <w:t xml:space="preserve">peak concentration (</w:t>
      </w:r>
      <m:oMath>
        <m:sSub>
          <m:e>
            <m:r>
              <m:t>y</m:t>
            </m:r>
          </m:e>
          <m:sub>
            <m:r>
              <m:t>1</m:t>
            </m:r>
          </m:sub>
        </m:sSub>
      </m:oMath>
      <w:r>
        <w:t xml:space="preserve">)</w:t>
      </w:r>
    </w:p>
    <w:p>
      <w:pPr>
        <w:pStyle w:val="Compact"/>
        <w:numPr>
          <w:ilvl w:val="0"/>
          <w:numId w:val="1037"/>
        </w:numPr>
      </w:pPr>
      <w:r>
        <w:t xml:space="preserve">time to peak (</w:t>
      </w:r>
      <m:oMath>
        <m:sSub>
          <m:e>
            <m:r>
              <m:t>t</m:t>
            </m:r>
          </m:e>
          <m:sub>
            <m:r>
              <m:t>1</m:t>
            </m:r>
          </m:sub>
        </m:sSub>
      </m:oMath>
      <w:r>
        <w:t xml:space="preserve">)</w:t>
      </w:r>
    </w:p>
    <w:p>
      <w:pPr>
        <w:pStyle w:val="Compact"/>
        <w:numPr>
          <w:ilvl w:val="0"/>
          <w:numId w:val="1037"/>
        </w:numPr>
      </w:pPr>
      <w:r>
        <w:t xml:space="preserve">decay rate (</w:t>
      </w:r>
      <m:oMath>
        <m:r>
          <m:t>α</m:t>
        </m:r>
      </m:oMath>
      <w:r>
        <w:t xml:space="preserve">)</w:t>
      </w:r>
    </w:p>
    <w:p>
      <w:pPr>
        <w:pStyle w:val="Compact"/>
        <w:numPr>
          <w:ilvl w:val="0"/>
          <w:numId w:val="1037"/>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8"/>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8"/>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9"/>
        </w:numPr>
      </w:pPr>
      <w:r>
        <w:rPr>
          <w:b/>
          <w:bCs/>
        </w:rPr>
        <w:t xml:space="preserve">estimation uncertainty</w:t>
      </w:r>
      <w:r>
        <w:t xml:space="preserve"> </w:t>
      </w:r>
      <w:r>
        <w:t xml:space="preserve">in the kinetics parameters, and</w:t>
      </w:r>
    </w:p>
    <w:p>
      <w:pPr>
        <w:pStyle w:val="Compact"/>
        <w:numPr>
          <w:ilvl w:val="0"/>
          <w:numId w:val="1039"/>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End w:id="118"/>
    <w:bookmarkStart w:id="127" w:name="using-serocalculator"/>
    <w:p>
      <w:pPr>
        <w:pStyle w:val="Heading1"/>
      </w:pPr>
      <w:r>
        <w:t xml:space="preserve">7. Using</w:t>
      </w:r>
      <w:r>
        <w:t xml:space="preserve"> </w:t>
      </w:r>
      <w:r>
        <w:rPr>
          <w:rStyle w:val="VerbatimChar"/>
        </w:rPr>
        <w:t xml:space="preserve">serocalculator</w:t>
      </w:r>
    </w:p>
    <w:bookmarkStart w:id="12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19">
        <w:r>
          <w:rPr>
            <w:rStyle w:val="VerbatimChar"/>
          </w:rPr>
          <w:t xml:space="preserve">serocalculator</w:t>
        </w:r>
      </w:hyperlink>
      <w:r>
        <w:t xml:space="preserve"> </w:t>
      </w:r>
      <w:r>
        <w:t xml:space="preserve">R package.</w:t>
      </w:r>
    </w:p>
    <w:bookmarkEnd w:id="120"/>
    <w:bookmarkStart w:id="121" w:name="estimating-seroincidence"/>
    <w:p>
      <w:pPr>
        <w:pStyle w:val="Heading2"/>
      </w:pPr>
      <w:r>
        <w:t xml:space="preserve">7.2 Estimating seroincidence</w:t>
      </w:r>
    </w:p>
    <w:bookmarkEnd w:id="121"/>
    <w:bookmarkStart w:id="126" w:name="interactive-shiny-app"/>
    <w:p>
      <w:pPr>
        <w:pStyle w:val="Heading2"/>
      </w:pPr>
      <w:r>
        <w:t xml:space="preserve">7.3 Interactive Shiny app</w:t>
      </w:r>
    </w:p>
    <w:p>
      <w:pPr>
        <w:pStyle w:val="FirstParagraph"/>
      </w:pPr>
      <w:r>
        <w:t xml:space="preserve">A point-and-click interface is available at</w:t>
      </w:r>
      <w:r>
        <w:t xml:space="preserve"> </w:t>
      </w:r>
      <w:hyperlink r:id="rId12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4" name="Picture"/>
            <a:graphic>
              <a:graphicData uri="http://schemas.openxmlformats.org/drawingml/2006/picture">
                <pic:pic>
                  <pic:nvPicPr>
                    <pic:cNvPr descr="../man/figures/shiny-serocalculator.png" id="125" name="Picture"/>
                    <pic:cNvPicPr>
                      <a:picLocks noChangeArrowheads="1" noChangeAspect="1"/>
                    </pic:cNvPicPr>
                  </pic:nvPicPr>
                  <pic:blipFill>
                    <a:blip r:embed="rId12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6"/>
    <w:bookmarkEnd w:id="127"/>
    <w:bookmarkStart w:id="150" w:name="X950effd5ffba89669b8964fc48817b69e54f5c8"/>
    <w:p>
      <w:pPr>
        <w:pStyle w:val="Heading1"/>
      </w:pPr>
      <w:r>
        <w:t xml:space="preserve">8. Validation: recovering known incidence rates</w:t>
      </w:r>
    </w:p>
    <w:bookmarkStart w:id="128"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8"/>
    <w:bookmarkStart w:id="132"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0" name="Picture"/>
            <a:graphic>
              <a:graphicData uri="http://schemas.openxmlformats.org/drawingml/2006/picture">
                <pic:pic>
                  <pic:nvPicPr>
                    <pic:cNvPr descr="../man/figures/sim-recovery.png" id="131" name="Picture"/>
                    <pic:cNvPicPr>
                      <a:picLocks noChangeArrowheads="1" noChangeAspect="1"/>
                    </pic:cNvPicPr>
                  </pic:nvPicPr>
                  <pic:blipFill>
                    <a:blip r:embed="rId12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2"/>
    <w:bookmarkStart w:id="134" w:name="in-progress-work"/>
    <w:p>
      <w:pPr>
        <w:pStyle w:val="Heading2"/>
      </w:pPr>
      <w:r>
        <w:t xml:space="preserve">8.3 In-progress work</w:t>
      </w:r>
    </w:p>
    <w:p>
      <w:pPr>
        <w:numPr>
          <w:ilvl w:val="0"/>
          <w:numId w:val="1040"/>
        </w:numPr>
      </w:pPr>
      <w:r>
        <w:t xml:space="preserve">Extending and improving existing Shiny apps for these methods</w:t>
      </w:r>
      <w:r>
        <w:t xml:space="preserve"> </w:t>
      </w:r>
      <w:r>
        <w:t xml:space="preserve">(e.g., the</w:t>
      </w:r>
      <w:r>
        <w:t xml:space="preserve"> </w:t>
      </w:r>
      <w:hyperlink r:id="rId122">
        <w:r>
          <w:rPr>
            <w:rStyle w:val="Hyperlink"/>
          </w:rPr>
          <w:t xml:space="preserve">serocalculator Shiny app</w:t>
        </w:r>
      </w:hyperlink>
      <w:r>
        <w:t xml:space="preserve">,</w:t>
      </w:r>
      <w:r>
        <w:t xml:space="preserve"> </w:t>
      </w:r>
      <w:hyperlink r:id="rId133">
        <w:r>
          <w:rPr>
            <w:rStyle w:val="Hyperlink"/>
          </w:rPr>
          <w:t xml:space="preserve">source</w:t>
        </w:r>
      </w:hyperlink>
      <w:r>
        <w:t xml:space="preserve">)</w:t>
      </w:r>
    </w:p>
    <w:p>
      <w:pPr>
        <w:numPr>
          <w:ilvl w:val="0"/>
          <w:numId w:val="1040"/>
        </w:numPr>
      </w:pPr>
      <w:r>
        <w:t xml:space="preserve">Multivariate modeling of biomarkers (relaxing conditional independence)</w:t>
      </w:r>
    </w:p>
    <w:p>
      <w:pPr>
        <w:numPr>
          <w:ilvl w:val="0"/>
          <w:numId w:val="1040"/>
        </w:numPr>
      </w:pPr>
      <w:r>
        <w:t xml:space="preserve">A graphical (Shiny) app for</w:t>
      </w:r>
      <w:r>
        <w:t xml:space="preserve"> </w:t>
      </w:r>
      <w:r>
        <w:rPr>
          <w:rStyle w:val="VerbatimChar"/>
        </w:rPr>
        <w:t xml:space="preserve">serodynamics</w:t>
      </w:r>
    </w:p>
    <w:p>
      <w:pPr>
        <w:numPr>
          <w:ilvl w:val="0"/>
          <w:numId w:val="1040"/>
        </w:numPr>
      </w:pPr>
      <w:r>
        <w:t xml:space="preserve">Modeling time-varying incidence rates</w:t>
      </w:r>
    </w:p>
    <w:p>
      <w:pPr>
        <w:numPr>
          <w:ilvl w:val="0"/>
          <w:numId w:val="1040"/>
        </w:numPr>
      </w:pPr>
      <w:r>
        <w:t xml:space="preserve">Accounting for re-exposure</w:t>
      </w:r>
    </w:p>
    <w:p>
      <w:pPr>
        <w:numPr>
          <w:ilvl w:val="0"/>
          <w:numId w:val="1040"/>
        </w:numPr>
      </w:pPr>
      <w:r>
        <w:t xml:space="preserve">Accounting for latent immunocompromised subpopulations</w:t>
      </w:r>
    </w:p>
    <w:p>
      <w:pPr>
        <w:numPr>
          <w:ilvl w:val="0"/>
          <w:numId w:val="1040"/>
        </w:numPr>
      </w:pPr>
      <w:r>
        <w:t xml:space="preserve">Calibrating to population demographics</w:t>
      </w:r>
    </w:p>
    <w:bookmarkEnd w:id="134"/>
    <w:bookmarkStart w:id="136"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5">
        <w:r>
          <w:rPr>
            <w:rStyle w:val="Hyperlink"/>
          </w:rPr>
          <w:t xml:space="preserve">UCD-SERG/shigella#13</w:t>
        </w:r>
      </w:hyperlink>
      <w:r>
        <w:t xml:space="preserve">).</w:t>
      </w:r>
    </w:p>
    <w:bookmarkEnd w:id="136"/>
    <w:bookmarkStart w:id="149" w:name="references"/>
    <w:p>
      <w:pPr>
        <w:pStyle w:val="Heading2"/>
      </w:pPr>
      <w:r>
        <w:t xml:space="preserve">References</w:t>
      </w:r>
    </w:p>
    <w:bookmarkStart w:id="148" w:name="refs"/>
    <w:bookmarkStart w:id="13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7">
        <w:r>
          <w:rPr>
            <w:rStyle w:val="Hyperlink"/>
          </w:rPr>
          <w:t xml:space="preserve">https://doi.org/10.1016/S2666-5247(22)00114-8</w:t>
        </w:r>
      </w:hyperlink>
      <w:r>
        <w:t xml:space="preserve">.</w:t>
      </w:r>
    </w:p>
    <w:bookmarkEnd w:id="138"/>
    <w:bookmarkStart w:id="14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39">
        <w:r>
          <w:rPr>
            <w:rStyle w:val="Hyperlink"/>
          </w:rPr>
          <w:t xml:space="preserve">https://doi.org/10.1016/j.epidem.2024.100806</w:t>
        </w:r>
      </w:hyperlink>
      <w:r>
        <w:t xml:space="preserve">.</w:t>
      </w:r>
    </w:p>
    <w:bookmarkEnd w:id="140"/>
    <w:bookmarkStart w:id="142"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1">
        <w:r>
          <w:rPr>
            <w:rStyle w:val="Hyperlink"/>
          </w:rPr>
          <w:t xml:space="preserve">https://doi.org/10.1159/000286345</w:t>
        </w:r>
      </w:hyperlink>
      <w:r>
        <w:t xml:space="preserve">.</w:t>
      </w:r>
    </w:p>
    <w:bookmarkEnd w:id="142"/>
    <w:bookmarkStart w:id="144"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3">
        <w:r>
          <w:rPr>
            <w:rStyle w:val="Hyperlink"/>
          </w:rPr>
          <w:t xml:space="preserve">https://doi.org/10.1002/sim.8578</w:t>
        </w:r>
      </w:hyperlink>
      <w:r>
        <w:t xml:space="preserve">.</w:t>
      </w:r>
    </w:p>
    <w:bookmarkEnd w:id="144"/>
    <w:bookmarkStart w:id="146"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5">
        <w:r>
          <w:rPr>
            <w:rStyle w:val="Hyperlink"/>
          </w:rPr>
          <w:t xml:space="preserve">https://doi.org/10.1016/j.epidem.2016.04.001</w:t>
        </w:r>
      </w:hyperlink>
      <w:r>
        <w:t xml:space="preserve">.</w:t>
      </w:r>
    </w:p>
    <w:bookmarkEnd w:id="146"/>
    <w:bookmarkStart w:id="147"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7"/>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3" Target="https://doi.org/10.1002/sim.8578" TargetMode="External" /><Relationship Type="http://schemas.openxmlformats.org/officeDocument/2006/relationships/hyperlink" Id="rId137" Target="https://doi.org/10.1016/S2666-5247(22)00114-8" TargetMode="External" /><Relationship Type="http://schemas.openxmlformats.org/officeDocument/2006/relationships/hyperlink" Id="rId145" Target="https://doi.org/10.1016/j.epidem.2016.04.001" TargetMode="External" /><Relationship Type="http://schemas.openxmlformats.org/officeDocument/2006/relationships/hyperlink" Id="rId139" Target="https://doi.org/10.1016/j.epidem.2024.100806" TargetMode="External" /><Relationship Type="http://schemas.openxmlformats.org/officeDocument/2006/relationships/hyperlink" Id="rId141" Target="https://doi.org/10.1159/000286345" TargetMode="External" /><Relationship Type="http://schemas.openxmlformats.org/officeDocument/2006/relationships/hyperlink" Id="rId119"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5" Target="https://github.com/UCD-SERG/shigella/pull/13" TargetMode="External" /><Relationship Type="http://schemas.openxmlformats.org/officeDocument/2006/relationships/hyperlink" Id="rId133"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3" Target="https://doi.org/10.1002/sim.8578" TargetMode="External" /><Relationship Type="http://schemas.openxmlformats.org/officeDocument/2006/relationships/hyperlink" Id="rId137" Target="https://doi.org/10.1016/S2666-5247(22)00114-8" TargetMode="External" /><Relationship Type="http://schemas.openxmlformats.org/officeDocument/2006/relationships/hyperlink" Id="rId145" Target="https://doi.org/10.1016/j.epidem.2016.04.001" TargetMode="External" /><Relationship Type="http://schemas.openxmlformats.org/officeDocument/2006/relationships/hyperlink" Id="rId139" Target="https://doi.org/10.1016/j.epidem.2024.100806" TargetMode="External" /><Relationship Type="http://schemas.openxmlformats.org/officeDocument/2006/relationships/hyperlink" Id="rId141" Target="https://doi.org/10.1159/000286345" TargetMode="External" /><Relationship Type="http://schemas.openxmlformats.org/officeDocument/2006/relationships/hyperlink" Id="rId119"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5" Target="https://github.com/UCD-SERG/shigella/pull/13" TargetMode="External" /><Relationship Type="http://schemas.openxmlformats.org/officeDocument/2006/relationships/hyperlink" Id="rId133"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2026-07-20T07:44:37Z</dcterms:created>
  <dcterms:modified xsi:type="dcterms:W3CDTF">2026-07-20T07:44:37Z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