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test-quarto-article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2026-08-10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(serocalculator)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test-quarto-article</dc:title>
  <dc:creator>UC Davis Seroepidemiology Research Group (UCD-SERG)</dc:creator>
  <cp:keywords/>
  <dcterms:created xsi:type="dcterms:W3CDTF">2026-08-10T01:54:37Z</dcterms:created>
  <dcterms:modified xsi:type="dcterms:W3CDTF">2026-08-10T01:54:37Z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allouty-theorem">
    <vt:lpwstr/>
  </property>
  <property fmtid="{D5CDD505-2E9C-101B-9397-08002B2CF9AE}" pid="7" name="custom-callout">
    <vt:lpwstr/>
  </property>
  <property fmtid="{D5CDD505-2E9C-101B-9397-08002B2CF9AE}" pid="8" name="date">
    <vt:lpwstr>2026-08-10</vt:lpwstr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knitr">
    <vt:lpwstr/>
  </property>
  <property fmtid="{D5CDD505-2E9C-101B-9397-08002B2CF9AE}" pid="13" name="labels">
    <vt:lpwstr/>
  </property>
  <property fmtid="{D5CDD505-2E9C-101B-9397-08002B2CF9AE}" pid="14" name="toc-title">
    <vt:lpwstr>Table of contents</vt:lpwstr>
  </property>
</Properties>
</file>