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29.png" ContentType="image/png"/>
  <Override PartName="/word/media/rId133.png" ContentType="image/png"/>
  <Override PartName="/word/media/rId110.svg" ContentType="image/svg+xml"/>
  <Override PartName="/word/media/rId142.png" ContentType="image/png"/>
  <Override PartName="/word/media/rId166.png" ContentType="image/png"/>
  <Override PartName="/word/media/rId178.png" ContentType="image/png"/>
  <Override PartName="/word/media/rId118.png" ContentType="image/png"/>
  <Override PartName="/word/media/rId193.png" ContentType="image/png"/>
  <Override PartName="/word/media/rId159.png" ContentType="image/png"/>
  <Override PartName="/word/media/rId60.png" ContentType="image/png"/>
  <Override PartName="/word/media/rId199.png" ContentType="image/png"/>
  <Override PartName="/word/media/rId124.png" ContentType="image/png"/>
  <Override PartName="/word/media/rId184.png" ContentType="image/png"/>
  <Override PartName="/word/media/rId105.png" ContentType="image/png"/>
  <Override PartName="/word/media/rId154.png" ContentType="image/png"/>
  <Override PartName="/word/media/rId171.png" ContentType="image/png"/>
  <Override PartName="/word/media/rId189.png" ContentType="image/png"/>
  <Override PartName="/word/media/rId204.png" ContentType="image/png"/>
  <Override PartName="/word/media/rId29.png" ContentType="image/png"/>
  <Override PartName="/word/media/rId72.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2026-10-09</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(Population incidence rate)</w:t>
            </w:r>
          </w:p>
          <w:bookmarkStart w:id="34" w:name="def-incidence"/>
          <w:p>
            <w:pPr>
              <w:pStyle w:val="BodyText"/>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Example (Population incidence rate)</w:t>
            </w:r>
          </w:p>
        </w:tc>
      </w:tr>
      <w:tr>
        <w:trPr>
          <w:cantSplit/>
        </w:trPr>
        <w:tc>
          <w:tcPr>
            <w:tcMar>
              <w:top w:w="108" w:type="dxa"/>
              <w:bottom w:w="108" w:type="dxa"/>
            </w:tcMar>
          </w:tcPr>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p/>
        </w:tc>
      </w:tr>
    </w:tbl>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100"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50" w:name="modeling-assumptions"/>
    <w:p>
      <w:pPr>
        <w:pStyle w:val="Heading2"/>
      </w:pPr>
      <w:r>
        <w:t xml:space="preserve">4.4 Modeling assumptions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(Constant-incidence model)</w:t>
            </w:r>
          </w:p>
          <w:bookmarkStart w:id="48" w:name="def-constant-incidence-model"/>
          <w:p>
            <w:pPr>
              <w:pStyle w:val="BodyText"/>
            </w:pPr>
            <w:r>
              <w:rPr>
                <w:b/>
                <w:bCs/>
              </w:rPr>
              <w:t xml:space="preserve">Definition 2 (Constant-incidence model)</w:t>
            </w:r>
            <w:r>
              <w:t xml:space="preserve"> </w:t>
            </w:r>
            <w:r>
              <w:t xml:space="preserve">In the</w:t>
            </w:r>
            <w:r>
              <w:t xml:space="preserve"> </w:t>
            </w:r>
            <w:r>
              <w:rPr>
                <w:b/>
                <w:bCs/>
              </w:rPr>
              <w:t xml:space="preserve">constant-incidence model</w:t>
            </w:r>
            <w:r>
              <w:t xml:space="preserve">:</w:t>
            </w:r>
          </w:p>
          <w:p>
            <w:pPr>
              <w:numPr>
                <w:ilvl w:val="0"/>
                <w:numId w:val="1014"/>
              </w:numPr>
            </w:pPr>
            <w:r>
              <w:t xml:space="preserve">incidence is</w:t>
            </w:r>
            <w:r>
              <w:t xml:space="preserve"> </w:t>
            </w:r>
            <w:r>
              <w:rPr>
                <w:b/>
                <w:bCs/>
              </w:rPr>
              <w:t xml:space="preserve">constant over time</w:t>
            </w:r>
            <w:r>
              <w:t xml:space="preserve"> </w:t>
            </w:r>
            <w:r>
              <w:t xml:space="preserve">and</w:t>
            </w:r>
            <w:r>
              <w:t xml:space="preserve"> </w:t>
            </w:r>
            <w:r>
              <w:rPr>
                <w:b/>
                <w:bCs/>
              </w:rPr>
              <w:t xml:space="preserve">homogeneous across the</w:t>
            </w:r>
            <w:r>
              <w:rPr>
                <w:b/>
                <w:bCs/>
              </w:rPr>
              <w:t xml:space="preserve"> </w:t>
            </w:r>
            <w:r>
              <w:rPr>
                <w:b/>
                <w:bCs/>
              </w:rPr>
              <w:t xml:space="preserve">population</w:t>
            </w:r>
            <w:r>
              <w:t xml:space="preserve">, so a single number describes the whole sample,</w:t>
            </w:r>
          </w:p>
          <w:p>
            <w:pPr>
              <w:pStyle w:val="BodyText"/>
            </w:pPr>
            <m:oMathPara>
              <m:oMathParaPr>
                <m:jc m:val="center"/>
              </m:oMathParaPr>
              <m:oMath>
                <m:sSub>
                  <m:e>
                    <m:r>
                      <m:t>λ</m:t>
                    </m:r>
                  </m:e>
                  <m:sub>
                    <m:r>
                      <m:t>i</m:t>
                    </m:r>
                    <m:r>
                      <m:rPr>
                        <m:sty m:val="p"/>
                      </m:rPr>
                      <m:t>,</m:t>
                    </m:r>
                    <m:r>
                      <m:t>t</m:t>
                    </m:r>
                  </m:sub>
                </m:sSub>
                <m:r>
                  <m:rPr>
                    <m:sty m:val="p"/>
                  </m:rPr>
                  <m:t>=</m:t>
                </m:r>
                <m:r>
                  <m:t>λ</m:t>
                </m:r>
                <m:r>
                  <m:rPr>
                    <m:sty m:val="p"/>
                  </m:rPr>
                  <m:t>,</m:t>
                </m:r>
                <m:r>
                  <m:t> </m:t>
                </m:r>
                <m:r>
                  <m:rPr>
                    <m:sty m:val="p"/>
                  </m:rPr>
                  <m:t>∀</m:t>
                </m:r>
                <m:r>
                  <m:t>i</m:t>
                </m:r>
                <m:r>
                  <m:rPr>
                    <m:sty m:val="p"/>
                  </m:rPr>
                  <m:t>,</m:t>
                </m:r>
                <m:r>
                  <m:t>t</m:t>
                </m:r>
              </m:oMath>
            </m:oMathPara>
          </w:p>
          <w:p>
            <w:pPr>
              <w:numPr>
                <w:ilvl w:val="0"/>
                <w:numId w:val="1000"/>
              </w:numPr>
            </w:pPr>
            <w:r>
              <w:t xml:space="preserve">(subpopulations can be analyzed separately to make this more</w:t>
            </w:r>
            <w:r>
              <w:t xml:space="preserve"> </w:t>
            </w:r>
            <w:r>
              <w:t xml:space="preserve">plausible); and</w:t>
            </w:r>
          </w:p>
          <w:p>
            <w:pPr>
              <w:numPr>
                <w:ilvl w:val="0"/>
                <w:numId w:val="1014"/>
              </w:numPr>
            </w:pPr>
            <w:r>
              <w:t xml:space="preserve">there is</w:t>
            </w:r>
            <w:r>
              <w:t xml:space="preserve"> </w:t>
            </w:r>
            <w:r>
              <w:rPr>
                <w:b/>
                <w:bCs/>
              </w:rPr>
              <w:t xml:space="preserve">no lasting immunity</w:t>
            </w:r>
            <w:r>
              <w:t xml:space="preserve">: participants are always at risk of</w:t>
            </w:r>
            <w:r>
              <w:t xml:space="preserve"> </w:t>
            </w:r>
            <w:r>
              <w:t xml:space="preserve">a new infection, regardless of how recently they were last infected.</w:t>
            </w:r>
          </w:p>
          <w:bookmarkEnd w:id="48"/>
        </w:tc>
      </w:tr>
    </w:tbl>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9">
        <w:r>
          <w:rPr>
            <w:rStyle w:val="Hyperlink"/>
          </w:rPr>
          <w:t xml:space="preserve">on our to-do list</w:t>
        </w:r>
      </w:hyperlink>
      <w:r>
        <w:t xml:space="preserve">).</w:t>
      </w:r>
    </w:p>
    <w:bookmarkEnd w:id="50"/>
    <w:bookmarkStart w:id="52" w:name="time-since-infection-and-incidence"/>
    <w:p>
      <w:pPr>
        <w:pStyle w:val="Heading2"/>
      </w:pPr>
      <w:r>
        <w:t xml:space="preserve">4.5 Time since infection and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(Distribution of time since last infection)</w:t>
            </w:r>
          </w:p>
          <w:bookmarkStart w:id="51" w:name="prp-time-since-infection"/>
          <w:p>
            <w:pPr>
              <w:pStyle w:val="BodyText"/>
            </w:pPr>
            <w:r>
              <w:rPr>
                <w:b/>
                <w:bCs/>
              </w:rPr>
              <w:t xml:space="preserve">Proposition 1 (Distribution of time since last infection)</w:t>
            </w:r>
            <w:r>
              <w:t xml:space="preserve"> </w:t>
            </w:r>
            <w:r>
              <w:t xml:space="preserve">Under the constant-incidence model (</w:t>
            </w:r>
            <w:hyperlink w:anchor="def-constant-incidence-model">
              <w:r>
                <w:rPr>
                  <w:rStyle w:val="Hyperlink"/>
                </w:rPr>
                <w:t xml:space="preserve">Definition 2</w:t>
              </w:r>
            </w:hyperlink>
            <w:r>
              <w:t xml:space="preserve">), a participant’s time since last</w:t>
            </w:r>
            <w:r>
              <w:t xml:space="preserve"> </w:t>
            </w:r>
            <w:r>
              <w:t xml:space="preserve">infection,</w:t>
            </w:r>
            <w:r>
              <w:t xml:space="preserve"> </w:t>
            </w:r>
            <m:oMath>
              <m:r>
                <m:t>T</m:t>
              </m:r>
            </m:oMath>
            <w:r>
              <w:t xml:space="preserve">, is</w:t>
            </w:r>
            <w:r>
              <w:t xml:space="preserve"> </w:t>
            </w:r>
            <w:r>
              <w:rPr>
                <w:b/>
                <w:bCs/>
              </w:rPr>
              <w:t xml:space="preserve">exponentially distributed with rate</w:t>
            </w:r>
            <w:r>
              <w:rPr>
                <w:b/>
                <w:bCs/>
              </w:rPr>
              <w:t xml:space="preserve"> </w:t>
            </w:r>
            <m:oMath>
              <m:r>
                <m:t>λ</m:t>
              </m:r>
            </m:oMath>
            <w:r>
              <w:t xml:space="preserve">,</w:t>
            </w:r>
            <w:r>
              <w:t xml:space="preserve"> </w:t>
            </w:r>
            <w:r>
              <w:t xml:space="preserve">truncated at their age</w:t>
            </w:r>
            <w:r>
              <w:t xml:space="preserve"> </w:t>
            </w:r>
            <m:oMath>
              <m:r>
                <m:t>a</m:t>
              </m:r>
            </m:oMath>
            <w:r>
              <w:t xml:space="preserve">: no one can have been infected before they</w:t>
            </w:r>
            <w:r>
              <w:t xml:space="preserve"> </w:t>
            </w:r>
            <w:r>
              <w:t xml:space="preserve">were born, so the density is supported on</w:t>
            </w:r>
            <w:r>
              <w:t xml:space="preserve"> </w:t>
            </w:r>
            <m:oMath>
              <m:r>
                <m:rPr>
                  <m:sty m:val="p"/>
                </m:rPr>
                <m:t>[</m:t>
              </m:r>
              <m:r>
                <m:t>0</m:t>
              </m:r>
              <m:r>
                <m:rPr>
                  <m:sty m:val="p"/>
                </m:rPr>
                <m:t>,</m:t>
              </m:r>
              <m:r>
                <m:t>a</m:t>
              </m:r>
              <m:r>
                <m:rPr>
                  <m:sty m:val="p"/>
                </m:rPr>
                <m:t>]</m:t>
              </m:r>
            </m:oMath>
            <w:r>
              <w:t xml:space="preserve"> </w:t>
            </w:r>
            <w:r>
              <w:t xml:space="preserve">and the remaining</w:t>
            </w:r>
            <w:r>
              <w:t xml:space="preserve"> </w:t>
            </w:r>
            <w:r>
              <w:t xml:space="preserve">probability,</w:t>
            </w:r>
            <w:r>
              <w:t xml:space="preserve"> </w:t>
            </w:r>
            <m:oMath>
              <m:r>
                <m:rPr>
                  <m:sty m:val="p"/>
                </m:rPr>
                <m:t>exp</m:t>
              </m:r>
              <m:r>
                <m:t>​</m:t>
              </m:r>
              <m:d>
                <m:dPr>
                  <m:begChr m:val="{"/>
                  <m:sepChr m:val=""/>
                  <m:endChr m:val="}"/>
                  <m:grow/>
                </m:dPr>
                <m:e>
                  <m:r>
                    <m:rPr>
                      <m:sty m:val="p"/>
                    </m:rPr>
                    <m:t>−</m:t>
                  </m:r>
                  <m:r>
                    <m:t>λ</m:t>
                  </m:r>
                  <m:r>
                    <m:t>a</m:t>
                  </m:r>
                </m:e>
              </m:d>
              <m:r>
                <m:t>​</m:t>
              </m:r>
            </m:oMath>
            <w:r>
              <w:t xml:space="preserve">, falls on</w:t>
            </w:r>
            <w:r>
              <w:t xml:space="preserve"> </w:t>
            </w:r>
            <w:r>
              <w:t xml:space="preserve">“never infected”</w:t>
            </w:r>
            <w:r>
              <w:t xml:space="preserve">:</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Its rate parameter is exactly the incidence rate of</w:t>
            </w:r>
            <w:r>
              <w:t xml:space="preserve"> </w:t>
            </w:r>
            <w:hyperlink w:anchor="def-incidence">
              <w:r>
                <w:rPr>
                  <w:rStyle w:val="Hyperlink"/>
                </w:rPr>
                <w:t xml:space="preserve">Definition 1</w:t>
              </w:r>
            </w:hyperlink>
            <w:r>
              <w:t xml:space="preserve">, and that identity is what makes</w:t>
            </w:r>
            <w:r>
              <w:t xml:space="preserve"> </w:t>
            </w:r>
            <m:oMath>
              <m:r>
                <m:t>T</m:t>
              </m:r>
            </m:oMath>
            <w:r>
              <w:t xml:space="preserve"> </w:t>
            </w:r>
            <w:r>
              <w:t xml:space="preserve">worth recovering.</w:t>
            </w:r>
          </w:p>
          <w:bookmarkEnd w:id="51"/>
        </w:tc>
      </w:tr>
    </w:tbl>
    <w:p>
      <w:pPr>
        <w:pStyle w:val="BodyText"/>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2"/>
    <w:bookmarkStart w:id="57" w:name="maximum-likelihood-estimation"/>
    <w:p>
      <w:pPr>
        <w:pStyle w:val="Heading2"/>
      </w:pPr>
      <w:r>
        <w:t xml:space="preserve">4.6 Maximum likelihood estimation</w:t>
      </w:r>
    </w:p>
    <w:p>
      <w:pPr>
        <w:pStyle w:val="FirstParagraph"/>
      </w:pPr>
      <w:r>
        <w:t xml:space="preserve">Several approaches could estimate</w:t>
      </w:r>
      <w:r>
        <w:t xml:space="preserve"> </w:t>
      </w:r>
      <m:oMath>
        <m:r>
          <m:t>λ</m:t>
        </m:r>
      </m:oMath>
      <w:r>
        <w:t xml:space="preserve"> </w:t>
      </w:r>
      <w:r>
        <w:t xml:space="preserve">from the data.</w:t>
      </w:r>
      <w:r>
        <w:t xml:space="preserve"> </w:t>
      </w:r>
      <w:r>
        <w:rPr>
          <w:rStyle w:val="VerbatimChar"/>
        </w:rPr>
        <w:t xml:space="preserve">serocalculator</w:t>
      </w:r>
      <w:r>
        <w:t xml:space="preserve"> </w:t>
      </w:r>
      <w:r>
        <w:t xml:space="preserve">uses</w:t>
      </w:r>
      <w:r>
        <w:t xml:space="preserve"> </w:t>
      </w:r>
      <w:r>
        <w:rPr>
          <w:b/>
          <w:bCs/>
        </w:rPr>
        <w:t xml:space="preserve">maximum likelihood</w:t>
      </w:r>
      <w:r>
        <w:t xml:space="preserve">: it reports the value of</w:t>
      </w:r>
      <w:r>
        <w:t xml:space="preserve"> </w:t>
      </w:r>
      <m:oMath>
        <m:r>
          <m:t>λ</m:t>
        </m:r>
      </m:oMath>
      <w:r>
        <w:t xml:space="preserve"> </w:t>
      </w:r>
      <w:r>
        <w:t xml:space="preserve">that makes the observed data most probable.</w:t>
      </w:r>
      <w:r>
        <w:t xml:space="preserve"> </w:t>
      </w:r>
      <w:r>
        <w:t xml:space="preserve">Stating that precisely takes three definitions.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(Likelihood)</w:t>
            </w:r>
          </w:p>
          <w:bookmarkStart w:id="53" w:name="def-likelihood"/>
          <w:p>
            <w:pPr>
              <w:pStyle w:val="BodyText"/>
            </w:pPr>
            <w:r>
              <w:rPr>
                <w:b/>
                <w:bCs/>
              </w:rPr>
              <w:t xml:space="preserve">Definition 3 (Likelihood)</w:t>
            </w:r>
            <w:r>
              <w:t xml:space="preserve"> </w:t>
            </w:r>
            <w:r>
              <w:t xml:space="preserve">The</w:t>
            </w:r>
            <w:r>
              <w:t xml:space="preserve"> </w:t>
            </w:r>
            <w:r>
              <w:rPr>
                <w:b/>
                <w:bCs/>
              </w:rPr>
              <w:t xml:space="preserve">likelihood</w:t>
            </w:r>
            <w:r>
              <w:t xml:space="preserve"> </w:t>
            </w:r>
            <w:r>
              <w:t xml:space="preserve">is the probability (or density) of the observed</w:t>
            </w:r>
            <w:r>
              <w:t xml:space="preserve"> </w:t>
            </w:r>
            <w:r>
              <w:t xml:space="preserve">data, read as a function of the parameter rather than of the data:</w:t>
            </w:r>
          </w:p>
          <w:p>
            <w:pPr>
              <w:pStyle w:val="BodyText"/>
            </w:pPr>
            <m:oMathPara>
              <m:oMathParaPr>
                <m:jc m:val="center"/>
              </m:oMathParaPr>
              <m:oMath>
                <m:r>
                  <m:rPr>
                    <m:scr m:val="script"/>
                    <m:sty m:val="p"/>
                  </m:rPr>
                  <m:t>L</m:t>
                </m:r>
                <m:r>
                  <m:rPr>
                    <m:sty m:val="p"/>
                  </m:rPr>
                  <m:t>(</m:t>
                </m:r>
                <m:r>
                  <m:t>λ</m:t>
                </m:r>
                <m:r>
                  <m:rPr>
                    <m:sty m:val="p"/>
                  </m:rPr>
                  <m:t>)</m:t>
                </m:r>
                <m:limUpp>
                  <m:e>
                    <m:r>
                      <m:rPr>
                        <m:sty m:val="p"/>
                      </m:rPr>
                      <m:t>=</m:t>
                    </m:r>
                  </m:e>
                  <m:lim>
                    <m:r>
                      <m:rPr>
                        <m:nor/>
                        <m:sty m:val="p"/>
                      </m:rPr>
                      <m:t>def</m:t>
                    </m:r>
                  </m:lim>
                </m:limUpp>
                <m:r>
                  <m:rPr>
                    <m:sty m:val="p"/>
                  </m:rPr>
                  <m:t>p</m:t>
                </m:r>
                <m:r>
                  <m:rPr>
                    <m:sty m:val="p"/>
                  </m:rPr>
                  <m:t>(</m:t>
                </m:r>
                <m:r>
                  <m:rPr>
                    <m:nor/>
                    <m:sty m:val="p"/>
                  </m:rPr>
                  <m:t>data</m:t>
                </m:r>
                <m:r>
                  <m:rPr>
                    <m:sty m:val="p"/>
                  </m:rPr>
                  <m:t>∣</m:t>
                </m:r>
                <m:r>
                  <m:t>λ</m:t>
                </m:r>
                <m:r>
                  <m:rPr>
                    <m:sty m:val="p"/>
                  </m:rPr>
                  <m:t>)</m:t>
                </m:r>
              </m:oMath>
            </m:oMathPara>
          </w:p>
          <w:bookmarkEnd w:id="53"/>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(Log-likelihood)</w:t>
            </w:r>
          </w:p>
          <w:bookmarkStart w:id="54" w:name="def-log-likelihood"/>
          <w:p>
            <w:pPr>
              <w:pStyle w:val="BodyText"/>
            </w:pPr>
            <w:r>
              <w:rPr>
                <w:b/>
                <w:bCs/>
              </w:rPr>
              <w:t xml:space="preserve">Definition 4 (Log-likelihood)</w:t>
            </w:r>
            <w:r>
              <w:t xml:space="preserve"> </w:t>
            </w:r>
            <w:r>
              <w:t xml:space="preserve">The</w:t>
            </w:r>
            <w:r>
              <w:t xml:space="preserve"> </w:t>
            </w:r>
            <w:r>
              <w:rPr>
                <w:b/>
                <w:bCs/>
              </w:rPr>
              <w:t xml:space="preserve">log-likelihood</w:t>
            </w:r>
            <w:r>
              <w:t xml:space="preserve"> </w:t>
            </w:r>
            <w:r>
              <w:t xml:space="preserve">is the log of the likelihood (</w:t>
            </w:r>
            <w:hyperlink w:anchor="def-likelihood">
              <w:r>
                <w:rPr>
                  <w:rStyle w:val="Hyperlink"/>
                </w:rPr>
                <w:t xml:space="preserve">Definition 3</w:t>
              </w:r>
            </w:hyperlink>
            <w:r>
              <w:t xml:space="preserve">):</w:t>
            </w:r>
          </w:p>
          <w:p>
            <w:pPr>
              <w:pStyle w:val="BodyText"/>
            </w:pPr>
            <m:oMathPara>
              <m:oMathParaPr>
                <m:jc m:val="center"/>
              </m:oMathParaPr>
              <m:oMath>
                <m:r>
                  <m:t>ℓ</m:t>
                </m:r>
                <m:r>
                  <m:rPr>
                    <m:sty m:val="p"/>
                  </m:rPr>
                  <m:t>(</m:t>
                </m:r>
                <m:r>
                  <m:t>λ</m:t>
                </m:r>
                <m:r>
                  <m:rPr>
                    <m:sty m:val="p"/>
                  </m:rPr>
                  <m:t>)</m:t>
                </m:r>
                <m:limUpp>
                  <m:e>
                    <m:r>
                      <m:rPr>
                        <m:sty m:val="p"/>
                      </m:rPr>
                      <m:t>=</m:t>
                    </m:r>
                  </m:e>
                  <m:lim>
                    <m:r>
                      <m:rPr>
                        <m:nor/>
                        <m:sty m:val="p"/>
                      </m:rPr>
                      <m:t>def</m:t>
                    </m:r>
                  </m:lim>
                </m:limUpp>
                <m:r>
                  <m:rPr>
                    <m:sty m:val="p"/>
                  </m:rPr>
                  <m:t>log</m:t>
                </m:r>
                <m:r>
                  <m:t>​</m:t>
                </m:r>
                <m:d>
                  <m:dPr>
                    <m:begChr m:val="{"/>
                    <m:sepChr m:val=""/>
                    <m:endChr m:val="}"/>
                    <m:grow/>
                  </m:dPr>
                  <m:e>
                    <m:r>
                      <m:rPr>
                        <m:scr m:val="script"/>
                        <m:sty m:val="p"/>
                      </m:rPr>
                      <m:t>L</m:t>
                    </m:r>
                    <m:r>
                      <m:rPr>
                        <m:sty m:val="p"/>
                      </m:rPr>
                      <m:t>(</m:t>
                    </m:r>
                    <m:r>
                      <m:t>λ</m:t>
                    </m:r>
                    <m:r>
                      <m:rPr>
                        <m:sty m:val="p"/>
                      </m:rPr>
                      <m:t>)</m:t>
                    </m:r>
                  </m:e>
                </m:d>
                <m:r>
                  <m:t>​</m:t>
                </m:r>
              </m:oMath>
            </m:oMathPara>
          </w:p>
          <w:bookmarkEnd w:id="54"/>
        </w:tc>
      </w:tr>
    </w:tbl>
    <w:p>
      <w:pPr>
        <w:pStyle w:val="FirstParagraph"/>
      </w:pPr>
      <w:r>
        <w:t xml:space="preserve">The log-likelihood is maximized at the same</w:t>
      </w:r>
      <w:r>
        <w:t xml:space="preserve"> </w:t>
      </w:r>
      <m:oMath>
        <m:r>
          <m:t>λ</m:t>
        </m:r>
      </m:oMath>
      <w:r>
        <w:t xml:space="preserve"> </w:t>
      </w:r>
      <w:r>
        <w:t xml:space="preserve">as the likelihood,</w:t>
      </w:r>
      <w:r>
        <w:t xml:space="preserve"> </w:t>
      </w:r>
      <w:r>
        <w:t xml:space="preserve">and is easier to work with because the logarithm turns products into sums</w:t>
      </w:r>
      <w:r>
        <w:t xml:space="preserve"> </w:t>
      </w:r>
      <w:r>
        <w:t xml:space="preserve">(</w:t>
      </w:r>
      <w:hyperlink r:id="rId55">
        <w:r>
          <w:rPr>
            <w:rStyle w:val="Hyperlink"/>
          </w:rPr>
          <w:t xml:space="preserve">the logarithm-of-a-product theorem</w:t>
        </w:r>
      </w:hyperlink>
      <w:r>
        <w:t xml:space="preserve"> </w:t>
      </w:r>
      <w:r>
        <w:t xml:space="preserve">in</w:t>
      </w:r>
      <w:r>
        <w:t xml:space="preserve"> </w:t>
      </w:r>
      <w:r>
        <w:rPr>
          <w:i/>
          <w:iCs/>
        </w:rPr>
        <w:t xml:space="preserve">Regression Models for Epidemiology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(Score function)</w:t>
            </w:r>
          </w:p>
          <w:bookmarkStart w:id="56" w:name="def-score"/>
          <w:p>
            <w:pPr>
              <w:pStyle w:val="BodyText"/>
            </w:pPr>
            <w:r>
              <w:rPr>
                <w:b/>
                <w:bCs/>
              </w:rPr>
              <w:t xml:space="preserve">Definition 5 (Score function)</w:t>
            </w:r>
            <w:r>
              <w:t xml:space="preserve"> </w:t>
            </w:r>
            <w:r>
              <w:t xml:space="preserve">The</w:t>
            </w:r>
            <w:r>
              <w:t xml:space="preserve"> </w:t>
            </w:r>
            <w:r>
              <w:rPr>
                <w:b/>
                <w:bCs/>
              </w:rPr>
              <w:t xml:space="preserve">score function</w:t>
            </w:r>
            <w:r>
              <w:t xml:space="preserve"> </w:t>
            </w:r>
            <w:r>
              <w:t xml:space="preserve">is the derivative of the log-likelihood with</w:t>
            </w:r>
            <w:r>
              <w:t xml:space="preserve"> </w:t>
            </w:r>
            <w:r>
              <w:t xml:space="preserve">respect to the parameter (in general, its gradient):</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r>
                      <m:rPr>
                        <m:sty m:val="p"/>
                      </m:rPr>
                      <m:t>∂</m:t>
                    </m:r>
                  </m:num>
                  <m:den>
                    <m:r>
                      <m:rPr>
                        <m:sty m:val="p"/>
                      </m:rPr>
                      <m:t>∂</m:t>
                    </m:r>
                    <m:r>
                      <m:t>λ</m:t>
                    </m:r>
                  </m:den>
                </m:f>
                <m:r>
                  <m:t>ℓ</m:t>
                </m:r>
                <m:r>
                  <m:rPr>
                    <m:sty m:val="p"/>
                  </m:rPr>
                  <m:t>(</m:t>
                </m:r>
                <m:r>
                  <m:t>λ</m:t>
                </m:r>
                <m:r>
                  <m:rPr>
                    <m:sty m:val="p"/>
                  </m:rPr>
                  <m:t>)</m:t>
                </m:r>
              </m:oMath>
            </m:oMathPara>
          </w:p>
          <w:p>
            <w:pPr>
              <w:pStyle w:val="FirstParagraph"/>
            </w:pPr>
            <w:r>
              <w:t xml:space="preserve">A maximum likelihood estimate</w:t>
            </w:r>
            <w:r>
              <w:t xml:space="preserve"> </w:t>
            </w:r>
            <m:oMath>
              <m:acc>
                <m:accPr>
                  <m:chr m:val="̂"/>
                </m:accPr>
                <m:e>
                  <m:r>
                    <m:t>λ</m:t>
                  </m:r>
                </m:e>
              </m:acc>
            </m:oMath>
            <w:r>
              <w:t xml:space="preserve"> </w:t>
            </w:r>
            <w:r>
              <w:t xml:space="preserve">solves the</w:t>
            </w:r>
            <w:r>
              <w:t xml:space="preserve"> </w:t>
            </w:r>
            <w:r>
              <w:rPr>
                <w:b/>
                <w:bCs/>
              </w:rPr>
              <w:t xml:space="preserve">score</w:t>
            </w:r>
            <w:r>
              <w:rPr>
                <w:b/>
                <w:bCs/>
              </w:rPr>
              <w:t xml:space="preserve"> </w:t>
            </w:r>
            <w:r>
              <w:rPr>
                <w:b/>
                <w:bCs/>
              </w:rPr>
              <w:t xml:space="preserve">equation</w:t>
            </w:r>
            <w:r>
              <w:t xml:space="preserve"> </w:t>
            </w:r>
            <m:oMath>
              <m:sSup>
                <m:e>
                  <m:r>
                    <m:t>ℓ</m:t>
                  </m:r>
                </m:e>
                <m:sup>
                  <m:r>
                    <m:rPr>
                      <m:sty m:val="p"/>
                    </m:rPr>
                    <m:t>′</m:t>
                  </m:r>
                </m:sup>
              </m:sSup>
              <m:r>
                <m:rPr>
                  <m:sty m:val="p"/>
                </m:rPr>
                <m:t>(</m:t>
              </m:r>
              <m:acc>
                <m:accPr>
                  <m:chr m:val="̂"/>
                </m:accPr>
                <m:e>
                  <m:r>
                    <m:t>λ</m:t>
                  </m:r>
                </m:e>
              </m:acc>
              <m:r>
                <m:rPr>
                  <m:sty m:val="p"/>
                </m:rPr>
                <m:t>)</m:t>
              </m:r>
              <m:r>
                <m:rPr>
                  <m:sty m:val="p"/>
                </m:rPr>
                <m:t>=</m:t>
              </m:r>
              <m:r>
                <m:t>0</m:t>
              </m:r>
            </m:oMath>
            <w:r>
              <w:t xml:space="preserve">.</w:t>
            </w:r>
          </w:p>
          <w:bookmarkEnd w:id="56"/>
        </w:tc>
      </w:tr>
    </w:tbl>
    <w:bookmarkEnd w:id="57"/>
    <w:bookmarkStart w:id="59" w:name="likelihood-of-latent-infection-times"/>
    <w:p>
      <w:pPr>
        <w:pStyle w:val="Heading2"/>
      </w:pPr>
      <w:r>
        <w:t xml:space="preserve">4.7 Likelihood of latent infection times</w:t>
      </w:r>
    </w:p>
    <w:p>
      <w:pPr>
        <w:pStyle w:val="FirstParagraph"/>
      </w:pPr>
      <w:r>
        <w:t xml:space="preserve">If the infection times</w:t>
      </w:r>
      <w:r>
        <w:t xml:space="preserve"> </w:t>
      </w:r>
      <m:oMath>
        <m:r>
          <m:t>T</m:t>
        </m:r>
      </m:oMath>
      <w:r>
        <w:t xml:space="preserve"> </w:t>
      </w:r>
      <w:r>
        <w:t xml:space="preserve">were observed directly, these would all</w:t>
      </w:r>
      <w:r>
        <w:t xml:space="preserve"> </w:t>
      </w:r>
      <w:r>
        <w:t xml:space="preserve">take a simple closed form:</w:t>
      </w:r>
    </w:p>
    <w:p>
      <w:pPr>
        <w:pStyle w:val="BodyText"/>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 (</w:t>
      </w:r>
      <w:hyperlink w:anchor="def-likelihood">
        <w:r>
          <w:rPr>
            <w:rStyle w:val="Hyperlink"/>
          </w:rPr>
          <w:t xml:space="preserve">Definition 3</w:t>
        </w:r>
      </w:hyperlink>
      <w:r>
        <w:t xml:space="preserve">), which multiplies</w:t>
      </w:r>
      <w:r>
        <w:t xml:space="preserve"> </w:t>
      </w:r>
      <w:r>
        <w:t xml:space="preserve">participants’ contributions because we treat them as independent:</w:t>
      </w:r>
    </w:p>
    <w:p>
      <w:pPr>
        <w:pStyle w:val="BodyText"/>
      </w:pPr>
      <m:oMathPara>
        <m:oMathParaPr>
          <m:jc m:val="center"/>
        </m:oMathParaPr>
        <m:oMath>
          <m:eqArr>
            <m:e>
              <m:sSup>
                <m:e>
                  <m:r>
                    <m:rPr>
                      <m:scr m:val="script"/>
                      <m:sty m:val="p"/>
                    </m:rPr>
                    <m:t>L</m:t>
                  </m:r>
                </m:e>
                <m:sup>
                  <m:r>
                    <m:rPr>
                      <m:sty m:val="p"/>
                    </m:rPr>
                    <m:t>*</m:t>
                  </m:r>
                </m:sup>
              </m:sSup>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e>
            <m:e>
              <m:r>
                <m:t>&amp;</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eqArr>
            <m:e>
              <m:sSup>
                <m:e>
                  <m:r>
                    <m:t>ℓ</m:t>
                  </m:r>
                </m:e>
                <m:sup>
                  <m:r>
                    <m:rPr>
                      <m:sty m:val="p"/>
                    </m:rPr>
                    <m:t>*</m:t>
                  </m:r>
                </m:sup>
              </m:sSup>
              <m:r>
                <m:rPr>
                  <m:sty m:val="p"/>
                </m:rPr>
                <m:t>(</m:t>
              </m:r>
              <m:r>
                <m:t>λ</m:t>
              </m:r>
              <m:r>
                <m:rPr>
                  <m:sty m:val="p"/>
                </m:rPr>
                <m:t>)</m:t>
              </m:r>
              <m:r>
                <m:t>&amp;</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e>
            <m:e>
              <m:r>
                <m:t>&amp;</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derivative of that log-likelihood to find the score function</w:t>
      </w:r>
      <w:r>
        <w:t xml:space="preserve"> </w:t>
      </w:r>
      <w:r>
        <w:t xml:space="preserve">(</w:t>
      </w:r>
      <w:hyperlink w:anchor="def-score">
        <w:r>
          <w:rPr>
            <w:rStyle w:val="Hyperlink"/>
          </w:rPr>
          <w:t xml:space="preserve">Definition 5</w:t>
        </w:r>
      </w:hyperlink>
      <w:r>
        <w:t xml:space="preserve">):</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Proposition (MLE when infection times are fully observed)</w:t>
            </w:r>
          </w:p>
          <w:bookmarkStart w:id="58" w:name="prp-mle-fully-observed"/>
          <w:p>
            <w:pPr>
              <w:pStyle w:val="BodyText"/>
            </w:pPr>
            <w:r>
              <w:rPr>
                <w:b/>
                <w:bCs/>
              </w:rPr>
              <w:t xml:space="preserve">Proposition 2 (MLE when infection times are fully observed)</w:t>
            </w:r>
            <w:r>
              <w:t xml:space="preserve"> </w:t>
            </w:r>
            <w:r>
              <w:t xml:space="preserve">If the latent infection times</w:t>
            </w:r>
            <w:r>
              <w:t xml:space="preserve"> </w:t>
            </w:r>
            <m:oMath>
              <m:sSub>
                <m:e>
                  <m:r>
                    <m:t>t</m:t>
                  </m:r>
                </m:e>
                <m:sub>
                  <m:r>
                    <m:t>1</m:t>
                  </m:r>
                </m:sub>
              </m:sSub>
              <m:r>
                <m:rPr>
                  <m:sty m:val="p"/>
                </m:rPr>
                <m:t>,</m:t>
              </m:r>
              <m:r>
                <m:rPr>
                  <m:sty m:val="p"/>
                </m:rPr>
                <m:t>…</m:t>
              </m:r>
              <m:r>
                <m:rPr>
                  <m:sty m:val="p"/>
                </m:rPr>
                <m:t>,</m:t>
              </m:r>
              <m:sSub>
                <m:e>
                  <m:r>
                    <m:t>t</m:t>
                  </m:r>
                </m:e>
                <m:sub>
                  <m:r>
                    <m:t>n</m:t>
                  </m:r>
                </m:sub>
              </m:sSub>
            </m:oMath>
            <w:r>
              <w:t xml:space="preserve"> </w:t>
            </w:r>
            <w:r>
              <w:t xml:space="preserve">were fully observed,</w:t>
            </w:r>
            <w:r>
              <w:t xml:space="preserve"> </w:t>
            </w:r>
            <w:r>
              <w:t xml:space="preserve">solving the score equation (</w:t>
            </w:r>
            <w:hyperlink w:anchor="def-score">
              <w:r>
                <w:rPr>
                  <w:rStyle w:val="Hyperlink"/>
                </w:rPr>
                <w:t xml:space="preserve">Definition 5</w:t>
              </w:r>
            </w:hyperlink>
            <w:r>
              <w:t xml:space="preserve">) would estimate</w:t>
            </w:r>
            <w:r>
              <w:t xml:space="preserve"> </w:t>
            </w:r>
            <m:oMath>
              <m:r>
                <m:t>λ</m:t>
              </m:r>
            </m:oMath>
            <w:r>
              <w:t xml:space="preserve"> </w:t>
            </w:r>
            <w:r>
              <w:t xml:space="preserve">as</w:t>
            </w:r>
            <w:r>
              <w:t xml:space="preserve"> </w:t>
            </w:r>
            <w:r>
              <w:t xml:space="preserve">the reciprocal of their mean:</w:t>
            </w:r>
          </w:p>
          <w:p>
            <w:pPr>
              <w:pStyle w:val="BodyText"/>
            </w:pPr>
            <m:oMathPara>
              <m:oMathParaPr>
                <m:jc m:val="center"/>
              </m:oMathParaPr>
              <m:oMath>
                <m:eqArr>
                  <m:e>
                    <m:sSub>
                      <m:e>
                        <m:acc>
                          <m:accPr>
                            <m:chr m:val="̂"/>
                          </m:accPr>
                          <m:e>
                            <m:r>
                              <m:t>λ</m:t>
                            </m:r>
                          </m:e>
                        </m:acc>
                      </m:e>
                      <m:sub>
                        <m:r>
                          <m:rPr>
                            <m:nor/>
                            <m:sty m:val="p"/>
                          </m:rPr>
                          <m:t>ML</m:t>
                        </m:r>
                      </m:sub>
                    </m:sSub>
                    <m:r>
                      <m:t>&amp;</m:t>
                    </m:r>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e>
                  <m:e>
                    <m:r>
                      <m:t>&amp;</m:t>
                    </m:r>
                    <m:r>
                      <m:rPr>
                        <m:sty m:val="p"/>
                      </m:rPr>
                      <m:t>=</m:t>
                    </m:r>
                    <m:f>
                      <m:fPr>
                        <m:type m:val="bar"/>
                      </m:fPr>
                      <m:num>
                        <m:r>
                          <m:t>1</m:t>
                        </m:r>
                      </m:num>
                      <m:den>
                        <m:acc>
                          <m:accPr>
                            <m:chr m:val="‾"/>
                          </m:accPr>
                          <m:e>
                            <m:r>
                              <m:t>t</m:t>
                            </m:r>
                          </m:e>
                        </m:acc>
                      </m:den>
                    </m:f>
                  </m:e>
                </m:eqArr>
              </m:oMath>
            </m:oMathPara>
          </w:p>
          <w:bookmarkEnd w:id="58"/>
        </w:tc>
      </w:tr>
    </w:tbl>
    <w:bookmarkEnd w:id="59"/>
    <w:bookmarkStart w:id="64" w:name="example-log-likelihood-curves"/>
    <w:p>
      <w:pPr>
        <w:pStyle w:val="Heading2"/>
      </w:pPr>
      <w:r>
        <w:t xml:space="preserve">4.8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63" w:name="fig-ex-lik-curves"/>
          <w:p>
            <w:pPr>
              <w:pStyle w:val="Compact"/>
              <w:jc w:val="center"/>
            </w:pPr>
            <w:r>
              <w:drawing>
                <wp:inline>
                  <wp:extent cx="4620126" cy="3696101"/>
                  <wp:effectExtent b="0" l="0" r="0" t="0"/>
                  <wp:docPr descr="" title="" id="61" name="Picture"/>
                  <a:graphic>
                    <a:graphicData uri="http://schemas.openxmlformats.org/drawingml/2006/picture">
                      <pic:pic>
                        <pic:nvPicPr>
                          <pic:cNvPr descr="methodology_files/figure-docx/fig-ex-lik-curves-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63"/>
        </w:tc>
      </w:tr>
    </w:tbl>
    <w:bookmarkEnd w:id="64"/>
    <w:bookmarkStart w:id="68" w:name="sec-standard-errors"/>
    <w:p>
      <w:pPr>
        <w:pStyle w:val="Heading2"/>
      </w:pPr>
      <w:r>
        <w:t xml:space="preserve">4.9 Standard errors</w:t>
      </w:r>
    </w:p>
    <w:p>
      <w:pPr>
        <w:pStyle w:val="FirstParagraph"/>
      </w:pPr>
      <w:r>
        <w:t xml:space="preserve">How precisely the data pin down</w:t>
      </w:r>
      <w:r>
        <w:t xml:space="preserve"> </w:t>
      </w:r>
      <m:oMath>
        <m:acc>
          <m:accPr>
            <m:chr m:val="̂"/>
          </m:accPr>
          <m:e>
            <m:r>
              <m:t>λ</m:t>
            </m:r>
          </m:e>
        </m:acc>
      </m:oMath>
      <w:r>
        <w:t xml:space="preserve"> </w:t>
      </w:r>
      <w:r>
        <w:t xml:space="preserve">depends on how sharply</w:t>
      </w:r>
      <w:r>
        <w:t xml:space="preserve"> </w:t>
      </w:r>
      <w:r>
        <w:t xml:space="preserve">the log-likelihood peaks at its maximum, which takes two more</w:t>
      </w:r>
      <w:r>
        <w:t xml:space="preserve"> </w:t>
      </w:r>
      <w:r>
        <w:t xml:space="preserve">definitions to make precise.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(Hessian)</w:t>
            </w:r>
          </w:p>
          <w:bookmarkStart w:id="65" w:name="def-hessian"/>
          <w:p>
            <w:pPr>
              <w:pStyle w:val="BodyText"/>
            </w:pPr>
            <w:r>
              <w:rPr>
                <w:b/>
                <w:bCs/>
              </w:rPr>
              <w:t xml:space="preserve">Definition 6 (Hessian)</w:t>
            </w:r>
            <w:r>
              <w:t xml:space="preserve"> </w:t>
            </w:r>
            <w:r>
              <w:t xml:space="preserve">The</w:t>
            </w:r>
            <w:r>
              <w:t xml:space="preserve"> </w:t>
            </w:r>
            <w:r>
              <w:rPr>
                <w:b/>
                <w:bCs/>
              </w:rPr>
              <w:t xml:space="preserve">Hessian</w:t>
            </w:r>
            <w:r>
              <w:t xml:space="preserve"> </w:t>
            </w:r>
            <w:r>
              <w:t xml:space="preserve">is the second derivative of the log-likelihood with</w:t>
            </w:r>
            <w:r>
              <w:t xml:space="preserve"> </w:t>
            </w:r>
            <w:r>
              <w:t xml:space="preserve">respect to the parameter (in general, the matrix of its second partial</w:t>
            </w:r>
            <w:r>
              <w:t xml:space="preserve"> </w:t>
            </w:r>
            <w:r>
              <w:t xml:space="preserve">derivatives):</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sSup>
                      <m:e>
                        <m:r>
                          <m:rPr>
                            <m:sty m:val="p"/>
                          </m:rPr>
                          <m:t>∂</m:t>
                        </m:r>
                      </m:e>
                      <m:sup>
                        <m:r>
                          <m:t>2</m:t>
                        </m:r>
                      </m:sup>
                    </m:sSup>
                  </m:num>
                  <m:den>
                    <m:r>
                      <m:rPr>
                        <m:sty m:val="p"/>
                      </m:rPr>
                      <m:t>∂</m:t>
                    </m:r>
                    <m:sSup>
                      <m:e>
                        <m:r>
                          <m:t>λ</m:t>
                        </m:r>
                      </m:e>
                      <m:sup>
                        <m:r>
                          <m:t>2</m:t>
                        </m:r>
                      </m:sup>
                    </m:sSup>
                  </m:den>
                </m:f>
                <m:r>
                  <m:t>ℓ</m:t>
                </m:r>
                <m:r>
                  <m:rPr>
                    <m:sty m:val="p"/>
                  </m:rPr>
                  <m:t>(</m:t>
                </m:r>
                <m:r>
                  <m:t>λ</m:t>
                </m:r>
                <m:r>
                  <m:rPr>
                    <m:sty m:val="p"/>
                  </m:rPr>
                  <m:t>)</m:t>
                </m:r>
              </m:oMath>
            </m:oMathPara>
          </w:p>
          <w:bookmarkEnd w:id="65"/>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(Observed information)</w:t>
            </w:r>
          </w:p>
          <w:bookmarkStart w:id="66" w:name="def-observed-information"/>
          <w:p>
            <w:pPr>
              <w:pStyle w:val="BodyText"/>
            </w:pPr>
            <w:r>
              <w:rPr>
                <w:b/>
                <w:bCs/>
              </w:rPr>
              <w:t xml:space="preserve">Definition 7 (Observed information)</w:t>
            </w:r>
            <w:r>
              <w:t xml:space="preserve"> </w:t>
            </w:r>
            <w:r>
              <w:t xml:space="preserve">The</w:t>
            </w:r>
            <w:r>
              <w:t xml:space="preserve"> </w:t>
            </w:r>
            <w:r>
              <w:rPr>
                <w:b/>
                <w:bCs/>
              </w:rPr>
              <w:t xml:space="preserve">observed information</w:t>
            </w:r>
            <w:r>
              <w:t xml:space="preserve"> </w:t>
            </w:r>
            <w:r>
              <w:t xml:space="preserve">is the negative Hessian (</w:t>
            </w:r>
            <w:hyperlink w:anchor="def-hessian">
              <w:r>
                <w:rPr>
                  <w:rStyle w:val="Hyperlink"/>
                </w:rPr>
                <w:t xml:space="preserve">Definition 6</w:t>
              </w:r>
            </w:hyperlink>
            <w:r>
              <w:t xml:space="preserve">):</w:t>
            </w:r>
          </w:p>
          <w:p>
            <w:pPr>
              <w:pStyle w:val="BodyText"/>
            </w:pPr>
            <m:oMathPara>
              <m:oMathParaPr>
                <m:jc m:val="center"/>
              </m:oMathParaPr>
              <m:oMath>
                <m:r>
                  <m:t>I</m:t>
                </m:r>
                <m:r>
                  <m:rPr>
                    <m:sty m:val="p"/>
                  </m:rPr>
                  <m:t>(</m:t>
                </m:r>
                <m:r>
                  <m:t>λ</m:t>
                </m:r>
                <m:r>
                  <m:rPr>
                    <m:sty m:val="p"/>
                  </m:rPr>
                  <m:t>)</m:t>
                </m:r>
                <m:limUpp>
                  <m:e>
                    <m:r>
                      <m:rPr>
                        <m:sty m:val="p"/>
                      </m:rPr>
                      <m:t>=</m:t>
                    </m:r>
                  </m:e>
                  <m:lim>
                    <m:r>
                      <m:rPr>
                        <m:nor/>
                        <m:sty m:val="p"/>
                      </m:rPr>
                      <m:t>def</m:t>
                    </m:r>
                  </m:lim>
                </m:limUpp>
                <m:r>
                  <m:rPr>
                    <m:sty m:val="p"/>
                  </m:rPr>
                  <m:t>−</m:t>
                </m:r>
                <m:sSup>
                  <m:e>
                    <m:r>
                      <m:t>ℓ</m:t>
                    </m:r>
                  </m:e>
                  <m:sup>
                    <m:r>
                      <m:rPr>
                        <m:sty m:val="p"/>
                      </m:rPr>
                      <m:t>″</m:t>
                    </m:r>
                  </m:sup>
                </m:sSup>
                <m:r>
                  <m:rPr>
                    <m:sty m:val="p"/>
                  </m:rPr>
                  <m:t>(</m:t>
                </m:r>
                <m:r>
                  <m:t>λ</m:t>
                </m:r>
                <m:r>
                  <m:rPr>
                    <m:sty m:val="p"/>
                  </m:rPr>
                  <m:t>)</m:t>
                </m:r>
              </m:oMath>
            </m:oMathPara>
          </w:p>
          <w:p>
            <w:pPr>
              <w:pStyle w:val="FirstParagraph"/>
            </w:pPr>
            <w:r>
              <w:t xml:space="preserve">A sharper peak at the maximum means a larger observed information.</w:t>
            </w:r>
          </w:p>
          <w:bookmarkEnd w:id="66"/>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Theorem (Asymptotic variance of the MLE)</w:t>
            </w:r>
          </w:p>
          <w:bookmarkStart w:id="67" w:name="thm-mle-asymptotic-variance"/>
          <w:p>
            <w:pPr>
              <w:pStyle w:val="BodyText"/>
            </w:pPr>
            <w:r>
              <w:rPr>
                <w:b/>
                <w:bCs/>
              </w:rPr>
              <w:t xml:space="preserve">Theorem 1 (Asymptotic variance of the MLE)</w:t>
            </w:r>
            <w:r>
              <w:t xml:space="preserve"> </w:t>
            </w:r>
            <w:r>
              <w:t xml:space="preserve">Under standard regularity conditions, the variance of a maximum</w:t>
            </w:r>
            <w:r>
              <w:t xml:space="preserve"> </w:t>
            </w:r>
            <w:r>
              <w:t xml:space="preserve">likelihood estimate is approximately the inverse of the observed</w:t>
            </w:r>
            <w:r>
              <w:t xml:space="preserve"> </w:t>
            </w:r>
            <w:r>
              <w:t xml:space="preserve">information (</w:t>
            </w:r>
            <w:hyperlink w:anchor="def-observed-information">
              <w:r>
                <w:rPr>
                  <w:rStyle w:val="Hyperlink"/>
                </w:rPr>
                <w:t xml:space="preserve">Definition 7</w:t>
              </w:r>
            </w:hyperlink>
            <w:r>
              <w:t xml:space="preserve">) at that estimate:</w:t>
            </w:r>
          </w:p>
          <w:p>
            <w:pPr>
              <w:pStyle w:val="BodyText"/>
            </w:pPr>
            <m:oMathPara>
              <m:oMathParaPr>
                <m:jc m:val="center"/>
              </m:oMathParaPr>
              <m:oMath>
                <m:r>
                  <m:rPr>
                    <m:sty m:val="p"/>
                  </m:rPr>
                  <m:t/>
                </m:r>
                <m:r>
                  <m:t>​</m:t>
                </m:r>
                <m:d>
                  <m:dPr>
                    <m:begChr m:val="("/>
                    <m:sepChr m:val=""/>
                    <m:endChr m:val=")"/>
                    <m:grow/>
                  </m:dPr>
                  <m:e>
                    <m:acc>
                      <m:accPr>
                        <m:chr m:val="̂"/>
                      </m:accPr>
                      <m:e>
                        <m:r>
                          <m:t>λ</m:t>
                        </m:r>
                      </m:e>
                    </m:acc>
                  </m:e>
                </m:d>
                <m:r>
                  <m:t>​</m:t>
                </m:r>
                <m:r>
                  <m:rPr>
                    <m:sty m:val="p"/>
                  </m:rPr>
                  <m:t>≈</m:t>
                </m:r>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m:oMathPara>
          </w:p>
          <w:bookmarkEnd w:id="67"/>
        </w:tc>
      </w:tr>
    </w:tbl>
    <w:p>
      <w:pPr>
        <w:pStyle w:val="FirstParagraph"/>
      </w:pPr>
      <w:r>
        <w:t xml:space="preserve">The standard error is the square root of that variance, so:</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more observed information</w:t>
      </w:r>
      <w:r>
        <w:t xml:space="preserve"> </w:t>
      </w:r>
      <m:oMath>
        <m:r>
          <m:rPr>
            <m:sty m:val="p"/>
          </m:rPr>
          <m:t>→</m:t>
        </m:r>
      </m:oMath>
      <w:r>
        <w:t xml:space="preserve"> </w:t>
      </w:r>
      <w:r>
        <w:t xml:space="preserve">smaller standard errors.</w:t>
      </w:r>
    </w:p>
    <w:bookmarkEnd w:id="68"/>
    <w:bookmarkStart w:id="70" w:name="hessian-for-the-exponential-model"/>
    <w:p>
      <w:pPr>
        <w:pStyle w:val="Heading2"/>
      </w:pPr>
      <w:r>
        <w:t xml:space="preserve">4.10 Hessian for the exponential model</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Example (Latent-time exponential model)</w:t>
            </w:r>
          </w:p>
        </w:tc>
      </w:tr>
      <w:tr>
        <w:trPr>
          <w:cantSplit/>
        </w:trPr>
        <w:tc>
          <w:tcPr>
            <w:tcMar>
              <w:top w:w="108" w:type="dxa"/>
              <w:bottom w:w="108" w:type="dxa"/>
            </w:tcMar>
          </w:tcPr>
          <w:bookmarkStart w:id="69" w:name="exm-hessian-exponential"/>
          <w:p>
            <w:pPr>
              <w:pStyle w:val="BodyText"/>
            </w:pPr>
            <w:r>
              <w:rPr>
                <w:b/>
                <w:bCs/>
              </w:rPr>
              <w:t xml:space="preserve">Example 2 (Latent-time exponential model)</w:t>
            </w:r>
            <w:r>
              <w:t xml:space="preserve"> </w:t>
            </w:r>
            <w:r>
              <w:t xml:space="preserve">For the latent-time model of</w:t>
            </w:r>
            <w:r>
              <w:t xml:space="preserve"> </w:t>
            </w:r>
            <w:hyperlink w:anchor="prp-mle-fully-observed">
              <w:r>
                <w:rPr>
                  <w:rStyle w:val="Hyperlink"/>
                </w:rPr>
                <w:t xml:space="preserve">Proposition 2</w:t>
              </w:r>
            </w:hyperlink>
            <w:r>
              <w:t xml:space="preserve">,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its score (</w:t>
            </w:r>
            <w:hyperlink w:anchor="def-score">
              <w:r>
                <w:rPr>
                  <w:rStyle w:val="Hyperlink"/>
                </w:rPr>
                <w:t xml:space="preserve">Definition 5</w:t>
              </w:r>
            </w:hyperlink>
            <w:r>
              <w:t xml:space="preserve">) and Hessian (</w:t>
            </w:r>
            <w:hyperlink w:anchor="def-hessian">
              <w:r>
                <w:rPr>
                  <w:rStyle w:val="Hyperlink"/>
                </w:rPr>
                <w:t xml:space="preserve">Definition 6</w:t>
              </w:r>
            </w:hyperlink>
            <w:r>
              <w:t xml:space="preserve">) are</w:t>
            </w:r>
          </w:p>
          <w:p>
            <w:pPr>
              <w:pStyle w:val="BodyText"/>
            </w:pPr>
            <m:oMathPara>
              <m:oMathParaPr>
                <m:jc m:val="center"/>
              </m:oMathParaPr>
              <m:oMath>
                <m:eqArr>
                  <m:e>
                    <m:sSup>
                      <m:e>
                        <m:r>
                          <m:t>ℓ</m:t>
                        </m:r>
                      </m:e>
                      <m:sup>
                        <m:r>
                          <m:rPr>
                            <m:sty m:val="p"/>
                          </m:rPr>
                          <m:t>*</m:t>
                        </m:r>
                        <m:r>
                          <m:rPr>
                            <m:sty m:val="p"/>
                          </m:rPr>
                          <m:t>′</m:t>
                        </m:r>
                      </m:sup>
                    </m:sSup>
                    <m:r>
                      <m:rPr>
                        <m:sty m:val="p"/>
                      </m:rPr>
                      <m:t>(</m:t>
                    </m:r>
                    <m:r>
                      <m:t>λ</m:t>
                    </m:r>
                    <m:r>
                      <m:rPr>
                        <m:sty m:val="p"/>
                      </m:rPr>
                      <m:t>)</m:t>
                    </m:r>
                    <m:r>
                      <m:t>&amp;</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e>
                  <m:e>
                    <m:sSup>
                      <m:e>
                        <m:r>
                          <m:t>ℓ</m:t>
                        </m:r>
                      </m:e>
                      <m:sup>
                        <m:r>
                          <m:rPr>
                            <m:sty m:val="p"/>
                          </m:rPr>
                          <m:t>*</m:t>
                        </m:r>
                        <m:r>
                          <m:rPr>
                            <m:sty m:val="p"/>
                          </m:rPr>
                          <m:t>′</m:t>
                        </m:r>
                        <m:r>
                          <m:rPr>
                            <m:sty m:val="p"/>
                          </m:rPr>
                          <m:t>′</m:t>
                        </m:r>
                      </m:sup>
                    </m:sSup>
                    <m:r>
                      <m:rPr>
                        <m:sty m:val="p"/>
                      </m:rPr>
                      <m:t>(</m:t>
                    </m:r>
                    <m:r>
                      <m:t>λ</m:t>
                    </m:r>
                    <m:r>
                      <m:rPr>
                        <m:sty m:val="p"/>
                      </m:rPr>
                      <m:t>)</m:t>
                    </m:r>
                    <m:r>
                      <m:t>&amp;</m:t>
                    </m:r>
                    <m:r>
                      <m:rPr>
                        <m:sty m:val="p"/>
                      </m:rPr>
                      <m:t>=</m:t>
                    </m:r>
                    <m:r>
                      <m:rPr>
                        <m:sty m:val="p"/>
                      </m:rPr>
                      <m:t>−</m:t>
                    </m:r>
                    <m:f>
                      <m:fPr>
                        <m:type m:val="bar"/>
                      </m:fPr>
                      <m:num>
                        <m:r>
                          <m:t>n</m:t>
                        </m:r>
                      </m:num>
                      <m:den>
                        <m:sSup>
                          <m:e>
                            <m:r>
                              <m:t>λ</m:t>
                            </m:r>
                          </m:e>
                          <m:sup>
                            <m:r>
                              <m:t>2</m:t>
                            </m:r>
                          </m:sup>
                        </m:sSup>
                      </m:den>
                    </m:f>
                  </m:e>
                </m:eqArr>
              </m:oMath>
            </m:oMathPara>
          </w:p>
          <w:p>
            <w:pPr>
              <w:pStyle w:val="FirstParagraph"/>
            </w:pPr>
            <w:r>
              <w:t xml:space="preserve">and its observed information (</w:t>
            </w:r>
            <w:hyperlink w:anchor="def-observed-information">
              <w:r>
                <w:rPr>
                  <w:rStyle w:val="Hyperlink"/>
                </w:rPr>
                <w:t xml:space="preserve">Definition 7</w:t>
              </w:r>
            </w:hyperlink>
            <w:r>
              <w:t xml:space="preserve">) is</w:t>
            </w:r>
            <w:r>
              <w:t xml:space="preserve"> </w:t>
            </w:r>
            <m:oMath>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At the MLE</w:t>
            </w:r>
            <w:r>
              <w:t xml:space="preserve"> </w:t>
            </w:r>
            <m:oMath>
              <m:acc>
                <m:accPr>
                  <m:chr m:val="̂"/>
                </m:accPr>
                <m:e>
                  <m:r>
                    <m:t>λ</m:t>
                  </m:r>
                </m:e>
              </m:acc>
              <m:r>
                <m:rPr>
                  <m:sty m:val="p"/>
                </m:rPr>
                <m:t>=</m:t>
              </m:r>
              <m:r>
                <m:t>1</m:t>
              </m:r>
              <m:r>
                <m:rPr>
                  <m:sty m:val="p"/>
                </m:rPr>
                <m:t>/</m:t>
              </m:r>
              <m:acc>
                <m:accPr>
                  <m:chr m:val="‾"/>
                </m:accPr>
                <m:e>
                  <m:r>
                    <m:t>t</m:t>
                  </m:r>
                </m:e>
              </m:acc>
            </m:oMath>
            <w:r>
              <w:t xml:space="preserve">,</w:t>
            </w:r>
            <w:r>
              <w:t xml:space="preserve"> </w:t>
            </w:r>
            <w:hyperlink w:anchor="thm-mle-asymptotic-variance">
              <w:r>
                <w:rPr>
                  <w:rStyle w:val="Hyperlink"/>
                </w:rPr>
                <w:t xml:space="preserve">Theorem 1</w:t>
              </w:r>
            </w:hyperlink>
            <w:r>
              <w:t xml:space="preserve"> </w:t>
            </w:r>
            <w:r>
              <w:t xml:space="preserve">then gives</w:t>
            </w:r>
          </w:p>
          <w:p>
            <w:pPr>
              <w:pStyle w:val="BodyText"/>
            </w:pPr>
            <m:oMathPara>
              <m:oMathParaPr>
                <m:jc m:val="center"/>
              </m:oMathParaPr>
              <m:oMath>
                <m:eqArr>
                  <m:e>
                    <m:r>
                      <m:rPr>
                        <m:sty m:val="p"/>
                      </m:rPr>
                      <m:t/>
                    </m:r>
                    <m:r>
                      <m:t>​</m:t>
                    </m:r>
                    <m:d>
                      <m:dPr>
                        <m:begChr m:val="("/>
                        <m:sepChr m:val=""/>
                        <m:endChr m:val=")"/>
                        <m:grow/>
                      </m:dPr>
                      <m:e>
                        <m:acc>
                          <m:accPr>
                            <m:chr m:val="̂"/>
                          </m:accPr>
                          <m:e>
                            <m:r>
                              <m:t>λ</m:t>
                            </m:r>
                          </m:e>
                        </m:acc>
                      </m:e>
                    </m:d>
                    <m:r>
                      <m:t>​</m:t>
                    </m:r>
                    <m:r>
                      <m:t>&amp;</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e>
                  <m:e>
                    <m:r>
                      <m:t>&amp;</m:t>
                    </m:r>
                    <m:r>
                      <m:rPr>
                        <m:sty m:val="p"/>
                      </m:rPr>
                      <m:t>=</m:t>
                    </m:r>
                    <m:f>
                      <m:fPr>
                        <m:type m:val="bar"/>
                      </m:fPr>
                      <m:num>
                        <m:sSup>
                          <m:e>
                            <m:acc>
                              <m:accPr>
                                <m:chr m:val="̂"/>
                              </m:accPr>
                              <m:e>
                                <m:r>
                                  <m:t>λ</m:t>
                                </m:r>
                              </m:e>
                            </m:acc>
                          </m:e>
                          <m:sup>
                            <m:r>
                              <m:t>2</m:t>
                            </m:r>
                          </m:sup>
                        </m:sSup>
                      </m:num>
                      <m:den>
                        <m:r>
                          <m:t>n</m:t>
                        </m:r>
                      </m:den>
                    </m:f>
                  </m:e>
                  <m:e>
                    <m:r>
                      <m:rPr>
                        <m:sty m:val="p"/>
                      </m:rPr>
                      <m:t/>
                    </m:r>
                    <m:r>
                      <m:t>​</m:t>
                    </m:r>
                    <m:d>
                      <m:dPr>
                        <m:begChr m:val="("/>
                        <m:sepChr m:val=""/>
                        <m:endChr m:val=")"/>
                        <m:grow/>
                      </m:dPr>
                      <m:e>
                        <m:acc>
                          <m:accPr>
                            <m:chr m:val="̂"/>
                          </m:accPr>
                          <m:e>
                            <m:r>
                              <m:t>λ</m:t>
                            </m:r>
                          </m:e>
                        </m:acc>
                      </m:e>
                    </m:d>
                    <m:r>
                      <m:t>​</m:t>
                    </m:r>
                    <m:r>
                      <m:t>&amp;</m:t>
                    </m:r>
                    <m:r>
                      <m:rPr>
                        <m:sty m:val="p"/>
                      </m:rPr>
                      <m:t>≈</m:t>
                    </m:r>
                    <m:f>
                      <m:fPr>
                        <m:type m:val="bar"/>
                      </m:fPr>
                      <m:num>
                        <m:acc>
                          <m:accPr>
                            <m:chr m:val="̂"/>
                          </m:accPr>
                          <m:e>
                            <m:r>
                              <m:t>λ</m:t>
                            </m:r>
                          </m:e>
                        </m:acc>
                      </m:num>
                      <m:den>
                        <m:rad>
                          <m:radPr>
                            <m:degHide m:val="on"/>
                          </m:radPr>
                          <m:deg/>
                          <m:e>
                            <m:r>
                              <m:t>n</m:t>
                            </m:r>
                          </m:e>
                        </m:rad>
                      </m:den>
                    </m:f>
                  </m:e>
                </m:eqArr>
              </m:oMath>
            </m:oMathPara>
          </w:p>
          <w:p>
            <w:pPr>
              <w:pStyle w:val="FirstParagraph"/>
            </w:pPr>
            <w:r>
              <w:t xml:space="preserve">so the standard error shrinks like</w:t>
            </w:r>
            <w:r>
              <w:t xml:space="preserve"> </w:t>
            </w:r>
            <m:oMath>
              <m:r>
                <m:t>1</m:t>
              </m:r>
              <m:r>
                <m:rPr>
                  <m:sty m:val="p"/>
                </m:rPr>
                <m:t>/</m:t>
              </m:r>
              <m:rad>
                <m:radPr>
                  <m:degHide m:val="on"/>
                </m:radPr>
                <m:deg/>
                <m:e>
                  <m:r>
                    <m:t>n</m:t>
                  </m:r>
                </m:e>
              </m:rad>
            </m:oMath>
            <w:r>
              <w:t xml:space="preserve">: quadrupling the sample</w:t>
            </w:r>
            <w:r>
              <w:t xml:space="preserve"> </w:t>
            </w:r>
            <w:r>
              <w:t xml:space="preserve">size halves it.</w:t>
            </w:r>
          </w:p>
          <w:bookmarkEnd w:id="69"/>
          <w:p/>
        </w:tc>
      </w:tr>
    </w:tbl>
    <w:bookmarkEnd w:id="70"/>
    <w:bookmarkStart w:id="71" w:name="likelihood-of-observed-data"/>
    <w:p>
      <w:pPr>
        <w:pStyle w:val="Heading2"/>
      </w:pPr>
      <w:r>
        <w:t xml:space="preserve">4.11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71"/>
    <w:bookmarkStart w:id="80" w:name="antibody-response-curves"/>
    <w:p>
      <w:pPr>
        <w:pStyle w:val="Heading2"/>
      </w:pPr>
      <w:r>
        <w:t xml:space="preserve">4.12 Antibody response curves</w:t>
      </w:r>
    </w:p>
    <w:tbl>
      <w:tblPr>
        <w:tblStyle w:val="Table"/>
        <w:tblW w:type="pct" w:w="5000"/>
        <w:tblLayout w:type="fixed"/>
        <w:tblLook w:firstRow="0" w:lastRow="0" w:firstColumn="0" w:lastColumn="0" w:noHBand="0" w:noVBand="0" w:val="0000"/>
      </w:tblPr>
      <w:tblGrid>
        <w:gridCol w:w="7920"/>
      </w:tblGrid>
      <w:tr>
        <w:tc>
          <w:tcPr/>
          <w:bookmarkStart w:id="75" w:name="fig-sim-case-data"/>
          <w:p>
            <w:pPr>
              <w:jc w:val="center"/>
            </w:pPr>
            <w:r>
              <w:drawing>
                <wp:inline>
                  <wp:extent cx="4620126" cy="3696101"/>
                  <wp:effectExtent b="0" l="0" r="0" t="0"/>
                  <wp:docPr descr="" title="" id="73" name="Picture"/>
                  <a:graphic>
                    <a:graphicData uri="http://schemas.openxmlformats.org/drawingml/2006/picture">
                      <pic:pic>
                        <pic:nvPicPr>
                          <pic:cNvPr descr="methodology_files/figure-docx/unnamed-chunk-4-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75"/>
        </w:tc>
      </w:tr>
    </w:tbl>
    <w:p/>
    <w:tbl>
      <w:tblPr>
        <w:tblStyle w:val="Table"/>
        <w:tblW w:type="pct" w:w="5000"/>
        <w:tblLayout w:type="fixed"/>
        <w:tblLook w:firstRow="0" w:lastRow="0" w:firstColumn="0" w:lastColumn="0" w:noHBand="0" w:noVBand="0" w:val="0000"/>
      </w:tblPr>
      <w:tblGrid>
        <w:gridCol w:w="7920"/>
      </w:tblGrid>
      <w:tr>
        <w:tc>
          <w:tcPr/>
          <w:bookmarkStart w:id="79" w:name="fig-decay"/>
          <w:p>
            <w:pPr>
              <w:jc w:val="center"/>
            </w:pPr>
            <w:r>
              <w:drawing>
                <wp:inline>
                  <wp:extent cx="4620126" cy="3696101"/>
                  <wp:effectExtent b="0" l="0" r="0" t="0"/>
                  <wp:docPr descr="" title="" id="77" name="Picture"/>
                  <a:graphic>
                    <a:graphicData uri="http://schemas.openxmlformats.org/drawingml/2006/picture">
                      <pic:pic>
                        <pic:nvPicPr>
                          <pic:cNvPr descr="methodology_files/figure-docx/unnamed-chunk-5-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79"/>
        </w:tc>
      </w:tr>
    </w:tbl>
    <w:bookmarkEnd w:id="80"/>
    <w:bookmarkStart w:id="82" w:name="the-per-person-likelihood"/>
    <w:p>
      <w:pPr>
        <w:pStyle w:val="Heading2"/>
      </w:pPr>
      <w:r>
        <w:t xml:space="preserve">4.13 The per-person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(Marginal likelihood of one participant’s data)</w:t>
            </w:r>
          </w:p>
          <w:bookmarkStart w:id="81" w:name="prp-marginal-likelihood"/>
          <w:p>
            <w:pPr>
              <w:pStyle w:val="BodyText"/>
            </w:pPr>
            <w:r>
              <w:rPr>
                <w:b/>
                <w:bCs/>
              </w:rPr>
              <w:t xml:space="preserve">Proposition 3 (Marginal likelihood of one participant’s data)</w:t>
            </w:r>
            <w:r>
              <w:t xml:space="preserve"> </w:t>
            </w:r>
            <w:r>
              <w:t xml:space="preserve">Substituting</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oMath>
            <w:r>
              <w:t xml:space="preserve"> </w:t>
            </w:r>
            <w:r>
              <w:t xml:space="preserve">into the</w:t>
            </w:r>
            <w:r>
              <w:t xml:space="preserve"> </w:t>
            </w:r>
            <w:r>
              <w:t xml:space="preserve">expression for</w:t>
            </w:r>
            <w:r>
              <w:t xml:space="preserve"> </w:t>
            </w:r>
            <m:oMath>
              <m:r>
                <m:rPr>
                  <m:sty m:val="p"/>
                </m:rPr>
                <m:t>p</m:t>
              </m:r>
              <m:r>
                <m:rPr>
                  <m:sty m:val="p"/>
                </m:rPr>
                <m:t>(</m:t>
              </m:r>
              <m:r>
                <m:t>Y</m:t>
              </m:r>
              <m:r>
                <m:rPr>
                  <m:sty m:val="p"/>
                </m:rPr>
                <m:t>=</m:t>
              </m:r>
              <m:r>
                <m:t>y</m:t>
              </m:r>
              <m:r>
                <m:rPr>
                  <m:sty m:val="p"/>
                </m:rPr>
                <m:t>)</m:t>
              </m:r>
            </m:oMath>
            <w:r>
              <w:t xml:space="preserve"> </w:t>
            </w:r>
            <w:r>
              <w:t xml:space="preserve">above gives one participant’s contribution:</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r>
                  <m:t> </m:t>
                </m:r>
                <m:r>
                  <m:t>d</m:t>
                </m:r>
                <m:r>
                  <m:t>t</m:t>
                </m:r>
              </m:oMath>
            </m:oMathPara>
          </w:p>
          <w:p>
            <w:pPr>
              <w:pStyle w:val="FirstParagraph"/>
            </w:pPr>
            <w:r>
              <w:t xml:space="preserve">That integral is shorthand, because</w:t>
            </w:r>
            <w:r>
              <w:t xml:space="preserve"> </w:t>
            </w:r>
            <m:oMath>
              <m:r>
                <m:t>T</m:t>
              </m:r>
            </m:oMath>
            <w:r>
              <w:t xml:space="preserve"> </w:t>
            </w:r>
            <w:r>
              <w:t xml:space="preserve">is not purely continuous: it has</w:t>
            </w:r>
            <w:r>
              <w:t xml:space="preserve"> </w:t>
            </w:r>
            <w:r>
              <w:t xml:space="preserve">the</w:t>
            </w:r>
            <w:r>
              <w:t xml:space="preserve"> </w:t>
            </w:r>
            <w:r>
              <w:rPr>
                <w:b/>
                <w:bCs/>
              </w:rPr>
              <w:t xml:space="preserve">mixed</w:t>
            </w:r>
            <w:r>
              <w:t xml:space="preserve"> </w:t>
            </w:r>
            <w:r>
              <w:t xml:space="preserve">distribution of</w:t>
            </w:r>
            <w:r>
              <w:t xml:space="preserve"> </w:t>
            </w:r>
            <w:hyperlink w:anchor="prp-time-since-infection">
              <w:r>
                <w:rPr>
                  <w:rStyle w:val="Hyperlink"/>
                </w:rPr>
                <w:t xml:space="preserve">Proposition 1</w:t>
              </w:r>
            </w:hyperlink>
            <w:r>
              <w:t xml:space="preserve">, continuous on</w:t>
            </w:r>
            <w:r>
              <w:t xml:space="preserve"> </w:t>
            </w:r>
            <m:oMath>
              <m:r>
                <m:rPr>
                  <m:sty m:val="p"/>
                </m:rPr>
                <m:t>[</m:t>
              </m:r>
              <m:r>
                <m:t>0</m:t>
              </m:r>
              <m:r>
                <m:rPr>
                  <m:sty m:val="p"/>
                </m:rPr>
                <m:t>,</m:t>
              </m:r>
              <m:r>
                <m:t>a</m:t>
              </m:r>
              <m:r>
                <m:rPr>
                  <m:sty m:val="p"/>
                </m:rPr>
                <m:t>]</m:t>
              </m:r>
            </m:oMath>
            <w:r>
              <w:t xml:space="preserve"> </w:t>
            </w:r>
            <w:r>
              <w:t xml:space="preserve">plus an atom at</w:t>
            </w:r>
            <w:r>
              <w:t xml:space="preserve"> </w:t>
            </w:r>
            <m:oMath>
              <m:r>
                <m:t>T</m:t>
              </m:r>
              <m:r>
                <m:rPr>
                  <m:sty m:val="p"/>
                </m:rPr>
                <m:t>=</m:t>
              </m:r>
              <m:r>
                <m:rPr>
                  <m:nor/>
                  <m:sty m:val="p"/>
                </m:rPr>
                <m:t>NA</m:t>
              </m:r>
            </m:oMath>
            <w:r>
              <w:t xml:space="preserve">.</w:t>
            </w:r>
            <w:r>
              <w:t xml:space="preserve"> </w:t>
            </w:r>
            <w:r>
              <w:t xml:space="preserve">Written out over both parts, the integral is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rPr>
                    <m:sty m:val="p"/>
                  </m:rP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bookmarkEnd w:id="81"/>
        </w:tc>
      </w:tr>
    </w:tbl>
    <w:p>
      <w:pPr>
        <w:pStyle w:val="BodyText"/>
      </w:pPr>
      <w:r>
        <w:t xml:space="preserve">Two pieces here were not yet defined:</w:t>
      </w:r>
    </w:p>
    <w:p>
      <w:pPr>
        <w:pStyle w:val="Compact"/>
        <w:numPr>
          <w:ilvl w:val="0"/>
          <w:numId w:val="1017"/>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hyperlink w:anchor="prp-time-since-infection">
        <w:r>
          <w:rPr>
            <w:rStyle w:val="Hyperlink"/>
          </w:rPr>
          <w:t xml:space="preserve">Proposition 1</w:t>
        </w:r>
      </w:hyperlink>
      <w:r>
        <w:t xml:space="preserve">.</w:t>
      </w:r>
    </w:p>
    <w:p>
      <w:pPr>
        <w:pStyle w:val="Compact"/>
        <w:numPr>
          <w:ilvl w:val="0"/>
          <w:numId w:val="1017"/>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82"/>
    <w:bookmarkStart w:id="84" w:name="the-full-sample-likelihood"/>
    <w:p>
      <w:pPr>
        <w:pStyle w:val="Heading2"/>
      </w:pPr>
      <w:r>
        <w:t xml:space="preserve">4.14 The full-sample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(Full-sample likelihood, assuming independent participants)</w:t>
            </w:r>
          </w:p>
          <w:bookmarkStart w:id="83" w:name="prp-full-sample-likelihood"/>
          <w:p>
            <w:pPr>
              <w:pStyle w:val="BodyText"/>
            </w:pPr>
            <w:r>
              <w:rPr>
                <w:b/>
                <w:bCs/>
              </w:rPr>
              <w:t xml:space="preserve">Proposition 4 (Full-sample likelihood, assuming independent participants)</w:t>
            </w:r>
            <w:r>
              <w:t xml:space="preserve"> </w:t>
            </w:r>
            <w:r>
              <w:t xml:space="preserve">Write</w:t>
            </w:r>
            <w:r>
              <w:t xml:space="preserve"> </w:t>
            </w:r>
            <m:oMath>
              <m:sSub>
                <m:e>
                  <m:r>
                    <m:rPr>
                      <m:scr m:val="script"/>
                      <m:sty m:val="p"/>
                    </m:rPr>
                    <m:t>L</m:t>
                  </m:r>
                </m:e>
                <m:sub>
                  <m:r>
                    <m:t>i</m:t>
                  </m:r>
                </m:sub>
              </m:sSub>
            </m:oMath>
            <w:r>
              <w:t xml:space="preserve"> </w:t>
            </w:r>
            <w:r>
              <w:t xml:space="preserve">and</w:t>
            </w:r>
            <w:r>
              <w:t xml:space="preserve"> </w:t>
            </w:r>
            <m:oMath>
              <m:sSub>
                <m:e>
                  <m:r>
                    <m:t>ℓ</m:t>
                  </m:r>
                </m:e>
                <m:sub>
                  <m:r>
                    <m:t>i</m:t>
                  </m:r>
                </m:sub>
              </m:sSub>
            </m:oMath>
            <w:r>
              <w:t xml:space="preserve"> </w:t>
            </w:r>
            <w:r>
              <w:t xml:space="preserve">for participant</w:t>
            </w:r>
            <w:r>
              <w:t xml:space="preserve"> </w:t>
            </w:r>
            <m:oMath>
              <m:r>
                <m:t>i</m:t>
              </m:r>
            </m:oMath>
            <w:r>
              <w:t xml:space="preserve">’s own likelihood and</w:t>
            </w:r>
            <w:r>
              <w:t xml:space="preserve"> </w:t>
            </w:r>
            <w:r>
              <w:t xml:space="preserve">log-likelihood, which is</w:t>
            </w:r>
            <w:r>
              <w:t xml:space="preserve"> </w:t>
            </w:r>
            <w:hyperlink w:anchor="prp-marginal-likelihood">
              <w:r>
                <w:rPr>
                  <w:rStyle w:val="Hyperlink"/>
                </w:rPr>
                <w:t xml:space="preserve">Proposition 3</w:t>
              </w:r>
            </w:hyperlink>
            <w:r>
              <w:t xml:space="preserve"> </w:t>
            </w:r>
            <w:r>
              <w:t xml:space="preserve">evaluated at</w:t>
            </w:r>
            <w:r>
              <w:t xml:space="preserve"> </w:t>
            </w:r>
            <m:oMath>
              <m:r>
                <m:t>y</m:t>
              </m:r>
              <m:r>
                <m:rPr>
                  <m:sty m:val="p"/>
                </m:rPr>
                <m:t>=</m:t>
              </m:r>
              <m:sSub>
                <m:e>
                  <m:r>
                    <m:t>y</m:t>
                  </m:r>
                </m:e>
                <m:sub>
                  <m:r>
                    <m:t>i</m:t>
                  </m:r>
                </m:sub>
              </m:sSub>
            </m:oMath>
            <w:r>
              <w:t xml:space="preserve">:</w:t>
            </w:r>
          </w:p>
          <w:p>
            <w:pPr>
              <w:pStyle w:val="BodyText"/>
            </w:pPr>
            <m:oMathPara>
              <m:oMathParaPr>
                <m:jc m:val="center"/>
              </m:oMathParaPr>
              <m:oMath>
                <m:eqArr>
                  <m:e>
                    <m:sSub>
                      <m:e>
                        <m:r>
                          <m:rPr>
                            <m:scr m:val="script"/>
                            <m:sty m:val="p"/>
                          </m:rPr>
                          <m:t>L</m:t>
                        </m:r>
                      </m:e>
                      <m:sub>
                        <m:r>
                          <m:t>i</m:t>
                        </m:r>
                      </m:sub>
                    </m:sSub>
                    <m:r>
                      <m:rPr>
                        <m:sty m:val="p"/>
                      </m:rPr>
                      <m:t>(</m:t>
                    </m:r>
                    <m:r>
                      <m:t>λ</m:t>
                    </m:r>
                    <m:r>
                      <m:rPr>
                        <m:sty m:val="p"/>
                      </m:rPr>
                      <m:t>)</m:t>
                    </m:r>
                    <m:r>
                      <m:t>&amp;</m:t>
                    </m:r>
                    <m:r>
                      <m:rPr>
                        <m:sty m:val="p"/>
                      </m:rPr>
                      <m:t>=</m:t>
                    </m:r>
                    <m:r>
                      <m:rPr>
                        <m:sty m:val="p"/>
                      </m:rPr>
                      <m:t>p</m:t>
                    </m:r>
                    <m:r>
                      <m:rPr>
                        <m:sty m:val="p"/>
                      </m:rPr>
                      <m:t>(</m:t>
                    </m:r>
                    <m:r>
                      <m:t>Y</m:t>
                    </m:r>
                    <m:r>
                      <m:rPr>
                        <m:sty m:val="p"/>
                      </m:rPr>
                      <m:t>=</m:t>
                    </m:r>
                    <m:sSub>
                      <m:e>
                        <m:r>
                          <m:t>y</m:t>
                        </m:r>
                      </m:e>
                      <m:sub>
                        <m:r>
                          <m:t>i</m:t>
                        </m:r>
                      </m:sub>
                    </m:sSub>
                    <m:r>
                      <m:rPr>
                        <m:sty m:val="p"/>
                      </m:rPr>
                      <m:t>)</m:t>
                    </m:r>
                  </m:e>
                  <m:e>
                    <m:sSub>
                      <m:e>
                        <m:r>
                          <m:t>ℓ</m:t>
                        </m:r>
                      </m:e>
                      <m:sub>
                        <m:r>
                          <m:t>i</m:t>
                        </m:r>
                      </m:sub>
                    </m:sSub>
                    <m:r>
                      <m:rPr>
                        <m:sty m:val="p"/>
                      </m:rPr>
                      <m:t>(</m:t>
                    </m:r>
                    <m:r>
                      <m:t>λ</m:t>
                    </m:r>
                    <m:r>
                      <m:rPr>
                        <m:sty m:val="p"/>
                      </m:rPr>
                      <m:t>)</m:t>
                    </m:r>
                    <m:r>
                      <m:t>&amp;</m:t>
                    </m:r>
                    <m:r>
                      <m:rPr>
                        <m:sty m:val="p"/>
                      </m:rPr>
                      <m:t>=</m:t>
                    </m:r>
                    <m:r>
                      <m:rPr>
                        <m:sty m:val="p"/>
                      </m:rPr>
                      <m:t>log</m:t>
                    </m:r>
                    <m:r>
                      <m:t>​</m:t>
                    </m:r>
                    <m:d>
                      <m:dPr>
                        <m:begChr m:val="{"/>
                        <m:sepChr m:val=""/>
                        <m:endChr m:val="}"/>
                        <m:grow/>
                      </m:dPr>
                      <m:e>
                        <m:sSub>
                          <m:e>
                            <m:r>
                              <m:rPr>
                                <m:scr m:val="script"/>
                                <m:sty m:val="p"/>
                              </m:rPr>
                              <m:t>L</m:t>
                            </m:r>
                          </m:e>
                          <m:sub>
                            <m:r>
                              <m:t>i</m:t>
                            </m:r>
                          </m:sub>
                        </m:sSub>
                        <m:r>
                          <m:rPr>
                            <m:sty m:val="p"/>
                          </m:rPr>
                          <m:t>(</m:t>
                        </m:r>
                        <m:r>
                          <m:t>λ</m:t>
                        </m:r>
                        <m:r>
                          <m:rPr>
                            <m:sty m:val="p"/>
                          </m:rPr>
                          <m:t>)</m:t>
                        </m:r>
                      </m:e>
                    </m:d>
                    <m:r>
                      <m:t>​</m:t>
                    </m:r>
                  </m:e>
                </m:eqArr>
              </m:oMath>
            </m:oMathPara>
          </w:p>
          <w:p>
            <w:pPr>
              <w:pStyle w:val="FirstParagraph"/>
            </w:pPr>
            <w:r>
              <w:t xml:space="preserve">If participants are</w:t>
            </w:r>
            <w:r>
              <w:t xml:space="preserve"> </w:t>
            </w:r>
            <w:r>
              <w:rPr>
                <w:b/>
                <w:bCs/>
              </w:rPr>
              <w:t xml:space="preserve">independent</w:t>
            </w:r>
            <w:r>
              <w:t xml:space="preserve"> </w:t>
            </w:r>
            <w:r>
              <w:t xml:space="preserve">of one another, the likelihood</w:t>
            </w:r>
            <w:r>
              <w:t xml:space="preserve"> </w:t>
            </w:r>
            <w:r>
              <w:t xml:space="preserve">(</w:t>
            </w:r>
            <w:hyperlink w:anchor="def-likelihood">
              <w:r>
                <w:rPr>
                  <w:rStyle w:val="Hyperlink"/>
                </w:rPr>
                <w:t xml:space="preserve">Definition 3</w:t>
              </w:r>
            </w:hyperlink>
            <w:r>
              <w:t xml:space="preserve">) of the whole sample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r>
                <m:rPr>
                  <m:sty m:val="p"/>
                </m:rPr>
                <m:t>)</m:t>
              </m:r>
            </m:oMath>
            <w:r>
              <w:t xml:space="preserve"> </w:t>
            </w:r>
            <w:r>
              <w:t xml:space="preserve">is their product:</w:t>
            </w:r>
          </w:p>
          <w:p>
            <w:pPr>
              <w:pStyle w:val="BodyText"/>
            </w:pPr>
            <m:oMathPara>
              <m:oMathParaPr>
                <m:jc m:val="center"/>
              </m:oMathParaPr>
              <m:oMath>
                <m:r>
                  <m:rPr>
                    <m:scr m:val="script"/>
                    <m:sty m:val="p"/>
                  </m:rPr>
                  <m:t>L</m:t>
                </m:r>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r>
                  <m:t>λ</m:t>
                </m:r>
                <m:r>
                  <m:rPr>
                    <m:sty m:val="p"/>
                  </m:rPr>
                  <m:t>)</m:t>
                </m:r>
              </m:oMath>
            </m:oMathPara>
          </w:p>
          <w:bookmarkEnd w:id="83"/>
        </w:tc>
      </w:tr>
    </w:tbl>
    <w:p>
      <w:pPr>
        <w:pStyle w:val="FirstParagraph"/>
      </w:pPr>
      <w:r>
        <w:t xml:space="preserve">Independence is what licenses the product; the latent-time likelihood</w:t>
      </w:r>
      <w:r>
        <w:t xml:space="preserve"> </w:t>
      </w:r>
      <m:oMath>
        <m:sSup>
          <m:e>
            <m:r>
              <m:rPr>
                <m:scr m:val="script"/>
                <m:sty m:val="p"/>
              </m:rPr>
              <m:t>L</m:t>
            </m:r>
          </m:e>
          <m:sup>
            <m:r>
              <m:rPr>
                <m:sty m:val="p"/>
              </m:rPr>
              <m:t>*</m:t>
            </m:r>
          </m:sup>
        </m:sSup>
      </m:oMath>
      <w:r>
        <w:t xml:space="preserve"> </w:t>
      </w:r>
      <w:r>
        <w:t xml:space="preserve">above multiplies participants’ contributions for the same</w:t>
      </w:r>
      <w:r>
        <w:t xml:space="preserve"> </w:t>
      </w:r>
      <w:r>
        <w:t xml:space="preserve">reason.</w:t>
      </w:r>
      <w:r>
        <w:t xml:space="preserve"> </w:t>
      </w:r>
      <w:r>
        <w:t xml:space="preserve">It is an assumption about the</w:t>
      </w:r>
      <w:r>
        <w:t xml:space="preserve"> </w:t>
      </w:r>
      <w:r>
        <w:rPr>
          <w:b/>
          <w:bCs/>
        </w:rPr>
        <w:t xml:space="preserve">sampling design</w:t>
      </w:r>
      <w:r>
        <w:t xml:space="preserve">, separate from the</w:t>
      </w:r>
      <w:r>
        <w:t xml:space="preserve"> </w:t>
      </w:r>
      <w:r>
        <w:t xml:space="preserve">assumptions about disease dynamics in</w:t>
      </w:r>
      <w:r>
        <w:t xml:space="preserve"> </w:t>
      </w:r>
      <w:hyperlink w:anchor="def-constant-incidence-model">
        <w:r>
          <w:rPr>
            <w:rStyle w:val="Hyperlink"/>
          </w:rPr>
          <w:t xml:space="preserve">Definition 2</w:t>
        </w:r>
      </w:hyperlink>
      <w:r>
        <w:t xml:space="preserve">.</w:t>
      </w:r>
    </w:p>
    <w:p>
      <w:pPr>
        <w:pStyle w:val="BodyText"/>
      </w:pPr>
      <w:r>
        <w:t xml:space="preserve">If we know</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w:t>
      </w:r>
      <w:r>
        <w:t xml:space="preserve"> </w:t>
      </w:r>
      <w:r>
        <w:t xml:space="preserve">denoted</w:t>
      </w:r>
      <w:r>
        <w:t xml:space="preserve"> </w:t>
      </w:r>
      <m:oMath>
        <m:acc>
          <m:accPr>
            <m:chr m:val="̂"/>
          </m:accPr>
          <m:e>
            <m:r>
              <m:t>λ</m:t>
            </m:r>
          </m:e>
        </m:acc>
      </m:oMath>
      <w:r>
        <w:t xml:space="preserve">.</w:t>
      </w:r>
    </w:p>
    <w:bookmarkEnd w:id="84"/>
    <w:bookmarkStart w:id="85" w:name="finding-the-mle-numerically"/>
    <w:p>
      <w:pPr>
        <w:pStyle w:val="Heading2"/>
      </w:pPr>
      <w:r>
        <w:t xml:space="preserve">4.15 Finding the MLE numerically</w:t>
      </w:r>
    </w:p>
    <w:p>
      <w:pPr>
        <w:pStyle w:val="FirstParagraph"/>
      </w:pPr>
      <w:r>
        <w:t xml:space="preserve">Taking logs turns that product into a sum:</w:t>
      </w:r>
    </w:p>
    <w:p>
      <w:pPr>
        <w:pStyle w:val="BodyText"/>
      </w:pPr>
      <m:oMathPara>
        <m:oMathParaPr>
          <m:jc m:val="center"/>
        </m:oMathParaPr>
        <m:oMath>
          <m:eqArr>
            <m:e>
              <m:r>
                <m:t>ℓ</m:t>
              </m:r>
              <m:r>
                <m:rPr>
                  <m:sty m:val="p"/>
                </m:rPr>
                <m:t>(</m:t>
              </m:r>
              <m:r>
                <m:t>λ</m:t>
              </m:r>
              <m:r>
                <m:rPr>
                  <m:sty m:val="p"/>
                </m:rPr>
                <m:t>)</m:t>
              </m:r>
              <m:r>
                <m:t>&amp;</m:t>
              </m:r>
              <m:r>
                <m:rPr>
                  <m:sty m:val="p"/>
                </m:rPr>
                <m:t>=</m:t>
              </m:r>
              <m:r>
                <m:rPr>
                  <m:sty m:val="p"/>
                </m:rPr>
                <m:t>log</m:t>
              </m:r>
              <m:r>
                <m:t>​</m:t>
              </m:r>
              <m:d>
                <m:dPr>
                  <m:begChr m:val="{"/>
                  <m:sepChr m:val=""/>
                  <m:endChr m:val="}"/>
                  <m:grow/>
                </m:dPr>
                <m:e>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r>
                    <m:t>λ</m:t>
                  </m:r>
                  <m:r>
                    <m:rPr>
                      <m:sty m:val="p"/>
                    </m:rPr>
                    <m:t>)</m:t>
                  </m:r>
                </m:e>
              </m:d>
              <m:r>
                <m:t>​</m:t>
              </m:r>
            </m:e>
            <m:e>
              <m:r>
                <m:t>&amp;</m:t>
              </m:r>
              <m:r>
                <m:rPr>
                  <m:sty m:val="p"/>
                </m:rPr>
                <m:t>=</m:t>
              </m:r>
              <m:nary>
                <m:naryPr>
                  <m:chr m:val="∑"/>
                  <m:limLoc m:val="undOvr"/>
                  <m:subHide m:val="off"/>
                  <m:supHide m:val="off"/>
                </m:naryPr>
                <m:sub>
                  <m:r>
                    <m:t>i</m:t>
                  </m:r>
                  <m:r>
                    <m:rPr>
                      <m:sty m:val="p"/>
                    </m:rPr>
                    <m:t>=</m:t>
                  </m:r>
                  <m:r>
                    <m:t>1</m:t>
                  </m:r>
                </m:sub>
                <m:sup>
                  <m:r>
                    <m:t>n</m:t>
                  </m:r>
                </m:sup>
                <m:e>
                  <m:sSub>
                    <m:e>
                      <m:r>
                        <m:t>ℓ</m:t>
                      </m:r>
                    </m:e>
                    <m:sub>
                      <m:r>
                        <m:t>i</m:t>
                      </m:r>
                    </m:sub>
                  </m:sSub>
                </m:e>
              </m:nary>
              <m:r>
                <m:rPr>
                  <m:sty m:val="p"/>
                </m:rPr>
                <m:t>(</m:t>
              </m:r>
              <m:r>
                <m:t>λ</m:t>
              </m:r>
              <m:r>
                <m:rPr>
                  <m:sty m:val="p"/>
                </m:rPr>
                <m:t>)</m:t>
              </m:r>
            </m:e>
          </m:eqArr>
        </m:oMath>
      </m:oMathPara>
    </w:p>
    <w:p>
      <w:pPr>
        <w:pStyle w:val="FirstParagraph"/>
      </w:pPr>
      <w:r>
        <w:t xml:space="preserve">Each</w:t>
      </w:r>
      <w:r>
        <w:t xml:space="preserve"> </w:t>
      </w:r>
      <m:oMath>
        <m:sSub>
          <m:e>
            <m:r>
              <m:t>ℓ</m:t>
            </m:r>
          </m:e>
          <m:sub>
            <m:r>
              <m:t>i</m:t>
            </m:r>
          </m:sub>
        </m:sSub>
      </m:oMath>
      <w:r>
        <w:t xml:space="preserve"> </w:t>
      </w:r>
      <w:r>
        <w:t xml:space="preserve">is the log of an integral (</w:t>
      </w:r>
      <w:hyperlink w:anchor="prp-marginal-likelihood">
        <w:r>
          <w:rPr>
            <w:rStyle w:val="Hyperlink"/>
          </w:rPr>
          <w:t xml:space="preserve">Proposition 3</w:t>
        </w:r>
      </w:hyperlink>
      <w:r>
        <w:t xml:space="preserve">),</w:t>
      </w:r>
      <w:r>
        <w:t xml:space="preserve"> </w:t>
      </w:r>
      <w:r>
        <w:t xml:space="preserve">so the derivative of this sum doesn’t come out cleanly,</w:t>
      </w:r>
      <w:r>
        <w:t xml:space="preserve"> </w:t>
      </w:r>
      <w:r>
        <w:t xml:space="preserve">and we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w:t>
      </w:r>
      <w:r>
        <w:t xml:space="preserve"> </w:t>
      </w:r>
      <w:r>
        <w:t xml:space="preserve">That algorithm also returns a numerical Hessian (</w:t>
      </w:r>
      <w:hyperlink w:anchor="def-hessian">
        <w:r>
          <w:rPr>
            <w:rStyle w:val="Hyperlink"/>
          </w:rPr>
          <w:t xml:space="preserve">Definition 6</w:t>
        </w:r>
      </w:hyperlink>
      <w:r>
        <w:t xml:space="preserve">) at the maximum, and</w:t>
      </w:r>
      <w:r>
        <w:t xml:space="preserve"> </w:t>
      </w:r>
      <w:hyperlink w:anchor="thm-mle-asymptotic-variance">
        <w:r>
          <w:rPr>
            <w:rStyle w:val="Hyperlink"/>
          </w:rPr>
          <w:t xml:space="preserve">Theorem 1</w:t>
        </w:r>
      </w:hyperlink>
      <w:r>
        <w:t xml:space="preserve"> </w:t>
      </w:r>
      <w:r>
        <w:t xml:space="preserve">turns that Hessian into a standard error.</w:t>
      </w:r>
    </w:p>
    <w:bookmarkEnd w:id="85"/>
    <w:bookmarkStart w:id="99" w:name="sec-cluster-robust"/>
    <w:p>
      <w:pPr>
        <w:pStyle w:val="Heading2"/>
      </w:pPr>
      <w:r>
        <w:t xml:space="preserve">4.16 Cluster-robust standard errors for clustered sampling designs</w:t>
      </w:r>
    </w:p>
    <w:p>
      <w:pPr>
        <w:pStyle w:val="FirstParagraph"/>
      </w:pPr>
      <w:r>
        <w:t xml:space="preserve">In many survey designs, observations are clustered (e.g., multiple individuals from the same household, school, or geographic area).</w:t>
      </w:r>
      <w:r>
        <w:t xml:space="preserve"> </w:t>
      </w:r>
      <w:r>
        <w:t xml:space="preserve">Observations within the same cluster are often more similar to each other than to observations from different clusters, which violates the independence assumption of</w:t>
      </w:r>
      <w:r>
        <w:t xml:space="preserve"> </w:t>
      </w:r>
      <w:hyperlink w:anchor="prp-full-sample-likelihood">
        <w:r>
          <w:rPr>
            <w:rStyle w:val="Hyperlink"/>
          </w:rPr>
          <w:t xml:space="preserve">Proposition 4</w:t>
        </w:r>
      </w:hyperlink>
      <w:r>
        <w:t xml:space="preserve">.</w:t>
      </w:r>
      <w:r>
        <w:t xml:space="preserve"> </w:t>
      </w:r>
      <w:r>
        <w:t xml:space="preserve">The estimate</w:t>
      </w:r>
      <w:r>
        <w:t xml:space="preserve"> </w:t>
      </w:r>
      <m:oMath>
        <m:acc>
          <m:accPr>
            <m:chr m:val="̂"/>
          </m:accPr>
          <m:e>
            <m:r>
              <m:t>λ</m:t>
            </m:r>
          </m:e>
        </m:acc>
      </m:oMath>
      <w:r>
        <w:t xml:space="preserve"> </w:t>
      </w:r>
      <w:r>
        <w:t xml:space="preserve">itself remains usable, but the inverse-information standard error of</w:t>
      </w:r>
      <w:r>
        <w:t xml:space="preserve"> </w:t>
      </w:r>
      <w:hyperlink w:anchor="thm-mle-asymptotic-variance">
        <w:r>
          <w:rPr>
            <w:rStyle w:val="Hyperlink"/>
          </w:rPr>
          <w:t xml:space="preserve">Theorem 1</w:t>
        </w:r>
      </w:hyperlink>
      <w:r>
        <w:t xml:space="preserve"> </w:t>
      </w:r>
      <w:r>
        <w:t xml:space="preserve">no longer applies to it.</w:t>
      </w:r>
    </w:p>
    <w:bookmarkStart w:id="86" w:name="why-clustering-matters"/>
    <w:p>
      <w:pPr>
        <w:pStyle w:val="Heading3"/>
      </w:pPr>
      <w:r>
        <w:t xml:space="preserve">4.16.1 Why clustering matters</w:t>
      </w:r>
    </w:p>
    <w:p>
      <w:pPr>
        <w:pStyle w:val="FirstParagraph"/>
      </w:pPr>
      <w:r>
        <w:t xml:space="preserve">When observations are clustered:</w:t>
      </w:r>
    </w:p>
    <w:p>
      <w:pPr>
        <w:pStyle w:val="Compact"/>
        <w:numPr>
          <w:ilvl w:val="0"/>
          <w:numId w:val="1018"/>
        </w:numPr>
      </w:pPr>
      <w:r>
        <w:t xml:space="preserve">Individuals within the same cluster share common exposures or characteristics</w:t>
      </w:r>
    </w:p>
    <w:p>
      <w:pPr>
        <w:pStyle w:val="Compact"/>
        <w:numPr>
          <w:ilvl w:val="0"/>
          <w:numId w:val="1018"/>
        </w:numPr>
      </w:pPr>
      <w:r>
        <w:t xml:space="preserve">Standard errors that ignore clustering are usually</w:t>
      </w:r>
      <w:r>
        <w:t xml:space="preserve"> </w:t>
      </w:r>
      <w:r>
        <w:rPr>
          <w:b/>
          <w:bCs/>
        </w:rPr>
        <w:t xml:space="preserve">too small</w:t>
      </w:r>
      <w:r>
        <w:t xml:space="preserve"> </w:t>
      </w:r>
      <w:r>
        <w:t xml:space="preserve">(anti-conservative)</w:t>
      </w:r>
    </w:p>
    <w:p>
      <w:pPr>
        <w:pStyle w:val="Compact"/>
        <w:numPr>
          <w:ilvl w:val="0"/>
          <w:numId w:val="1018"/>
        </w:numPr>
      </w:pPr>
      <w:r>
        <w:t xml:space="preserve">Confidence intervals are then</w:t>
      </w:r>
      <w:r>
        <w:t xml:space="preserve"> </w:t>
      </w:r>
      <w:r>
        <w:rPr>
          <w:b/>
          <w:bCs/>
        </w:rPr>
        <w:t xml:space="preserve">too narrow</w:t>
      </w:r>
    </w:p>
    <w:p>
      <w:pPr>
        <w:pStyle w:val="Compact"/>
        <w:numPr>
          <w:ilvl w:val="0"/>
          <w:numId w:val="1018"/>
        </w:numPr>
      </w:pPr>
      <w:r>
        <w:t xml:space="preserve">p-values are then</w:t>
      </w:r>
      <w:r>
        <w:t xml:space="preserve"> </w:t>
      </w:r>
      <w:r>
        <w:rPr>
          <w:b/>
          <w:bCs/>
        </w:rPr>
        <w:t xml:space="preserve">too optimistic</w:t>
      </w:r>
    </w:p>
    <w:p>
      <w:pPr>
        <w:pStyle w:val="FirstParagraph"/>
      </w:pPr>
      <w:r>
        <w:t xml:space="preserve">Usually rather than always: the direction follows the sign of the within-cluster correlation, which is positive in most survey designs but need not be.</w:t>
      </w:r>
    </w:p>
    <w:bookmarkEnd w:id="86"/>
    <w:bookmarkStart w:id="88" w:name="cluster-robust-variance-estimation"/>
    <w:p>
      <w:pPr>
        <w:pStyle w:val="Heading3"/>
      </w:pPr>
      <w:r>
        <w:t xml:space="preserve">4.16.2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 also known as the Huber-White robust variance estimator</w:t>
      </w:r>
      <w:r>
        <w:t xml:space="preserve"> </w:t>
      </w:r>
      <w:r>
        <w:t xml:space="preserve">(Huber 1967; White 1980)</w:t>
      </w:r>
      <w:r>
        <w:t xml:space="preserve">, generalized to clustered/grouped data by</w:t>
      </w:r>
      <w:r>
        <w:t xml:space="preserve"> </w:t>
      </w:r>
      <w:r>
        <w:t xml:space="preserve">Liang and Zeger (1986)</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(Sandwich variance estimator)</w:t>
            </w:r>
          </w:p>
          <w:bookmarkStart w:id="87" w:name="def-cluster-robust-variance"/>
          <w:p>
            <w:pPr>
              <w:pStyle w:val="BodyText"/>
            </w:pPr>
            <w:r>
              <w:rPr>
                <w:b/>
                <w:bCs/>
              </w:rPr>
              <w:t xml:space="preserve">Definition 8 (Sandwich variance estimator)</w:t>
            </w:r>
            <w:r>
              <w:t xml:space="preserve"> </w:t>
            </w:r>
            <w:r>
              <w:t xml:space="preserve">Let</w:t>
            </w:r>
            <w:r>
              <w:t xml:space="preserve"> </w:t>
            </w:r>
            <m:oMath>
              <m:r>
                <m:t>C</m:t>
              </m:r>
            </m:oMath>
            <w:r>
              <w:t xml:space="preserve"> </w:t>
            </w:r>
            <w:r>
              <w:t xml:space="preserve">be the total number of non-overlapping clusters in the sample,</w:t>
            </w:r>
            <w:r>
              <w:t xml:space="preserve"> </w:t>
            </w:r>
            <w:r>
              <w:t xml:space="preserve">and let</w:t>
            </w:r>
            <w:r>
              <w:t xml:space="preserve"> </w:t>
            </w:r>
            <m:oMath>
              <m:r>
                <m:t>H</m:t>
              </m:r>
              <m:r>
                <m:rPr>
                  <m:sty m:val="p"/>
                </m:rPr>
                <m:t>=</m:t>
              </m:r>
              <m:sSup>
                <m:e>
                  <m:r>
                    <m:t>ℓ</m:t>
                  </m:r>
                </m:e>
                <m:sup>
                  <m:r>
                    <m:rPr>
                      <m:sty m:val="p"/>
                    </m:rPr>
                    <m:t>″</m:t>
                  </m:r>
                </m:sup>
              </m:sSup>
              <m:r>
                <m:rPr>
                  <m:sty m:val="p"/>
                </m:rPr>
                <m:t>(</m:t>
              </m:r>
              <m:acc>
                <m:accPr>
                  <m:chr m:val="̂"/>
                </m:accPr>
                <m:e>
                  <m:r>
                    <m:t>λ</m:t>
                  </m:r>
                </m:e>
              </m:acc>
              <m:r>
                <m:rPr>
                  <m:sty m:val="p"/>
                </m:rPr>
                <m:t>)</m:t>
              </m:r>
            </m:oMath>
            <w:r>
              <w:t xml:space="preserve"> </w:t>
            </w:r>
            <w:r>
              <w:t xml:space="preserve">be the Hessian (</w:t>
            </w:r>
            <w:hyperlink w:anchor="def-hessian">
              <w:r>
                <w:rPr>
                  <w:rStyle w:val="Hyperlink"/>
                </w:rPr>
                <w:t xml:space="preserve">Definition 6</w:t>
              </w:r>
            </w:hyperlink>
            <w:r>
              <w:t xml:space="preserve">) at the</w:t>
            </w:r>
            <w:r>
              <w:t xml:space="preserve"> </w:t>
            </w:r>
            <w:r>
              <w:t xml:space="preserve">MLE —</w:t>
            </w:r>
            <w:r>
              <w:t xml:space="preserve"> </w:t>
            </w:r>
            <w:r>
              <w:rPr>
                <w:rStyle w:val="VerbatimChar"/>
              </w:rPr>
              <w:t xml:space="preserve">serocalculator</w:t>
            </w:r>
            <w:r>
              <w:t xml:space="preserve"> </w:t>
            </w:r>
            <w:r>
              <w:t xml:space="preserve">obtains it from</w:t>
            </w:r>
            <w:r>
              <w:t xml:space="preserve"> </w:t>
            </w:r>
            <w:r>
              <w:rPr>
                <w:rStyle w:val="VerbatimChar"/>
              </w:rPr>
              <w:t xml:space="preserve">stats::nlm()</w:t>
            </w:r>
            <w:r>
              <w:t xml:space="preserve">’s own</w:t>
            </w:r>
            <w:r>
              <w:t xml:space="preserve"> </w:t>
            </w:r>
            <w:r>
              <w:rPr>
                <w:rStyle w:val="VerbatimChar"/>
              </w:rPr>
              <w:t xml:space="preserve">hessian</w:t>
            </w:r>
            <w:r>
              <w:t xml:space="preserve"> </w:t>
            </w:r>
            <w:r>
              <w:t xml:space="preserve">output.</w:t>
            </w:r>
            <w:r>
              <w:t xml:space="preserve"> </w:t>
            </w:r>
            <w:r>
              <w:t xml:space="preserve">Write</w:t>
            </w:r>
            <w:r>
              <w:t xml:space="preserve"> </w:t>
            </w:r>
            <m:oMath>
              <m:sSub>
                <m:e>
                  <m:r>
                    <m:t>U</m:t>
                  </m:r>
                </m:e>
                <m:sub>
                  <m:r>
                    <m:t>i</m:t>
                  </m:r>
                </m:sub>
              </m:sSub>
            </m:oMath>
            <w:r>
              <w:t xml:space="preserve"> </w:t>
            </w:r>
            <w:r>
              <w:t xml:space="preserve">for observation</w:t>
            </w:r>
            <w:r>
              <w:t xml:space="preserve"> </w:t>
            </w:r>
            <m:oMath>
              <m:r>
                <m:t>i</m:t>
              </m:r>
            </m:oMath>
            <w:r>
              <w:t xml:space="preserve">’s score contribution (</w:t>
            </w:r>
            <w:hyperlink w:anchor="def-score">
              <w:r>
                <w:rPr>
                  <w:rStyle w:val="Hyperlink"/>
                </w:rPr>
                <w:t xml:space="preserve">Definition 5</w:t>
              </w:r>
            </w:hyperlink>
            <w:r>
              <w:t xml:space="preserve">) — the</w:t>
            </w:r>
            <w:r>
              <w:t xml:space="preserve"> </w:t>
            </w:r>
            <w:r>
              <w:t xml:space="preserve">gradient of its own log-likelihood</w:t>
            </w:r>
            <w:r>
              <w:t xml:space="preserve"> </w:t>
            </w:r>
            <m:oMath>
              <m:sSub>
                <m:e>
                  <m:r>
                    <m:t>ℓ</m:t>
                  </m:r>
                </m:e>
                <m:sub>
                  <m:r>
                    <m:t>i</m:t>
                  </m:r>
                </m:sub>
              </m:sSub>
            </m:oMath>
            <w:r>
              <w:t xml:space="preserve"> </w:t>
            </w:r>
            <w:r>
              <w:t xml:space="preserve">(</w:t>
            </w:r>
            <w:hyperlink w:anchor="prp-full-sample-likelihood">
              <w:r>
                <w:rPr>
                  <w:rStyle w:val="Hyperlink"/>
                </w:rPr>
                <w:t xml:space="preserve">Proposition 4</w:t>
              </w:r>
            </w:hyperlink>
            <w:r>
              <w:t xml:space="preserve">)</w:t>
            </w:r>
            <w:r>
              <w:t xml:space="preserve"> </w:t>
            </w:r>
            <w:r>
              <w:t xml:space="preserve">— and</w:t>
            </w:r>
            <w:r>
              <w:t xml:space="preserve"> </w:t>
            </w:r>
            <m:oMath>
              <m:sSub>
                <m:e>
                  <m:r>
                    <m:t>U</m:t>
                  </m:r>
                </m:e>
                <m:sub>
                  <m:r>
                    <m:t>c</m:t>
                  </m:r>
                </m:sub>
              </m:sSub>
            </m:oMath>
            <w:r>
              <w:t xml:space="preserve"> </w:t>
            </w:r>
            <w:r>
              <w:t xml:space="preserve">for the total over the observations in cluster</w:t>
            </w:r>
            <w:r>
              <w:t xml:space="preserve"> </w:t>
            </w:r>
            <m:oMath>
              <m:r>
                <m:t>c</m:t>
              </m:r>
            </m:oMath>
            <w:r>
              <w:t xml:space="preserve">:</w:t>
            </w:r>
          </w:p>
          <w:p>
            <w:pPr>
              <w:pStyle w:val="BodyText"/>
            </w:pPr>
            <m:oMathPara>
              <m:oMathParaPr>
                <m:jc m:val="center"/>
              </m:oMathParaPr>
              <m:oMath>
                <m:eqArr>
                  <m:e>
                    <m:sSub>
                      <m:e>
                        <m:r>
                          <m:t>U</m:t>
                        </m:r>
                      </m:e>
                      <m:sub>
                        <m:r>
                          <m:t>i</m:t>
                        </m:r>
                      </m:sub>
                    </m:sSub>
                    <m:r>
                      <m:t>&amp;</m:t>
                    </m:r>
                    <m:r>
                      <m:rPr>
                        <m:sty m:val="p"/>
                      </m:rPr>
                      <m:t>=</m:t>
                    </m:r>
                    <m:sSub>
                      <m:e>
                        <m:r>
                          <m:rPr>
                            <m:sty m:val="p"/>
                          </m:rPr>
                          <m:t>∇</m:t>
                        </m:r>
                      </m:e>
                      <m:sub>
                        <m:r>
                          <m:t>λ</m:t>
                        </m:r>
                      </m:sub>
                    </m:sSub>
                    <m:sSub>
                      <m:e>
                        <m:r>
                          <m:t>ℓ</m:t>
                        </m:r>
                      </m:e>
                      <m:sub>
                        <m:r>
                          <m:t>i</m:t>
                        </m:r>
                      </m:sub>
                    </m:sSub>
                    <m:r>
                      <m:rPr>
                        <m:sty m:val="p"/>
                      </m:rPr>
                      <m:t>(</m:t>
                    </m:r>
                    <m:r>
                      <m:t>λ</m:t>
                    </m:r>
                    <m:r>
                      <m:rPr>
                        <m:sty m:val="p"/>
                      </m:rPr>
                      <m:t>)</m:t>
                    </m:r>
                  </m:e>
                  <m:e>
                    <m:sSub>
                      <m:e>
                        <m:r>
                          <m:t>U</m:t>
                        </m:r>
                      </m:e>
                      <m:sub>
                        <m:r>
                          <m:t>c</m:t>
                        </m:r>
                      </m:sub>
                    </m:sSub>
                    <m:r>
                      <m:t>&amp;</m:t>
                    </m:r>
                    <m:r>
                      <m:rPr>
                        <m:sty m:val="p"/>
                      </m:rPr>
                      <m:t>=</m:t>
                    </m:r>
                    <m:nary>
                      <m:naryPr>
                        <m:chr m:val="∑"/>
                        <m:limLoc m:val="undOvr"/>
                        <m:subHide m:val="off"/>
                        <m:supHide m:val="on"/>
                      </m:naryPr>
                      <m:sub>
                        <m:r>
                          <m:t>i</m:t>
                        </m:r>
                        <m:r>
                          <m:rPr>
                            <m:sty m:val="p"/>
                          </m:rPr>
                          <m:t>∈</m:t>
                        </m:r>
                        <m:r>
                          <m:t>c</m:t>
                        </m:r>
                      </m:sub>
                      <m:sup>
                        <m:r>
                          <m:t>​</m:t>
                        </m:r>
                      </m:sup>
                      <m:e>
                        <m:sSub>
                          <m:e>
                            <m:r>
                              <m:t>U</m:t>
                            </m:r>
                          </m:e>
                          <m:sub>
                            <m:r>
                              <m:t>i</m:t>
                            </m:r>
                          </m:sub>
                        </m:sSub>
                      </m:e>
                    </m:nary>
                  </m:e>
                </m:eqArr>
              </m:oMath>
            </m:oMathPara>
          </w:p>
          <w:p>
            <w:pPr>
              <w:pStyle w:val="FirstParagraph"/>
            </w:pPr>
            <w:r>
              <w:t xml:space="preserve">where</w:t>
            </w:r>
            <w:r>
              <w:t xml:space="preserve"> </w:t>
            </w:r>
            <m:oMath>
              <m:sSub>
                <m:e>
                  <m:r>
                    <m:rPr>
                      <m:sty m:val="p"/>
                    </m:rPr>
                    <m:t>∇</m:t>
                  </m:r>
                </m:e>
                <m:sub>
                  <m:r>
                    <m:t>λ</m:t>
                  </m:r>
                </m:sub>
              </m:sSub>
            </m:oMath>
            <w:r>
              <w:t xml:space="preserve"> </w:t>
            </w:r>
            <w:r>
              <w:t xml:space="preserve">denotes the gradient with respect to</w:t>
            </w:r>
            <w:r>
              <w:t xml:space="preserve"> </w:t>
            </w:r>
            <m:oMath>
              <m:r>
                <m:t>λ</m:t>
              </m:r>
            </m:oMath>
            <w:r>
              <w:t xml:space="preserve">.</w:t>
            </w:r>
            <w:r>
              <w:t xml:space="preserve"> </w:t>
            </w:r>
            <w:r>
              <w:t xml:space="preserve">These are gradients of the same</w:t>
            </w:r>
            <w:r>
              <w:t xml:space="preserve"> </w:t>
            </w:r>
            <m:oMath>
              <m:sSub>
                <m:e>
                  <m:r>
                    <m:t>ℓ</m:t>
                  </m:r>
                </m:e>
                <m:sub>
                  <m:r>
                    <m:t>i</m:t>
                  </m:r>
                </m:sub>
              </m:sSub>
            </m:oMath>
            <w:r>
              <w:t xml:space="preserve"> </w:t>
            </w:r>
            <w:r>
              <w:t xml:space="preserve">that</w:t>
            </w:r>
            <w:r>
              <w:t xml:space="preserve"> </w:t>
            </w:r>
            <w:hyperlink w:anchor="prp-full-sample-likelihood">
              <w:r>
                <w:rPr>
                  <w:rStyle w:val="Hyperlink"/>
                </w:rPr>
                <w:t xml:space="preserve">Proposition 4</w:t>
              </w:r>
            </w:hyperlink>
            <w:r>
              <w:t xml:space="preserve"> </w:t>
            </w:r>
            <w:r>
              <w:t xml:space="preserve">defines: the full-sample log-likelihood</w:t>
            </w:r>
            <w:r>
              <w:t xml:space="preserve"> </w:t>
            </w:r>
            <w:r>
              <w:t xml:space="preserve">sums</w:t>
            </w:r>
            <w:r>
              <w:t xml:space="preserve"> </w:t>
            </w:r>
            <m:oMath>
              <m:sSub>
                <m:e>
                  <m:r>
                    <m:t>ℓ</m:t>
                  </m:r>
                </m:e>
                <m:sub>
                  <m:r>
                    <m:t>i</m:t>
                  </m:r>
                </m:sub>
              </m:sSub>
            </m:oMath>
            <w:r>
              <w:t xml:space="preserve"> </w:t>
            </w:r>
            <w:r>
              <w:t xml:space="preserve">over every observation, and the sandwich accumulates</w:t>
            </w:r>
            <w:r>
              <w:t xml:space="preserve"> </w:t>
            </w:r>
            <w:r>
              <w:t xml:space="preserve">their gradients cluster by cluster.</w:t>
            </w:r>
            <w:r>
              <w:t xml:space="preserve"> </w:t>
            </w:r>
            <w:r>
              <w:t xml:space="preserve">The</w:t>
            </w:r>
            <w:r>
              <w:t xml:space="preserve"> </w:t>
            </w:r>
            <w:r>
              <w:rPr>
                <w:b/>
                <w:bCs/>
              </w:rPr>
              <w:t xml:space="preserve">cluster-robust variance-covariance matrix</w:t>
            </w:r>
            <w:r>
              <w:t xml:space="preserve"> </w:t>
            </w:r>
            <w:r>
              <w:t xml:space="preserve">for the parameter</w:t>
            </w:r>
            <w:r>
              <w:t xml:space="preserve"> </w:t>
            </w:r>
            <w:r>
              <w:t xml:space="preserve">estimates is then</w:t>
            </w:r>
          </w:p>
          <w:p>
            <w:pPr>
              <w:pStyle w:val="BodyText"/>
            </w:pPr>
            <m:oMathPara>
              <m:oMathParaPr>
                <m:jc m:val="center"/>
              </m:oMathParaPr>
              <m:oMath>
                <m:eqArr>
                  <m:e>
                    <m:sSub>
                      <m:e>
                        <m:r>
                          <m:t>V</m:t>
                        </m:r>
                      </m:e>
                      <m:sub>
                        <m:r>
                          <m:rPr>
                            <m:nor/>
                            <m:sty m:val="p"/>
                          </m:rPr>
                          <m:t>robust</m:t>
                        </m:r>
                      </m:sub>
                    </m:sSub>
                    <m:r>
                      <m:t>&amp;</m:t>
                    </m:r>
                    <m:r>
                      <m:rPr>
                        <m:sty m:val="p"/>
                      </m:rPr>
                      <m:t>=</m:t>
                    </m:r>
                    <m:sSup>
                      <m:e>
                        <m:r>
                          <m:t>H</m:t>
                        </m:r>
                      </m:e>
                      <m:sup>
                        <m:r>
                          <m:rPr>
                            <m:sty m:val="p"/>
                          </m:rPr>
                          <m:t>−</m:t>
                        </m:r>
                        <m:r>
                          <m:t>1</m:t>
                        </m:r>
                      </m:sup>
                    </m:sSup>
                    <m:r>
                      <m:t>B</m:t>
                    </m:r>
                    <m:sSup>
                      <m:e>
                        <m:r>
                          <m:t>H</m:t>
                        </m:r>
                      </m:e>
                      <m:sup>
                        <m:r>
                          <m:rPr>
                            <m:sty m:val="p"/>
                          </m:rPr>
                          <m:t>−</m:t>
                        </m:r>
                        <m:r>
                          <m:t>1</m:t>
                        </m:r>
                      </m:sup>
                    </m:sSup>
                  </m:e>
                  <m:e>
                    <m:r>
                      <m:t>B</m:t>
                    </m:r>
                    <m:r>
                      <m:t>&amp;</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e>
                </m:eqArr>
              </m:oMath>
            </m:oMathPara>
          </w:p>
          <w:p>
            <w:pPr>
              <w:pStyle w:val="FirstParagraph"/>
            </w:pPr>
            <w:r>
              <w:t xml:space="preserve">with</w:t>
            </w:r>
            <w:r>
              <w:t xml:space="preserve"> </w:t>
            </w:r>
            <m:oMath>
              <m:r>
                <m:t>B</m:t>
              </m:r>
            </m:oMath>
            <w:r>
              <w:t xml:space="preserve"> </w:t>
            </w:r>
            <w:r>
              <w:t xml:space="preserve">the</w:t>
            </w:r>
            <w:r>
              <w:t xml:space="preserve"> </w:t>
            </w:r>
            <w:r>
              <w:t xml:space="preserve">“meat”</w:t>
            </w:r>
            <w:r>
              <w:t xml:space="preserve"> </w:t>
            </w:r>
            <w:r>
              <w:t xml:space="preserve">of the sandwich.</w:t>
            </w:r>
          </w:p>
          <w:bookmarkEnd w:id="87"/>
        </w:tc>
      </w:tr>
    </w:tbl>
    <w:p>
      <w:pPr>
        <w:pStyle w:val="BodyText"/>
      </w:pPr>
      <w:r>
        <w:t xml:space="preserve">The sign convention does not matter here:</w:t>
      </w:r>
      <w:r>
        <w:t xml:space="preserve"> </w:t>
      </w:r>
      <m:oMath>
        <m:r>
          <m:t>H</m:t>
        </m:r>
      </m:oMath>
      <w:r>
        <w:t xml:space="preserve"> </w:t>
      </w:r>
      <w:r>
        <w:t xml:space="preserve">appears twice, so</w:t>
      </w:r>
      <w:r>
        <w:t xml:space="preserve"> </w:t>
      </w:r>
      <w:r>
        <w:t xml:space="preserve">substituting the observed information</w:t>
      </w:r>
      <w:r>
        <w:t xml:space="preserve"> </w:t>
      </w:r>
      <m:oMath>
        <m:r>
          <m:t>I</m:t>
        </m:r>
        <m:r>
          <m:rPr>
            <m:sty m:val="p"/>
          </m:rPr>
          <m:t>(</m:t>
        </m:r>
        <m:acc>
          <m:accPr>
            <m:chr m:val="̂"/>
          </m:accPr>
          <m:e>
            <m:r>
              <m:t>λ</m:t>
            </m:r>
          </m:e>
        </m:acc>
        <m:r>
          <m:rPr>
            <m:sty m:val="p"/>
          </m:rPr>
          <m:t>)</m:t>
        </m:r>
        <m:r>
          <m:rPr>
            <m:sty m:val="p"/>
          </m:rPr>
          <m:t>=</m:t>
        </m:r>
        <m:r>
          <m:rPr>
            <m:sty m:val="p"/>
          </m:rPr>
          <m:t>−</m:t>
        </m:r>
        <m:r>
          <m:t>H</m:t>
        </m:r>
      </m:oMath>
      <w:r>
        <w:t xml:space="preserve"> </w:t>
      </w:r>
      <w:r>
        <w:t xml:space="preserve">(</w:t>
      </w:r>
      <w:hyperlink w:anchor="def-observed-information">
        <w:r>
          <w:rPr>
            <w:rStyle w:val="Hyperlink"/>
          </w:rPr>
          <w:t xml:space="preserve">Definition 7</w:t>
        </w:r>
      </w:hyperlink>
      <w:r>
        <w:t xml:space="preserve">) leaves</w:t>
      </w:r>
      <w:r>
        <w:t xml:space="preserve"> </w:t>
      </w:r>
      <m:oMath>
        <m:sSub>
          <m:e>
            <m:r>
              <m:t>V</m:t>
            </m:r>
          </m:e>
          <m:sub>
            <m:r>
              <m:rPr>
                <m:nor/>
                <m:sty m:val="p"/>
              </m:rPr>
              <m:t>robust</m:t>
            </m:r>
          </m:sub>
        </m:sSub>
      </m:oMath>
      <w:r>
        <w:t xml:space="preserve"> </w:t>
      </w:r>
      <w:r>
        <w:t xml:space="preserve">unchanged.</w:t>
      </w:r>
    </w:p>
    <w:p>
      <w:pPr>
        <w:pStyle w:val="BodyText"/>
      </w:pPr>
      <w:r>
        <w:t xml:space="preserve">The sandwich generalizes</w:t>
      </w:r>
      <w:r>
        <w:t xml:space="preserve"> </w:t>
      </w:r>
      <w:hyperlink w:anchor="thm-mle-asymptotic-variance">
        <w:r>
          <w:rPr>
            <w:rStyle w:val="Hyperlink"/>
          </w:rPr>
          <w:t xml:space="preserve">Theorem 1</w:t>
        </w:r>
      </w:hyperlink>
      <w:r>
        <w:t xml:space="preserve"> </w:t>
      </w:r>
      <w:r>
        <w:t xml:space="preserve">rather than</w:t>
      </w:r>
      <w:r>
        <w:t xml:space="preserve"> </w:t>
      </w:r>
      <w:r>
        <w:t xml:space="preserve">replacing it.</w:t>
      </w:r>
      <w:r>
        <w:t xml:space="preserve"> </w:t>
      </w:r>
      <w:r>
        <w:t xml:space="preserve">When the model is correctly specified and observations really are</w:t>
      </w:r>
      <w:r>
        <w:t xml:space="preserve"> </w:t>
      </w:r>
      <w:r>
        <w:t xml:space="preserve">independent,</w:t>
      </w:r>
      <w:r>
        <w:t xml:space="preserve"> </w:t>
      </w:r>
      <m:oMath>
        <m:r>
          <m:t>B</m:t>
        </m:r>
      </m:oMath>
      <w:r>
        <w:t xml:space="preserve"> </w:t>
      </w:r>
      <w:r>
        <w:t xml:space="preserve">estimates the same information as</w:t>
      </w:r>
      <w:r>
        <w:t xml:space="preserve"> </w:t>
      </w:r>
      <m:oMath>
        <m:r>
          <m:rPr>
            <m:sty m:val="p"/>
          </m:rPr>
          <m:t>−</m:t>
        </m:r>
        <m:r>
          <m:t>H</m:t>
        </m:r>
      </m:oMath>
      <w:r>
        <w:t xml:space="preserve"> </w:t>
      </w:r>
      <w:r>
        <w:t xml:space="preserve">does, and</w:t>
      </w:r>
      <w:r>
        <w:t xml:space="preserve"> </w:t>
      </w:r>
      <m:oMath>
        <m:sSup>
          <m:e>
            <m:r>
              <m:t>H</m:t>
            </m:r>
          </m:e>
          <m:sup>
            <m:r>
              <m:rPr>
                <m:sty m:val="p"/>
              </m:rPr>
              <m:t>−</m:t>
            </m:r>
            <m:r>
              <m:t>1</m:t>
            </m:r>
          </m:sup>
        </m:sSup>
        <m:r>
          <m:t>B</m:t>
        </m:r>
        <m:sSup>
          <m:e>
            <m:r>
              <m:t>H</m:t>
            </m:r>
          </m:e>
          <m:sup>
            <m:r>
              <m:rPr>
                <m:sty m:val="p"/>
              </m:rPr>
              <m:t>−</m:t>
            </m:r>
            <m:r>
              <m:t>1</m:t>
            </m:r>
          </m:sup>
        </m:sSup>
      </m:oMath>
      <w:r>
        <w:t xml:space="preserve"> </w:t>
      </w:r>
      <w:r>
        <w:t xml:space="preserve">collapses to</w:t>
      </w:r>
      <w:r>
        <w:t xml:space="preserve"> </w:t>
      </w:r>
      <m:oMath>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w:r>
        <w:t xml:space="preserve"> </w:t>
      </w:r>
      <w:r>
        <w:t xml:space="preserve">— the</w:t>
      </w:r>
      <w:r>
        <w:t xml:space="preserve"> </w:t>
      </w:r>
      <w:r>
        <w:t xml:space="preserve">ordinary standard error.</w:t>
      </w:r>
      <w:r>
        <w:t xml:space="preserve"> </w:t>
      </w:r>
      <w:r>
        <w:t xml:space="preserve">Clustering is what drives the two apart, and the gap between them is</w:t>
      </w:r>
      <w:r>
        <w:t xml:space="preserve"> </w:t>
      </w:r>
      <w:r>
        <w:t xml:space="preserve">what the correction recovers.</w:t>
      </w:r>
    </w:p>
    <w:bookmarkEnd w:id="88"/>
    <w:bookmarkStart w:id="91" w:name="multi-way-clustering"/>
    <w:p>
      <w:pPr>
        <w:pStyle w:val="Heading3"/>
      </w:pPr>
      <w:r>
        <w:t xml:space="preserve">4.16.3 Multi-way clustering</w:t>
      </w:r>
    </w:p>
    <w:p>
      <w:pPr>
        <w:pStyle w:val="FirstParagraph"/>
      </w:pPr>
      <w:r>
        <w:t xml:space="preserve">When</w:t>
      </w:r>
      <w:r>
        <w:t xml:space="preserve"> </w:t>
      </w:r>
      <w:r>
        <w:rPr>
          <w:rStyle w:val="VerbatimChar"/>
        </w:rPr>
        <w:t xml:space="preserve">cluster_var</w:t>
      </w:r>
      <w:r>
        <w:t xml:space="preserve"> </w:t>
      </w:r>
      <w:r>
        <w:t xml:space="preserve">names more than one variable,</w:t>
      </w:r>
      <w:r>
        <w:t xml:space="preserve"> </w:t>
      </w:r>
      <w:r>
        <w:rPr>
          <w:rStyle w:val="VerbatimChar"/>
        </w:rPr>
        <w:t xml:space="preserve">serocalculator</w:t>
      </w:r>
      <w:r>
        <w:t xml:space="preserve"> </w:t>
      </w:r>
      <w:r>
        <w:t xml:space="preserve">does not collapse them into a single interaction.</w:t>
      </w:r>
      <w:r>
        <w:t xml:space="preserve"> </w:t>
      </w:r>
      <w:r>
        <w:t xml:space="preserve">Instead it applies the inclusion-exclusion identity of</w:t>
      </w:r>
      <w:r>
        <w:t xml:space="preserve"> </w:t>
      </w:r>
      <w:r>
        <w:t xml:space="preserve">Cameron, Gelbach, and Miller (2011)</w:t>
      </w:r>
      <w:r>
        <w:t xml:space="preserve"> </w:t>
      </w:r>
      <w:r>
        <w:t xml:space="preserve">(Cameron et al. 2011)</w:t>
      </w:r>
      <w:r>
        <w:t xml:space="preserve"> </w:t>
      </w:r>
      <w:r>
        <w:t xml:space="preserve">for multi-way cluster-robust variance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(Multi-way clustering-robust variance)</w:t>
            </w:r>
          </w:p>
          <w:bookmarkStart w:id="89" w:name="def-multiway-clustering-variance"/>
          <w:p>
            <w:pPr>
              <w:pStyle w:val="BodyText"/>
            </w:pPr>
            <w:r>
              <w:rPr>
                <w:b/>
                <w:bCs/>
              </w:rPr>
              <w:t xml:space="preserve">Definition 9 (Multi-way clustering-robust variance)</w:t>
            </w:r>
            <w:r>
              <w:t xml:space="preserve"> </w:t>
            </w:r>
            <w:r>
              <w:t xml:space="preserve">Let</w:t>
            </w:r>
            <w:r>
              <w:t xml:space="preserve"> </w:t>
            </w:r>
            <m:oMath>
              <m:r>
                <m:rPr>
                  <m:scr m:val="script"/>
                  <m:sty m:val="p"/>
                </m:rPr>
                <m:t>K</m:t>
              </m:r>
              <m:r>
                <m:rPr>
                  <m:sty m:val="p"/>
                </m:rPr>
                <m:t>=</m:t>
              </m:r>
              <m:r>
                <m:rPr>
                  <m:sty m:val="p"/>
                </m:rPr>
                <m:t>{</m:t>
              </m:r>
              <m:sSub>
                <m:e>
                  <m:r>
                    <m:t>k</m:t>
                  </m:r>
                </m:e>
                <m:sub>
                  <m:r>
                    <m:t>1</m:t>
                  </m:r>
                </m:sub>
              </m:sSub>
              <m:r>
                <m:rPr>
                  <m:sty m:val="p"/>
                </m:rPr>
                <m:t>,</m:t>
              </m:r>
              <m:r>
                <m:rPr>
                  <m:sty m:val="p"/>
                </m:rPr>
                <m:t>…</m:t>
              </m:r>
              <m:r>
                <m:rPr>
                  <m:sty m:val="p"/>
                </m:rPr>
                <m:t>,</m:t>
              </m:r>
              <m:sSub>
                <m:e>
                  <m:r>
                    <m:t>k</m:t>
                  </m:r>
                </m:e>
                <m:sub>
                  <m:r>
                    <m:t>p</m:t>
                  </m:r>
                </m:sub>
              </m:sSub>
              <m:r>
                <m:rPr>
                  <m:sty m:val="p"/>
                </m:rPr>
                <m:t>}</m:t>
              </m:r>
            </m:oMath>
            <w:r>
              <w:t xml:space="preserve"> </w:t>
            </w:r>
            <w:r>
              <w:t xml:space="preserve">denote the cluster variables.</w:t>
            </w:r>
            <w:r>
              <w:t xml:space="preserve"> </w:t>
            </w:r>
            <w:r>
              <w:t xml:space="preserve">For a non-empty subset</w:t>
            </w:r>
            <w:r>
              <w:t xml:space="preserve"> </w:t>
            </w:r>
            <m:oMath>
              <m:r>
                <m:t>S</m:t>
              </m:r>
              <m:r>
                <m:rPr>
                  <m:sty m:val="p"/>
                </m:rPr>
                <m:t>⊆</m:t>
              </m:r>
              <m:r>
                <m:rPr>
                  <m:scr m:val="script"/>
                  <m:sty m:val="p"/>
                </m:rPr>
                <m:t>K</m:t>
              </m:r>
            </m:oMath>
            <w:r>
              <w:t xml:space="preserve">,</w:t>
            </w:r>
            <w:r>
              <w:t xml:space="preserve"> </w:t>
            </w:r>
            <w:r>
              <w:t xml:space="preserve">let</w:t>
            </w:r>
            <w:r>
              <w:t xml:space="preserve"> </w:t>
            </w:r>
            <m:oMath>
              <m:sSub>
                <m:e>
                  <m:r>
                    <m:t>V</m:t>
                  </m:r>
                </m:e>
                <m:sub>
                  <m:r>
                    <m:t>S</m:t>
                  </m:r>
                </m:sub>
              </m:sSub>
            </m:oMath>
            <w:r>
              <w:t xml:space="preserve"> </w:t>
            </w:r>
            <w:r>
              <w:t xml:space="preserve">be the one-way sandwich variance</w:t>
            </w:r>
            <w:r>
              <w:t xml:space="preserve"> </w:t>
            </w:r>
            <m:oMath>
              <m:sSub>
                <m:e>
                  <m:r>
                    <m:t>V</m:t>
                  </m:r>
                </m:e>
                <m:sub>
                  <m:r>
                    <m:rPr>
                      <m:nor/>
                      <m:sty m:val="p"/>
                    </m:rPr>
                    <m:t>robust</m:t>
                  </m:r>
                </m:sub>
              </m:sSub>
            </m:oMath>
            <w:r>
              <w:t xml:space="preserve"> </w:t>
            </w:r>
            <w:r>
              <w:t xml:space="preserve">(</w:t>
            </w:r>
            <w:hyperlink w:anchor="def-cluster-robust-variance">
              <w:r>
                <w:rPr>
                  <w:rStyle w:val="Hyperlink"/>
                </w:rPr>
                <w:t xml:space="preserve">Definition 8</w:t>
              </w:r>
            </w:hyperlink>
            <w:r>
              <w:t xml:space="preserve">),</w:t>
            </w:r>
            <w:r>
              <w:t xml:space="preserve"> </w:t>
            </w:r>
            <w:r>
              <w:t xml:space="preserve">computed by clustering on the interaction of the variables in</w:t>
            </w:r>
            <w:r>
              <w:t xml:space="preserve"> </w:t>
            </w:r>
            <m:oMath>
              <m:r>
                <m:t>S</m:t>
              </m:r>
            </m:oMath>
            <w:r>
              <w:t xml:space="preserve">.</w:t>
            </w:r>
            <w:r>
              <w:t xml:space="preserve"> </w:t>
            </w:r>
            <w:r>
              <w:t xml:space="preserve">The multi-way variance is the signed sum over every such subset:</w:t>
            </w:r>
          </w:p>
          <w:p>
            <w:pPr>
              <w:pStyle w:val="BodyText"/>
            </w:pPr>
            <m:oMathPara>
              <m:oMathParaPr>
                <m:jc m:val="center"/>
              </m:oMathParaPr>
              <m:oMath>
                <m:sSub>
                  <m:e>
                    <m:r>
                      <m:t>V</m:t>
                    </m:r>
                  </m:e>
                  <m:sub>
                    <m:r>
                      <m:rPr>
                        <m:nor/>
                        <m:sty m:val="p"/>
                      </m:rPr>
                      <m:t>multiway</m:t>
                    </m:r>
                  </m:sub>
                </m:sSub>
                <m:r>
                  <m:rPr>
                    <m:sty m:val="p"/>
                  </m:rPr>
                  <m:t>=</m:t>
                </m:r>
                <m:nary>
                  <m:naryPr>
                    <m:chr m:val="∑"/>
                    <m:limLoc m:val="undOvr"/>
                    <m:subHide m:val="off"/>
                    <m:supHide m:val="on"/>
                  </m:naryPr>
                  <m:sub>
                    <m:r>
                      <m:rPr>
                        <m:sty m:val="p"/>
                      </m:rPr>
                      <m:t>∅</m:t>
                    </m:r>
                    <m:r>
                      <m:rPr>
                        <m:sty m:val="p"/>
                      </m:rPr>
                      <m:t>≠</m:t>
                    </m:r>
                    <m:r>
                      <m:t>S</m:t>
                    </m:r>
                    <m:r>
                      <m:rPr>
                        <m:sty m:val="p"/>
                      </m:rPr>
                      <m:t>⊆</m:t>
                    </m:r>
                    <m:r>
                      <m:rPr>
                        <m:scr m:val="script"/>
                        <m:sty m:val="p"/>
                      </m:rPr>
                      <m:t>K</m:t>
                    </m:r>
                  </m:sub>
                  <m:sup>
                    <m:r>
                      <m:t>​</m:t>
                    </m:r>
                  </m:sup>
                  <m:e>
                    <m:r>
                      <m:rPr>
                        <m:sty m:val="p"/>
                      </m:rPr>
                      <m:t>(</m:t>
                    </m:r>
                  </m:e>
                </m:nary>
                <m:r>
                  <m:rPr>
                    <m:sty m:val="p"/>
                  </m:rPr>
                  <m:t>−</m:t>
                </m:r>
                <m:r>
                  <m:t>1</m:t>
                </m:r>
                <m:sSup>
                  <m:e>
                    <m:r>
                      <m:rPr>
                        <m:sty m:val="p"/>
                      </m:rPr>
                      <m:t>)</m:t>
                    </m:r>
                  </m:e>
                  <m:sup>
                    <m:r>
                      <m:rPr>
                        <m:sty m:val="p"/>
                      </m:rPr>
                      <m:t>|</m:t>
                    </m:r>
                    <m:r>
                      <m:t>S</m:t>
                    </m:r>
                    <m:r>
                      <m:rPr>
                        <m:sty m:val="p"/>
                      </m:rPr>
                      <m:t>|</m:t>
                    </m:r>
                    <m:r>
                      <m:rPr>
                        <m:sty m:val="p"/>
                      </m:rPr>
                      <m:t>+</m:t>
                    </m:r>
                    <m:r>
                      <m:t>1</m:t>
                    </m:r>
                  </m:sup>
                </m:sSup>
                <m:sSub>
                  <m:e>
                    <m:r>
                      <m:t>V</m:t>
                    </m:r>
                  </m:e>
                  <m:sub>
                    <m:r>
                      <m:t>S</m:t>
                    </m:r>
                  </m:sub>
                </m:sSub>
              </m:oMath>
            </m:oMathPara>
          </w:p>
          <w:bookmarkEnd w:id="89"/>
        </w:tc>
      </w:tr>
    </w:tbl>
    <w:p>
      <w:pPr>
        <w:pStyle w:val="FirstParagraph"/>
      </w:pPr>
      <w:r>
        <w:t xml:space="preserve">Computing every subset costs</w:t>
      </w:r>
      <w:r>
        <w:t xml:space="preserve"> </w:t>
      </w:r>
      <m:oMath>
        <m:sSup>
          <m:e>
            <m:r>
              <m:t>2</m:t>
            </m:r>
          </m:e>
          <m:sup>
            <m:r>
              <m:t>p</m:t>
            </m:r>
          </m:sup>
        </m:sSup>
        <m:r>
          <m:rPr>
            <m:sty m:val="p"/>
          </m:rPr>
          <m:t>−</m:t>
        </m:r>
        <m:r>
          <m:t>1</m:t>
        </m:r>
      </m:oMath>
      <w:r>
        <w:t xml:space="preserve"> </w:t>
      </w:r>
      <w:r>
        <w:t xml:space="preserve">one-way variance evaluations,</w:t>
      </w:r>
      <w:r>
        <w:t xml:space="preserve"> </w:t>
      </w:r>
      <w:r>
        <w:t xml:space="preserve">so this is intended for the small</w:t>
      </w:r>
      <w:r>
        <w:t xml:space="preserve"> </w:t>
      </w:r>
      <m:oMath>
        <m:r>
          <m:t>p</m:t>
        </m:r>
      </m:oMath>
      <w:r>
        <w:t xml:space="preserve"> </w:t>
      </w:r>
      <w:r>
        <w:t xml:space="preserve">(2-3)</w:t>
      </w:r>
      <w:r>
        <w:t xml:space="preserve"> </w:t>
      </w:r>
      <w:r>
        <w:t xml:space="preserve">typical of nested survey designs.</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Example (Two cluster variables)</w:t>
            </w:r>
          </w:p>
        </w:tc>
      </w:tr>
      <w:tr>
        <w:trPr>
          <w:cantSplit/>
        </w:trPr>
        <w:tc>
          <w:tcPr>
            <w:tcMar>
              <w:top w:w="108" w:type="dxa"/>
              <w:bottom w:w="108" w:type="dxa"/>
            </w:tcMar>
          </w:tcPr>
          <w:bookmarkStart w:id="90" w:name="exm-two-way-clustering"/>
          <w:p>
            <w:pPr>
              <w:pStyle w:val="BodyText"/>
            </w:pPr>
            <w:r>
              <w:rPr>
                <w:b/>
                <w:bCs/>
              </w:rPr>
              <w:t xml:space="preserve">Example 3 (Two cluster variables)</w:t>
            </w:r>
            <w:r>
              <w:t xml:space="preserve"> </w:t>
            </w:r>
            <w:r>
              <w:t xml:space="preserve">For two cluster variables (</w:t>
            </w:r>
            <m:oMath>
              <m:r>
                <m:t>p</m:t>
              </m:r>
              <m:r>
                <m:rPr>
                  <m:sty m:val="p"/>
                </m:rPr>
                <m:t>=</m:t>
              </m:r>
              <m:r>
                <m:t>2</m:t>
              </m:r>
            </m:oMath>
            <w:r>
              <w:t xml:space="preserve">),</w:t>
            </w:r>
            <w:r>
              <w:t xml:space="preserve"> </w:t>
            </w:r>
            <w:hyperlink w:anchor="def-multiway-clustering-variance">
              <w:r>
                <w:rPr>
                  <w:rStyle w:val="Hyperlink"/>
                </w:rPr>
                <w:t xml:space="preserve">Definition 9</w:t>
              </w:r>
            </w:hyperlink>
            <w:r>
              <w:t xml:space="preserve"> </w:t>
            </w:r>
            <w:r>
              <w:t xml:space="preserve">reduces to the familiar</w:t>
            </w:r>
            <w:r>
              <w:t xml:space="preserve"> </w:t>
            </w:r>
            <w:r>
              <w:t xml:space="preserve">three-term formula:</w:t>
            </w:r>
          </w:p>
          <w:p>
            <w:pPr>
              <w:pStyle w:val="BodyText"/>
            </w:pPr>
            <m:oMathPara>
              <m:oMathParaPr>
                <m:jc m:val="center"/>
              </m:oMathParaPr>
              <m:oMath>
                <m:sSub>
                  <m:e>
                    <m:r>
                      <m:t>V</m:t>
                    </m:r>
                  </m:e>
                  <m:sub>
                    <m:r>
                      <m:rPr>
                        <m:nor/>
                        <m:sty m:val="p"/>
                      </m:rPr>
                      <m:t>multiway</m:t>
                    </m:r>
                  </m:sub>
                </m:sSub>
                <m:r>
                  <m:rPr>
                    <m:sty m:val="p"/>
                  </m:rPr>
                  <m:t>=</m:t>
                </m:r>
                <m:sSub>
                  <m:e>
                    <m:r>
                      <m:t>V</m:t>
                    </m:r>
                  </m:e>
                  <m:sub>
                    <m:r>
                      <m:t>1</m:t>
                    </m:r>
                  </m:sub>
                </m:sSub>
                <m:r>
                  <m:rPr>
                    <m:sty m:val="p"/>
                  </m:rPr>
                  <m:t>+</m:t>
                </m:r>
                <m:sSub>
                  <m:e>
                    <m:r>
                      <m:t>V</m:t>
                    </m:r>
                  </m:e>
                  <m:sub>
                    <m:r>
                      <m:t>2</m:t>
                    </m:r>
                  </m:sub>
                </m:sSub>
                <m:r>
                  <m:rPr>
                    <m:sty m:val="p"/>
                  </m:rPr>
                  <m:t>−</m:t>
                </m:r>
                <m:sSub>
                  <m:e>
                    <m:r>
                      <m:t>V</m:t>
                    </m:r>
                  </m:e>
                  <m:sub>
                    <m:r>
                      <m:t>1</m:t>
                    </m:r>
                    <m:r>
                      <m:rPr>
                        <m:sty m:val="p"/>
                      </m:rPr>
                      <m:t>∩</m:t>
                    </m:r>
                    <m:r>
                      <m:t>2</m:t>
                    </m:r>
                  </m:sub>
                </m:sSub>
              </m:oMath>
            </m:oMathPara>
          </w:p>
          <w:p>
            <w:pPr>
              <w:pStyle w:val="FirstParagraph"/>
            </w:pPr>
            <w:r>
              <w:t xml:space="preserve">where</w:t>
            </w:r>
            <w:r>
              <w:t xml:space="preserve"> </w:t>
            </w:r>
            <m:oMath>
              <m:sSub>
                <m:e>
                  <m:r>
                    <m:t>V</m:t>
                  </m:r>
                </m:e>
                <m:sub>
                  <m:r>
                    <m:t>1</m:t>
                  </m:r>
                </m:sub>
              </m:sSub>
            </m:oMath>
            <w:r>
              <w:t xml:space="preserve"> </w:t>
            </w:r>
            <w:r>
              <w:t xml:space="preserve">and</w:t>
            </w:r>
            <w:r>
              <w:t xml:space="preserve"> </w:t>
            </w:r>
            <m:oMath>
              <m:sSub>
                <m:e>
                  <m:r>
                    <m:t>V</m:t>
                  </m:r>
                </m:e>
                <m:sub>
                  <m:r>
                    <m:t>2</m:t>
                  </m:r>
                </m:sub>
              </m:sSub>
            </m:oMath>
            <w:r>
              <w:t xml:space="preserve"> </w:t>
            </w:r>
            <w:r>
              <w:t xml:space="preserve">cluster on each variable separately,</w:t>
            </w:r>
            <w:r>
              <w:t xml:space="preserve"> </w:t>
            </w:r>
            <w:r>
              <w:t xml:space="preserve">and</w:t>
            </w:r>
            <w:r>
              <w:t xml:space="preserve"> </w:t>
            </w:r>
            <m:oMath>
              <m:sSub>
                <m:e>
                  <m:r>
                    <m:t>V</m:t>
                  </m:r>
                </m:e>
                <m:sub>
                  <m:r>
                    <m:t>1</m:t>
                  </m:r>
                  <m:r>
                    <m:rPr>
                      <m:sty m:val="p"/>
                    </m:rPr>
                    <m:t>∩</m:t>
                  </m:r>
                  <m:r>
                    <m:t>2</m:t>
                  </m:r>
                </m:sub>
              </m:sSub>
            </m:oMath>
            <w:r>
              <w:t xml:space="preserve"> </w:t>
            </w:r>
            <w:r>
              <w:t xml:space="preserve">clusters on their interaction,</w:t>
            </w:r>
            <w:r>
              <w:t xml:space="preserve"> </w:t>
            </w:r>
            <w:r>
              <w:t xml:space="preserve">the most granular grouping.</w:t>
            </w:r>
          </w:p>
          <w:bookmarkEnd w:id="90"/>
          <w:p/>
        </w:tc>
      </w:tr>
    </w:tbl>
    <w:bookmarkEnd w:id="91"/>
    <w:bookmarkStart w:id="94" w:name="small-sample-correction"/>
    <w:p>
      <w:pPr>
        <w:pStyle w:val="Heading3"/>
      </w:pPr>
      <w:r>
        <w:t xml:space="preserve">4.16.4 Small-sample correction</w:t>
      </w:r>
    </w:p>
    <w:p>
      <w:pPr>
        <w:pStyle w:val="FirstParagraph"/>
      </w:pPr>
      <w:r>
        <w:t xml:space="preserve">Two adjustments refine the one-way variance terms</w:t>
      </w:r>
      <w:r>
        <w:t xml:space="preserve"> </w:t>
      </w:r>
      <m:oMath>
        <m:sSub>
          <m:e>
            <m:r>
              <m:t>V</m:t>
            </m:r>
          </m:e>
          <m:sub>
            <m:r>
              <m:t>S</m:t>
            </m:r>
          </m:sub>
        </m:sSub>
      </m:oMath>
      <w:r>
        <w:t xml:space="preserve"> </w:t>
      </w:r>
      <w:r>
        <w:t xml:space="preserve">that feed</w:t>
      </w:r>
      <w:r>
        <w:t xml:space="preserve"> </w:t>
      </w:r>
      <w:hyperlink w:anchor="def-multiway-clustering-variance">
        <w:r>
          <w:rPr>
            <w:rStyle w:val="Hyperlink"/>
          </w:rPr>
          <w:t xml:space="preserve">Definition 9</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(Finite-difference score approximation)</w:t>
            </w:r>
          </w:p>
          <w:bookmarkStart w:id="92" w:name="def-finite-difference-score"/>
          <w:p>
            <w:pPr>
              <w:pStyle w:val="BodyText"/>
            </w:pPr>
            <w:r>
              <w:rPr>
                <w:b/>
                <w:bCs/>
              </w:rPr>
              <w:t xml:space="preserve">Definition 10 (Finite-difference score approximation)</w:t>
            </w:r>
            <w:r>
              <w:t xml:space="preserve"> </w:t>
            </w:r>
            <w:r>
              <w:rPr>
                <w:rStyle w:val="VerbatimChar"/>
              </w:rPr>
              <w:t xml:space="preserve">serocalculator</w:t>
            </w:r>
            <w:r>
              <w:t xml:space="preserve"> </w:t>
            </w:r>
            <w:r>
              <w:t xml:space="preserve">approximates each cluster’s score contribution</w:t>
            </w:r>
            <w:r>
              <w:t xml:space="preserve"> </w:t>
            </w:r>
            <m:oMath>
              <m:sSub>
                <m:e>
                  <m:r>
                    <m:t>U</m:t>
                  </m:r>
                </m:e>
                <m:sub>
                  <m:r>
                    <m:t>c</m:t>
                  </m:r>
                </m:sub>
              </m:sSub>
            </m:oMath>
            <w:r>
              <w:t xml:space="preserve"> </w:t>
            </w:r>
            <w:r>
              <w:t xml:space="preserve">(</w:t>
            </w:r>
            <w:hyperlink w:anchor="def-cluster-robust-variance">
              <w:r>
                <w:rPr>
                  <w:rStyle w:val="Hyperlink"/>
                </w:rPr>
                <w:t xml:space="preserve">Definition 8</w:t>
              </w:r>
            </w:hyperlink>
            <w:r>
              <w:t xml:space="preserve">) by a forward finite difference of the</w:t>
            </w:r>
            <w:r>
              <w:t xml:space="preserve"> </w:t>
            </w:r>
            <w:r>
              <w:t xml:space="preserve">cluster’s log-likelihood,</w:t>
            </w:r>
            <w:r>
              <w:t xml:space="preserve"> </w:t>
            </w:r>
            <m:oMath>
              <m:sSub>
                <m:e>
                  <m:r>
                    <m:t>ℓ</m:t>
                  </m:r>
                </m:e>
                <m:sub>
                  <m:r>
                    <m:t>c</m:t>
                  </m:r>
                </m:sub>
              </m:sSub>
              <m:r>
                <m:rPr>
                  <m:sty m:val="p"/>
                </m:rPr>
                <m:t>(</m:t>
              </m:r>
              <m:r>
                <m:t>λ</m:t>
              </m:r>
              <m:r>
                <m:rPr>
                  <m:sty m:val="p"/>
                </m:rPr>
                <m:t>)</m:t>
              </m:r>
              <m:r>
                <m:rPr>
                  <m:sty m:val="p"/>
                </m:rPr>
                <m:t>=</m:t>
              </m:r>
              <m:nary>
                <m:naryPr>
                  <m:chr m:val="∑"/>
                  <m:limLoc m:val="undOvr"/>
                  <m:subHide m:val="off"/>
                  <m:supHide m:val="on"/>
                </m:naryPr>
                <m:sub>
                  <m:r>
                    <m:t>i</m:t>
                  </m:r>
                  <m:r>
                    <m:rPr>
                      <m:sty m:val="p"/>
                    </m:rPr>
                    <m:t>∈</m:t>
                  </m:r>
                  <m:r>
                    <m:t>c</m:t>
                  </m:r>
                </m:sub>
                <m:sup>
                  <m:r>
                    <m:t>​</m:t>
                  </m:r>
                </m:sup>
                <m:e>
                  <m:r>
                    <m:rPr>
                      <m:sty m:val="p"/>
                    </m:rPr>
                    <m:t>log</m:t>
                  </m:r>
                </m:e>
              </m:nary>
              <m:r>
                <m:t>p</m:t>
              </m:r>
              <m:r>
                <m:rPr>
                  <m:sty m:val="p"/>
                </m:rPr>
                <m:t>(</m:t>
              </m:r>
              <m:sSub>
                <m:e>
                  <m:r>
                    <m:t>Y</m:t>
                  </m:r>
                </m:e>
                <m:sub>
                  <m:r>
                    <m:t>i</m:t>
                  </m:r>
                </m:sub>
              </m:sSub>
              <m:r>
                <m:rPr>
                  <m:sty m:val="p"/>
                </m:rPr>
                <m:t>∣</m:t>
              </m:r>
              <m:r>
                <m:t>λ</m:t>
              </m:r>
              <m:r>
                <m:rPr>
                  <m:sty m:val="p"/>
                </m:rPr>
                <m:t>)</m:t>
              </m:r>
            </m:oMath>
            <w:r>
              <w:t xml:space="preserve">:</w:t>
            </w:r>
          </w:p>
          <w:p>
            <w:pPr>
              <w:pStyle w:val="BodyText"/>
            </w:pPr>
            <m:oMathPara>
              <m:oMathParaPr>
                <m:jc m:val="center"/>
              </m:oMathParaPr>
              <m:oMath>
                <m:sSub>
                  <m:e>
                    <m:r>
                      <m:t>U</m:t>
                    </m:r>
                  </m:e>
                  <m:sub>
                    <m:r>
                      <m:t>c</m:t>
                    </m:r>
                  </m:sub>
                </m:sSub>
                <m:r>
                  <m:rPr>
                    <m:sty m:val="p"/>
                  </m:rPr>
                  <m:t>≈</m:t>
                </m:r>
                <m:f>
                  <m:fPr>
                    <m:type m:val="bar"/>
                  </m:fPr>
                  <m:num>
                    <m:sSub>
                      <m:e>
                        <m:r>
                          <m:t>ℓ</m:t>
                        </m:r>
                      </m:e>
                      <m:sub>
                        <m:r>
                          <m:t>c</m:t>
                        </m:r>
                      </m:sub>
                    </m:sSub>
                    <m:r>
                      <m:rPr>
                        <m:sty m:val="p"/>
                      </m:rPr>
                      <m:t>(</m:t>
                    </m:r>
                    <m:acc>
                      <m:accPr>
                        <m:chr m:val="̂"/>
                      </m:accPr>
                      <m:e>
                        <m:r>
                          <m:t>λ</m:t>
                        </m:r>
                      </m:e>
                    </m:acc>
                    <m:r>
                      <m:rPr>
                        <m:sty m:val="p"/>
                      </m:rPr>
                      <m:t>+</m:t>
                    </m:r>
                    <m:r>
                      <m:t>ϵ</m:t>
                    </m:r>
                    <m:r>
                      <m:rPr>
                        <m:sty m:val="p"/>
                      </m:rPr>
                      <m:t>)</m:t>
                    </m:r>
                    <m:r>
                      <m:rPr>
                        <m:sty m:val="p"/>
                      </m:rPr>
                      <m:t>−</m:t>
                    </m:r>
                    <m:sSub>
                      <m:e>
                        <m:r>
                          <m:t>ℓ</m:t>
                        </m:r>
                      </m:e>
                      <m:sub>
                        <m:r>
                          <m:t>c</m:t>
                        </m:r>
                      </m:sub>
                    </m:sSub>
                    <m:r>
                      <m:rPr>
                        <m:sty m:val="p"/>
                      </m:rPr>
                      <m:t>(</m:t>
                    </m:r>
                    <m:acc>
                      <m:accPr>
                        <m:chr m:val="̂"/>
                      </m:accPr>
                      <m:e>
                        <m:r>
                          <m:t>λ</m:t>
                        </m:r>
                      </m:e>
                    </m:acc>
                    <m:r>
                      <m:rPr>
                        <m:sty m:val="p"/>
                      </m:rPr>
                      <m:t>)</m:t>
                    </m:r>
                  </m:num>
                  <m:den>
                    <m:r>
                      <m:t>ϵ</m:t>
                    </m:r>
                  </m:den>
                </m:f>
                <m:r>
                  <m:rPr>
                    <m:sty m:val="p"/>
                  </m:rPr>
                  <m:t>,</m:t>
                </m:r>
                <m:r>
                  <m:t> </m:t>
                </m:r>
                <m:r>
                  <m:t>ϵ</m:t>
                </m:r>
                <m:r>
                  <m:rPr>
                    <m:sty m:val="p"/>
                  </m:rPr>
                  <m:t>=</m:t>
                </m:r>
                <m:sSup>
                  <m:e>
                    <m:r>
                      <m:t>10</m:t>
                    </m:r>
                  </m:e>
                  <m:sup>
                    <m:r>
                      <m:rPr>
                        <m:sty m:val="p"/>
                      </m:rPr>
                      <m:t>−</m:t>
                    </m:r>
                    <m:r>
                      <m:t>6</m:t>
                    </m:r>
                  </m:sup>
                </m:sSup>
              </m:oMath>
            </m:oMathPara>
          </w:p>
          <w:bookmarkEnd w:id="92"/>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(CR1 small-sample correction)</w:t>
            </w:r>
          </w:p>
          <w:bookmarkStart w:id="93" w:name="def-cr1-correction"/>
          <w:p>
            <w:pPr>
              <w:pStyle w:val="BodyText"/>
            </w:pPr>
            <w:r>
              <w:rPr>
                <w:b/>
                <w:bCs/>
              </w:rPr>
              <w:t xml:space="preserve">Definition 11 (CR1 small-sample correction)</w:t>
            </w:r>
            <w:r>
              <w:t xml:space="preserve"> </w:t>
            </w:r>
            <w:r>
              <w:t xml:space="preserve">When</w:t>
            </w:r>
            <w:r>
              <w:t xml:space="preserve"> </w:t>
            </w:r>
            <w:r>
              <w:rPr>
                <w:rStyle w:val="VerbatimChar"/>
              </w:rPr>
              <w:t xml:space="preserve">small_sample = "CR1"</w:t>
            </w:r>
            <w:r>
              <w:t xml:space="preserve"> </w:t>
            </w:r>
            <w:r>
              <w:t xml:space="preserve">(the default),</w:t>
            </w:r>
            <w:r>
              <w:t xml:space="preserve"> </w:t>
            </w:r>
            <w:r>
              <w:t xml:space="preserve">each one-way subset variance</w:t>
            </w:r>
            <w:r>
              <w:t xml:space="preserve"> </w:t>
            </w:r>
            <m:oMath>
              <m:sSub>
                <m:e>
                  <m:r>
                    <m:t>V</m:t>
                  </m:r>
                </m:e>
                <m:sub>
                  <m:r>
                    <m:t>S</m:t>
                  </m:r>
                </m:sub>
              </m:sSub>
            </m:oMath>
            <w:r>
              <w:t xml:space="preserve"> </w:t>
            </w:r>
            <w:r>
              <w:t xml:space="preserve">(</w:t>
            </w:r>
            <w:hyperlink w:anchor="def-multiway-clustering-variance">
              <w:r>
                <w:rPr>
                  <w:rStyle w:val="Hyperlink"/>
                </w:rPr>
                <w:t xml:space="preserve">Definition 9</w:t>
              </w:r>
            </w:hyperlink>
            <w:r>
              <w:t xml:space="preserve">)</w:t>
            </w:r>
            <w:r>
              <w:t xml:space="preserve"> </w:t>
            </w:r>
            <w:r>
              <w:t xml:space="preserve">is inflated by the usual cluster degrees-of-freedom correction:</w:t>
            </w:r>
          </w:p>
          <w:p>
            <w:pPr>
              <w:pStyle w:val="BodyText"/>
            </w:pPr>
            <m:oMathPara>
              <m:oMathParaPr>
                <m:jc m:val="center"/>
              </m:oMathParaPr>
              <m:oMath>
                <m:sSubSup>
                  <m:e>
                    <m:r>
                      <m:t>V</m:t>
                    </m:r>
                  </m:e>
                  <m:sub>
                    <m:r>
                      <m:t>S</m:t>
                    </m:r>
                  </m:sub>
                  <m:sup>
                    <m:r>
                      <m:rPr>
                        <m:nor/>
                        <m:sty m:val="p"/>
                      </m:rPr>
                      <m:t>CR1</m:t>
                    </m:r>
                  </m:sup>
                </m:sSubSup>
                <m:r>
                  <m:rPr>
                    <m:sty m:val="p"/>
                  </m:rPr>
                  <m:t>=</m:t>
                </m:r>
                <m:f>
                  <m:fPr>
                    <m:type m:val="bar"/>
                  </m:fPr>
                  <m:num>
                    <m:sSub>
                      <m:e>
                        <m:r>
                          <m:t>G</m:t>
                        </m:r>
                      </m:e>
                      <m:sub>
                        <m:r>
                          <m:t>S</m:t>
                        </m:r>
                      </m:sub>
                    </m:sSub>
                  </m:num>
                  <m:den>
                    <m:sSub>
                      <m:e>
                        <m:r>
                          <m:t>G</m:t>
                        </m:r>
                      </m:e>
                      <m:sub>
                        <m:r>
                          <m:t>S</m:t>
                        </m:r>
                      </m:sub>
                    </m:sSub>
                    <m:r>
                      <m:rPr>
                        <m:sty m:val="p"/>
                      </m:rPr>
                      <m:t>−</m:t>
                    </m:r>
                    <m:r>
                      <m:t>1</m:t>
                    </m:r>
                  </m:den>
                </m:f>
                <m:r>
                  <m:t> </m:t>
                </m:r>
                <m:sSub>
                  <m:e>
                    <m:r>
                      <m:t>V</m:t>
                    </m:r>
                  </m:e>
                  <m:sub>
                    <m:r>
                      <m:t>S</m:t>
                    </m:r>
                  </m:sub>
                </m:sSub>
              </m:oMath>
            </m:oMathPara>
          </w:p>
          <w:p>
            <w:pPr>
              <w:pStyle w:val="FirstParagraph"/>
            </w:pPr>
            <w:r>
              <w:t xml:space="preserve">where</w:t>
            </w:r>
            <w:r>
              <w:t xml:space="preserve"> </w:t>
            </w:r>
            <m:oMath>
              <m:sSub>
                <m:e>
                  <m:r>
                    <m:t>G</m:t>
                  </m:r>
                </m:e>
                <m:sub>
                  <m:r>
                    <m:t>S</m:t>
                  </m:r>
                </m:sub>
              </m:sSub>
            </m:oMath>
            <w:r>
              <w:t xml:space="preserve"> </w:t>
            </w:r>
            <w:r>
              <w:t xml:space="preserve">is the number of unique clusters in subset</w:t>
            </w:r>
            <w:r>
              <w:t xml:space="preserve"> </w:t>
            </w:r>
            <m:oMath>
              <m:r>
                <m:t>S</m:t>
              </m:r>
            </m:oMath>
            <w:r>
              <w:t xml:space="preserve">’s grouping.</w:t>
            </w:r>
          </w:p>
          <w:bookmarkEnd w:id="93"/>
        </w:tc>
      </w:tr>
    </w:tbl>
    <w:bookmarkEnd w:id="94"/>
    <w:bookmarkStart w:id="96" w:name="safeguards-against-invalid-variance"/>
    <w:p>
      <w:pPr>
        <w:pStyle w:val="Heading3"/>
      </w:pPr>
      <w:r>
        <w:t xml:space="preserve">4.16.5 Safeguards against invalid variance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(Flooring and fallback for the final variance)</w:t>
            </w:r>
          </w:p>
          <w:bookmarkStart w:id="95" w:name="def-variance-safeguards"/>
          <w:p>
            <w:pPr>
              <w:pStyle w:val="BodyText"/>
            </w:pPr>
            <w:r>
              <w:rPr>
                <w:b/>
                <w:bCs/>
              </w:rPr>
              <w:t xml:space="preserve">Definition 12 (Flooring and fallback for the final variance)</w:t>
            </w:r>
            <w:r>
              <w:t xml:space="preserve"> </w:t>
            </w:r>
            <w:r>
              <w:t xml:space="preserve">The inclusion-exclusion sum</w:t>
            </w:r>
            <w:r>
              <w:t xml:space="preserve"> </w:t>
            </w:r>
            <m:oMath>
              <m:sSub>
                <m:e>
                  <m:r>
                    <m:t>V</m:t>
                  </m:r>
                </m:e>
                <m:sub>
                  <m:r>
                    <m:rPr>
                      <m:nor/>
                      <m:sty m:val="p"/>
                    </m:rPr>
                    <m:t>multiway</m:t>
                  </m:r>
                </m:sub>
              </m:sSub>
            </m:oMath>
            <w:r>
              <w:t xml:space="preserve"> </w:t>
            </w:r>
            <w:r>
              <w:t xml:space="preserve">(</w:t>
            </w:r>
            <w:hyperlink w:anchor="def-multiway-clustering-variance">
              <w:r>
                <w:rPr>
                  <w:rStyle w:val="Hyperlink"/>
                </w:rPr>
                <w:t xml:space="preserve">Definition 9</w:t>
              </w:r>
            </w:hyperlink>
            <w:r>
              <w:t xml:space="preserve">)</w:t>
            </w:r>
            <w:r>
              <w:t xml:space="preserve"> </w:t>
            </w:r>
            <w:r>
              <w:t xml:space="preserve">is not guaranteed to be non-negative.</w:t>
            </w:r>
            <w:r>
              <w:t xml:space="preserve"> </w:t>
            </w:r>
            <w:r>
              <w:rPr>
                <w:rStyle w:val="VerbatimChar"/>
              </w:rPr>
              <w:t xml:space="preserve">serocalculator</w:t>
            </w:r>
            <w:r>
              <w:t xml:space="preserve"> </w:t>
            </w:r>
            <w:r>
              <w:t xml:space="preserve">therefore floors the raw estimate at 0</w:t>
            </w:r>
            <w:r>
              <w:t xml:space="preserve"> </w:t>
            </w:r>
            <w:r>
              <w:t xml:space="preserve">(emitting a warning), independent of</w:t>
            </w:r>
            <w:r>
              <w:t xml:space="preserve"> </w:t>
            </w:r>
            <w:r>
              <w:rPr>
                <w:rStyle w:val="VerbatimChar"/>
              </w:rPr>
              <w:t xml:space="preserve">floor_to_standard</w:t>
            </w:r>
            <w:r>
              <w:t xml:space="preserve">,</w:t>
            </w:r>
            <w:r>
              <w:t xml:space="preserve"> </w:t>
            </w:r>
            <w:r>
              <w:t xml:space="preserve">before it can reach</w:t>
            </w:r>
            <w:r>
              <w:t xml:space="preserve"> </w:t>
            </w:r>
            <m:oMath>
              <m:rad>
                <m:radPr>
                  <m:degHide m:val="on"/>
                </m:radPr>
                <m:deg/>
                <m:e>
                  <m:r>
                    <m:t>V</m:t>
                  </m:r>
                </m:e>
              </m:rad>
            </m:oMath>
            <w:r>
              <w:t xml:space="preserve"> </w:t>
            </w:r>
            <w:r>
              <w:t xml:space="preserve">as a silent</w:t>
            </w:r>
            <w:r>
              <w:t xml:space="preserve"> </w:t>
            </w:r>
            <w:r>
              <w:rPr>
                <w:rStyle w:val="VerbatimChar"/>
              </w:rPr>
              <w:t xml:space="preserve">NaN</w:t>
            </w:r>
            <w:r>
              <w:t xml:space="preserve">:</w:t>
            </w:r>
          </w:p>
          <w:p>
            <w:pPr>
              <w:pStyle w:val="BodyText"/>
            </w:pPr>
            <m:oMathPara>
              <m:oMathParaPr>
                <m:jc m:val="center"/>
              </m:oMathParaPr>
              <m:oMath>
                <m:sSubSup>
                  <m:e>
                    <m:r>
                      <m:t>V</m:t>
                    </m:r>
                  </m:e>
                  <m:sub>
                    <m:r>
                      <m:rPr>
                        <m:nor/>
                        <m:sty m:val="p"/>
                      </m:rPr>
                      <m:t>raw</m:t>
                    </m:r>
                  </m:sub>
                  <m:sup>
                    <m:r>
                      <m:rPr>
                        <m:sty m:val="p"/>
                      </m:rPr>
                      <m:t>+</m:t>
                    </m:r>
                  </m:sup>
                </m:sSubSup>
                <m:r>
                  <m:rPr>
                    <m:sty m:val="p"/>
                  </m:rPr>
                  <m:t>=</m:t>
                </m:r>
                <m:r>
                  <m:rPr>
                    <m:sty m:val="p"/>
                  </m:rPr>
                  <m:t>max</m:t>
                </m:r>
                <m:r>
                  <m:t>​</m:t>
                </m:r>
                <m:d>
                  <m:dPr>
                    <m:begChr m:val="("/>
                    <m:sepChr m:val=""/>
                    <m:endChr m:val=")"/>
                    <m:grow/>
                  </m:dPr>
                  <m:e>
                    <m:r>
                      <m:t>0</m:t>
                    </m:r>
                    <m:r>
                      <m:rPr>
                        <m:sty m:val="p"/>
                      </m:rPr>
                      <m:t>,</m:t>
                    </m:r>
                    <m:sSub>
                      <m:e>
                        <m:r>
                          <m:t>V</m:t>
                        </m:r>
                      </m:e>
                      <m:sub>
                        <m:r>
                          <m:rPr>
                            <m:nor/>
                            <m:sty m:val="p"/>
                          </m:rPr>
                          <m:t>multiway</m:t>
                        </m:r>
                      </m:sub>
                    </m:sSub>
                  </m:e>
                </m:d>
                <m:r>
                  <m:t>​</m:t>
                </m:r>
              </m:oMath>
            </m:oMathPara>
          </w:p>
          <w:p>
            <w:pPr>
              <w:pStyle w:val="FirstParagraph"/>
            </w:pPr>
            <w:r>
              <w:t xml:space="preserve">Setting</w:t>
            </w:r>
            <w:r>
              <w:t xml:space="preserve"> </w:t>
            </w:r>
            <w:r>
              <w:rPr>
                <w:rStyle w:val="VerbatimChar"/>
              </w:rPr>
              <w:t xml:space="preserve">floor_to_standard = TRUE</w:t>
            </w:r>
            <w:r>
              <w:t xml:space="preserve"> </w:t>
            </w:r>
            <w:r>
              <w:t xml:space="preserve">additionally floors the result</w:t>
            </w:r>
            <w:r>
              <w:t xml:space="preserve"> </w:t>
            </w:r>
            <w:r>
              <w:t xml:space="preserve">at the model-based (non-cluster-robust) variance</w:t>
            </w:r>
            <w:r>
              <w:t xml:space="preserve"> </w:t>
            </w:r>
            <m:oMath>
              <m:sSub>
                <m:e>
                  <m:r>
                    <m:t>V</m:t>
                  </m:r>
                </m:e>
                <m:sub>
                  <m:r>
                    <m:rPr>
                      <m:nor/>
                      <m:sty m:val="p"/>
                    </m:rPr>
                    <m:t>standard</m:t>
                  </m:r>
                </m:sub>
              </m:sSub>
              <m:r>
                <m:rPr>
                  <m:sty m:val="p"/>
                </m:rPr>
                <m:t>=</m:t>
              </m:r>
              <m:sSup>
                <m:e>
                  <m:r>
                    <m:t>H</m:t>
                  </m:r>
                </m:e>
                <m:sup>
                  <m:r>
                    <m:rPr>
                      <m:sty m:val="p"/>
                    </m:rPr>
                    <m:t>−</m:t>
                  </m:r>
                  <m:r>
                    <m:t>1</m:t>
                  </m:r>
                </m:sup>
              </m:sSup>
            </m:oMath>
            <w:r>
              <w:t xml:space="preserve">,</w:t>
            </w:r>
            <w:r>
              <w:t xml:space="preserve"> </w:t>
            </w:r>
            <w:r>
              <w:t xml:space="preserve">the inverse of the observed information at the MLE:</w:t>
            </w:r>
          </w:p>
          <w:p>
            <w:pPr>
              <w:pStyle w:val="BodyText"/>
            </w:pPr>
            <m:oMathPara>
              <m:oMathParaPr>
                <m:jc m:val="center"/>
              </m:oMathParaPr>
              <m:oMath>
                <m:sSub>
                  <m:e>
                    <m:r>
                      <m:t>V</m:t>
                    </m:r>
                  </m:e>
                  <m:sub>
                    <m:r>
                      <m:rPr>
                        <m:nor/>
                        <m:sty m:val="p"/>
                      </m:rPr>
                      <m:t>final</m:t>
                    </m:r>
                  </m:sub>
                </m:sSub>
                <m:r>
                  <m:rPr>
                    <m:sty m:val="p"/>
                  </m:rPr>
                  <m:t>=</m:t>
                </m:r>
                <m:r>
                  <m:rPr>
                    <m:sty m:val="p"/>
                  </m:rPr>
                  <m:t>max</m:t>
                </m:r>
                <m:r>
                  <m:t>​</m:t>
                </m:r>
                <m:d>
                  <m:dPr>
                    <m:begChr m:val="("/>
                    <m:sepChr m:val=""/>
                    <m:endChr m:val=")"/>
                    <m:grow/>
                  </m:dPr>
                  <m:e>
                    <m:sSub>
                      <m:e>
                        <m:r>
                          <m:t>V</m:t>
                        </m:r>
                      </m:e>
                      <m:sub>
                        <m:r>
                          <m:rPr>
                            <m:nor/>
                            <m:sty m:val="p"/>
                          </m:rPr>
                          <m:t>standard</m:t>
                        </m:r>
                      </m:sub>
                    </m:sSub>
                    <m:r>
                      <m:rPr>
                        <m:sty m:val="p"/>
                      </m:rPr>
                      <m:t>,</m:t>
                    </m:r>
                    <m:sSubSup>
                      <m:e>
                        <m:r>
                          <m:t>V</m:t>
                        </m:r>
                      </m:e>
                      <m:sub>
                        <m:r>
                          <m:rPr>
                            <m:nor/>
                            <m:sty m:val="p"/>
                          </m:rPr>
                          <m:t>raw</m:t>
                        </m:r>
                      </m:sub>
                      <m:sup>
                        <m:r>
                          <m:rPr>
                            <m:sty m:val="p"/>
                          </m:rPr>
                          <m:t>+</m:t>
                        </m:r>
                      </m:sup>
                    </m:sSubSup>
                  </m:e>
                </m:d>
                <m:r>
                  <m:t>​</m:t>
                </m:r>
              </m:oMath>
            </m:oMathPara>
          </w:p>
          <w:p>
            <w:pPr>
              <w:pStyle w:val="FirstParagraph"/>
            </w:pPr>
            <w:r>
              <w:t xml:space="preserve">If any one-way subset term is unavailable,</w:t>
            </w:r>
            <w:r>
              <w:t xml:space="preserve"> </w:t>
            </w:r>
            <w:r>
              <w:t xml:space="preserve">for example because its Hessian is non-finite or non-positive,</w:t>
            </w:r>
            <w:r>
              <w:t xml:space="preserve"> </w:t>
            </w:r>
            <w:r>
              <w:t xml:space="preserve">the inclusion-exclusion sum is itself non-finite.</w:t>
            </w:r>
            <w:r>
              <w:t xml:space="preserve"> </w:t>
            </w:r>
            <w:r>
              <w:rPr>
                <w:rStyle w:val="VerbatimChar"/>
              </w:rPr>
              <w:t xml:space="preserve">serocalculator</w:t>
            </w:r>
            <w:r>
              <w:t xml:space="preserve"> </w:t>
            </w:r>
            <w:r>
              <w:t xml:space="preserve">warns and returns a missing standard error in that case.</w:t>
            </w:r>
            <w:r>
              <w:t xml:space="preserve"> </w:t>
            </w:r>
            <w:r>
              <w:t xml:space="preserve">With</w:t>
            </w:r>
            <w:r>
              <w:t xml:space="preserve"> </w:t>
            </w:r>
            <w:r>
              <w:rPr>
                <w:rStyle w:val="VerbatimChar"/>
              </w:rPr>
              <w:t xml:space="preserve">floor_to_standard = TRUE</w:t>
            </w:r>
            <w:r>
              <w:t xml:space="preserve"> </w:t>
            </w:r>
            <w:r>
              <w:t xml:space="preserve">it falls back to</w:t>
            </w:r>
            <w:r>
              <w:t xml:space="preserve"> </w:t>
            </w:r>
            <m:oMath>
              <m:sSub>
                <m:e>
                  <m:r>
                    <m:t>V</m:t>
                  </m:r>
                </m:e>
                <m:sub>
                  <m:r>
                    <m:rPr>
                      <m:nor/>
                      <m:sty m:val="p"/>
                    </m:rPr>
                    <m:t>standard</m:t>
                  </m:r>
                </m:sub>
              </m:sSub>
            </m:oMath>
            <w:r>
              <w:t xml:space="preserve"> </w:t>
            </w:r>
            <w:r>
              <w:t xml:space="preserve">instead, unless</w:t>
            </w:r>
            <w:r>
              <w:t xml:space="preserve"> </w:t>
            </w:r>
            <m:oMath>
              <m:sSub>
                <m:e>
                  <m:r>
                    <m:t>V</m:t>
                  </m:r>
                </m:e>
                <m:sub>
                  <m:r>
                    <m:rPr>
                      <m:nor/>
                      <m:sty m:val="p"/>
                    </m:rPr>
                    <m:t>standard</m:t>
                  </m:r>
                </m:sub>
              </m:sSub>
            </m:oMath>
            <w:r>
              <w:t xml:space="preserve"> </w:t>
            </w:r>
            <w:r>
              <w:t xml:space="preserve">is itself unusable</w:t>
            </w:r>
            <w:r>
              <w:t xml:space="preserve"> </w:t>
            </w:r>
            <w:r>
              <w:t xml:space="preserve">(the same degenerate Hessian poisons</w:t>
            </w:r>
            <w:r>
              <w:t xml:space="preserve"> </w:t>
            </w:r>
            <m:oMath>
              <m:sSub>
                <m:e>
                  <m:r>
                    <m:t>V</m:t>
                  </m:r>
                </m:e>
                <m:sub>
                  <m:r>
                    <m:rPr>
                      <m:nor/>
                      <m:sty m:val="p"/>
                    </m:rPr>
                    <m:t>standard</m:t>
                  </m:r>
                </m:sub>
              </m:sSub>
              <m:r>
                <m:rPr>
                  <m:sty m:val="p"/>
                </m:rPr>
                <m:t>=</m:t>
              </m:r>
              <m:sSup>
                <m:e>
                  <m:r>
                    <m:t>H</m:t>
                  </m:r>
                </m:e>
                <m:sup>
                  <m:r>
                    <m:rPr>
                      <m:sty m:val="p"/>
                    </m:rPr>
                    <m:t>−</m:t>
                  </m:r>
                  <m:r>
                    <m:t>1</m:t>
                  </m:r>
                </m:sup>
              </m:sSup>
            </m:oMath>
            <w:r>
              <w:t xml:space="preserve"> </w:t>
            </w:r>
            <w:r>
              <w:t xml:space="preserve">too),</w:t>
            </w:r>
            <w:r>
              <w:t xml:space="preserve"> </w:t>
            </w:r>
            <w:r>
              <w:t xml:space="preserve">in which case it also returns a missing standard error</w:t>
            </w:r>
            <w:r>
              <w:t xml:space="preserve"> </w:t>
            </w:r>
            <w:r>
              <w:t xml:space="preserve">rather than silently falling back to a negative or infinite</w:t>
            </w:r>
            <w:r>
              <w:t xml:space="preserve"> </w:t>
            </w:r>
            <w:r>
              <w:t xml:space="preserve">“variance”</w:t>
            </w:r>
            <w:r>
              <w:t xml:space="preserve">.</w:t>
            </w:r>
          </w:p>
          <w:bookmarkEnd w:id="95"/>
        </w:tc>
      </w:tr>
    </w:tbl>
    <w:p>
      <w:pPr>
        <w:pStyle w:val="BodyText"/>
      </w:pPr>
      <w:r>
        <w:t xml:space="preserve">The inclusion-exclusion sum’s occasional negativity is a documented</w:t>
      </w:r>
      <w:r>
        <w:t xml:space="preserve"> </w:t>
      </w:r>
      <w:r>
        <w:t xml:space="preserve">property of the Cameron-Gelbach-Miller estimator, not a bug.</w:t>
      </w:r>
    </w:p>
    <w:bookmarkEnd w:id="96"/>
    <w:bookmarkStart w:id="97" w:name="implementation-in-serocalculator"/>
    <w:p>
      <w:pPr>
        <w:pStyle w:val="Heading3"/>
      </w:pPr>
      <w:r>
        <w:t xml:space="preserve">4.16.6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r>
        <w:t xml:space="preserve"> </w:t>
      </w:r>
      <w:r>
        <w:t xml:space="preserve">The multi-way behavior above is itself controlled through</w:t>
      </w:r>
      <w:r>
        <w:t xml:space="preserve"> </w:t>
      </w:r>
      <w:r>
        <w:rPr>
          <w:rStyle w:val="VerbatimChar"/>
        </w:rPr>
        <w:t xml:space="preserve">summary()</w:t>
      </w:r>
      <w:r>
        <w:t xml:space="preserve">:</w:t>
      </w:r>
    </w:p>
    <w:p>
      <w:pPr>
        <w:pStyle w:val="BodyText"/>
      </w:pPr>
      <w:r>
        <w:t xml:space="preserve">Internally the optimization is parameterized by</w:t>
      </w:r>
      <w:r>
        <w:t xml:space="preserve"> </w:t>
      </w:r>
      <m:oMath>
        <m:r>
          <m:rPr>
            <m:sty m:val="p"/>
          </m:rPr>
          <m:t>log</m:t>
        </m:r>
        <m:r>
          <m:t>λ</m:t>
        </m:r>
      </m:oMath>
      <w:r>
        <w:t xml:space="preserve"> </w:t>
      </w:r>
      <w:r>
        <w:t xml:space="preserve">rather</w:t>
      </w:r>
      <w:r>
        <w:t xml:space="preserve"> </w:t>
      </w:r>
      <w:r>
        <w:t xml:space="preserve">than</w:t>
      </w:r>
      <w:r>
        <w:t xml:space="preserve"> </w:t>
      </w:r>
      <m:oMath>
        <m:r>
          <m:t>λ</m:t>
        </m:r>
      </m:oMath>
      <w:r>
        <w:t xml:space="preserve">, which keeps the estimate positive, so the sandwich</w:t>
      </w:r>
      <w:r>
        <w:t xml:space="preserve"> </w:t>
      </w:r>
      <w:r>
        <w:t xml:space="preserve">above is evaluated on that scale and</w:t>
      </w:r>
      <w:r>
        <w:t xml:space="preserve"> </w:t>
      </w:r>
      <w:r>
        <w:rPr>
          <w:rStyle w:val="VerbatimChar"/>
        </w:rPr>
        <w:t xml:space="preserve">summary()</w:t>
      </w:r>
      <w:r>
        <w:t xml:space="preserve"> </w:t>
      </w:r>
      <w:r>
        <w:t xml:space="preserve">converts the result</w:t>
      </w:r>
      <w:r>
        <w:t xml:space="preserve"> </w:t>
      </w:r>
      <w:r>
        <w:t xml:space="preserve">back with the delta method</w:t>
      </w:r>
      <w:r>
        <w:t xml:space="preserve"> </w:t>
      </w:r>
      <w:r>
        <w:t xml:space="preserve">(</w:t>
      </w:r>
      <m:oMath>
        <m:r>
          <m:rPr>
            <m:sty m:val="p"/>
          </m:rPr>
          <m:t/>
        </m:r>
        <m:r>
          <m:t>​</m:t>
        </m:r>
        <m:d>
          <m:dPr>
            <m:begChr m:val="("/>
            <m:sepChr m:val=""/>
            <m:endChr m:val=")"/>
            <m:grow/>
          </m:dPr>
          <m:e>
            <m:acc>
              <m:accPr>
                <m:chr m:val="̂"/>
              </m:accPr>
              <m:e>
                <m:r>
                  <m:t>λ</m:t>
                </m:r>
              </m:e>
            </m:acc>
          </m:e>
        </m:d>
        <m:r>
          <m:t>​</m:t>
        </m:r>
        <m:r>
          <m:rPr>
            <m:sty m:val="p"/>
          </m:rPr>
          <m:t>=</m:t>
        </m:r>
        <m:acc>
          <m:accPr>
            <m:chr m:val="̂"/>
          </m:accPr>
          <m:e>
            <m:r>
              <m:t>λ</m:t>
            </m:r>
          </m:e>
        </m:acc>
        <m:r>
          <m:rPr>
            <m:sty m:val="p"/>
          </m:rPr>
          <m:t>⋅</m:t>
        </m:r>
        <m:r>
          <m:rPr>
            <m:sty m:val="p"/>
          </m:rPr>
          <m:t/>
        </m:r>
        <m:r>
          <m:t>​</m:t>
        </m:r>
        <m:d>
          <m:dPr>
            <m:begChr m:val="("/>
            <m:sepChr m:val=""/>
            <m:endChr m:val=")"/>
            <m:grow/>
          </m:dPr>
          <m:e>
            <m:r>
              <m:rPr>
                <m:sty m:val="p"/>
              </m:rPr>
              <m:t>log</m:t>
            </m:r>
            <m:acc>
              <m:accPr>
                <m:chr m:val="̂"/>
              </m:accPr>
              <m:e>
                <m:r>
                  <m:t>λ</m:t>
                </m:r>
              </m:e>
            </m:acc>
          </m:e>
        </m:d>
        <m:r>
          <m:t>​</m:t>
        </m:r>
      </m:oMath>
      <w:r>
        <w:t xml:space="preserve">).</w:t>
      </w:r>
    </w:p>
    <w:bookmarkEnd w:id="97"/>
    <w:bookmarkStart w:id="98" w:name="effect-on-results"/>
    <w:p>
      <w:pPr>
        <w:pStyle w:val="Heading3"/>
      </w:pPr>
      <w:r>
        <w:t xml:space="preserve">4.16.7 Effect on results</w:t>
      </w:r>
    </w:p>
    <w:p>
      <w:pPr>
        <w:pStyle w:val="Compact"/>
        <w:numPr>
          <w:ilvl w:val="0"/>
          <w:numId w:val="1019"/>
        </w:numPr>
      </w:pPr>
      <w:r>
        <w:rPr>
          <w:b/>
          <w:bCs/>
        </w:rPr>
        <w:t xml:space="preserve">Point estimates</w:t>
      </w:r>
      <w:r>
        <w:t xml:space="preserve"> </w:t>
      </w:r>
      <w:r>
        <w:t xml:space="preserve">(incidence rates) are unchanged:</w:t>
      </w:r>
      <w:r>
        <w:t xml:space="preserve"> </w:t>
      </w:r>
      <w:r>
        <w:rPr>
          <w:rStyle w:val="VerbatimChar"/>
        </w:rPr>
        <w:t xml:space="preserve">cluster_var</w:t>
      </w:r>
      <w:r>
        <w:t xml:space="preserve"> </w:t>
      </w:r>
      <w:r>
        <w:t xml:space="preserve">affects only the variance, not the likelihood being maximized</w:t>
      </w:r>
    </w:p>
    <w:p>
      <w:pPr>
        <w:pStyle w:val="Compact"/>
        <w:numPr>
          <w:ilvl w:val="0"/>
          <w:numId w:val="1019"/>
        </w:numPr>
      </w:pPr>
      <w:r>
        <w:rPr>
          <w:b/>
          <w:bCs/>
        </w:rPr>
        <w:t xml:space="preserve">Standard errors</w:t>
      </w:r>
      <w:r>
        <w:t xml:space="preserve"> </w:t>
      </w:r>
      <w:r>
        <w:t xml:space="preserve">usually increase, reflecting within-cluster correlation</w:t>
      </w:r>
    </w:p>
    <w:p>
      <w:pPr>
        <w:pStyle w:val="Compact"/>
        <w:numPr>
          <w:ilvl w:val="0"/>
          <w:numId w:val="1019"/>
        </w:numPr>
      </w:pPr>
      <w:r>
        <w:rPr>
          <w:b/>
          <w:bCs/>
        </w:rPr>
        <w:t xml:space="preserve">Confidence intervals</w:t>
      </w:r>
      <w:r>
        <w:t xml:space="preserve"> </w:t>
      </w:r>
      <w:r>
        <w:t xml:space="preserve">widen correspondingly, reflecting the reduced effective sample size</w:t>
      </w:r>
    </w:p>
    <w:bookmarkEnd w:id="98"/>
    <w:bookmarkEnd w:id="99"/>
    <w:bookmarkEnd w:id="100"/>
    <w:bookmarkStart w:id="137"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101"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0"/>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0"/>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0"/>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2"/>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2"/>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2"/>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101"/>
    <w:bookmarkStart w:id="102"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102"/>
    <w:bookmarkStart w:id="103"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103"/>
    <w:bookmarkStart w:id="104"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104"/>
    <w:bookmarkStart w:id="113"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24"/>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24"/>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24"/>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108" w:name="fig-response-graph"/>
          <w:p>
            <w:pPr>
              <w:pStyle w:val="Compact"/>
              <w:jc w:val="center"/>
            </w:pPr>
            <w:r>
              <w:drawing>
                <wp:inline>
                  <wp:extent cx="4620126" cy="3696101"/>
                  <wp:effectExtent b="0" l="0" r="0" t="0"/>
                  <wp:docPr descr="" title="" id="106" name="Picture"/>
                  <a:graphic>
                    <a:graphicData uri="http://schemas.openxmlformats.org/drawingml/2006/picture">
                      <pic:pic>
                        <pic:nvPicPr>
                          <pic:cNvPr descr="methodology_files/figure-docx/fig-response-graph-1.png" id="107" name="Picture"/>
                          <pic:cNvPicPr>
                            <a:picLocks noChangeArrowheads="1" noChangeAspect="1"/>
                          </pic:cNvPicPr>
                        </pic:nvPicPr>
                        <pic:blipFill>
                          <a:blip r:embed="rId10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108"/>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109">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111" name="Picture"/>
            <a:graphic>
              <a:graphicData uri="http://schemas.openxmlformats.org/drawingml/2006/picture">
                <pic:pic>
                  <pic:nvPicPr>
                    <pic:cNvPr descr="../man/figures/qr_akm2.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113"/>
    <w:bookmarkStart w:id="114" w:name="sec-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25"/>
        </w:numPr>
      </w:pPr>
      <m:oMath>
        <m:sSub>
          <m:e>
            <m:r>
              <m:t>y</m:t>
            </m:r>
          </m:e>
          <m:sub>
            <m:r>
              <m:rPr>
                <m:nor/>
                <m:sty m:val="p"/>
              </m:rPr>
              <m:t>obs</m:t>
            </m:r>
          </m:sub>
        </m:sSub>
      </m:oMath>
      <w:r>
        <w:t xml:space="preserve">: measured serum antibody concentration</w:t>
      </w:r>
    </w:p>
    <w:p>
      <w:pPr>
        <w:pStyle w:val="Compact"/>
        <w:numPr>
          <w:ilvl w:val="0"/>
          <w:numId w:val="1025"/>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5"/>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26"/>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2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114"/>
    <w:bookmarkStart w:id="115"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27"/>
        </w:numPr>
      </w:pPr>
      <m:oMath>
        <m:sSub>
          <m:e>
            <m:r>
              <m:t>y</m:t>
            </m:r>
          </m:e>
          <m:sub>
            <m:r>
              <m:rPr>
                <m:nor/>
                <m:sty m:val="p"/>
              </m:rPr>
              <m:t>obs</m:t>
            </m:r>
          </m:sub>
        </m:sSub>
      </m:oMath>
      <w:r>
        <w:t xml:space="preserve">: measured serum antibody concentration</w:t>
      </w:r>
    </w:p>
    <w:p>
      <w:pPr>
        <w:pStyle w:val="Compact"/>
        <w:numPr>
          <w:ilvl w:val="0"/>
          <w:numId w:val="1027"/>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7"/>
        </w:numPr>
      </w:pPr>
      <m:oMath>
        <m:r>
          <m:t>ξ</m:t>
        </m:r>
      </m:oMath>
      <w:r>
        <w:t xml:space="preserve">: relative measurement error</w:t>
      </w:r>
    </w:p>
    <w:p>
      <w:pPr>
        <w:pStyle w:val="Compact"/>
        <w:numPr>
          <w:ilvl w:val="0"/>
          <w:numId w:val="1027"/>
        </w:numPr>
      </w:pPr>
      <m:oMath>
        <m:r>
          <m:t>ε</m:t>
        </m:r>
      </m:oMath>
      <w:r>
        <w:t xml:space="preserve">: bound on the relative error</w:t>
      </w:r>
    </w:p>
    <w:p>
      <w:pPr>
        <w:pStyle w:val="FirstParagraph"/>
      </w:pPr>
      <w:r>
        <w:t xml:space="preserve">Model:</w:t>
      </w:r>
    </w:p>
    <w:p>
      <w:pPr>
        <w:pStyle w:val="Compact"/>
        <w:numPr>
          <w:ilvl w:val="0"/>
          <w:numId w:val="1028"/>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28"/>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115"/>
    <w:bookmarkStart w:id="116"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29"/>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29"/>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29"/>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116"/>
    <w:bookmarkStart w:id="117"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0"/>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0"/>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117"/>
    <w:bookmarkStart w:id="122" w:name="variation-across-the-posterior"/>
    <w:p>
      <w:pPr>
        <w:pStyle w:val="Heading2"/>
      </w:pPr>
      <w:r>
        <w:t xml:space="preserve">5.10 Variation across the posterior</w:t>
      </w:r>
    </w:p>
    <w:p>
      <w:pPr>
        <w:pStyle w:val="FirstParagraph"/>
      </w:pPr>
      <w:r>
        <w:t xml:space="preserve">The figure above draws one curve to name the parameters. The fitted model is</w:t>
      </w:r>
      <w:r>
        <w:t xml:space="preserve"> </w:t>
      </w:r>
      <w:r>
        <w:t xml:space="preserve">really a</w:t>
      </w:r>
      <w:r>
        <w:t xml:space="preserve"> </w:t>
      </w:r>
      <w:r>
        <w:rPr>
          <w:i/>
          <w:iCs/>
        </w:rPr>
        <w:t xml:space="preserve">posterior sample</w:t>
      </w:r>
      <w:r>
        <w:t xml:space="preserve"> </w:t>
      </w:r>
      <w:r>
        <w:t xml:space="preserve">of such curves, and</w:t>
      </w:r>
      <w:r>
        <w:t xml:space="preserve"> </w:t>
      </w:r>
      <w:r>
        <w:rPr>
          <w:rStyle w:val="VerbatimChar"/>
        </w:rPr>
        <w:t xml:space="preserve">autoplot()</w:t>
      </w:r>
      <w:r>
        <w:t xml:space="preserve"> </w:t>
      </w:r>
      <w:r>
        <w:t xml:space="preserve">on a</w:t>
      </w:r>
      <w:r>
        <w:t xml:space="preserve"> </w:t>
      </w:r>
      <w:r>
        <w:rPr>
          <w:rStyle w:val="VerbatimChar"/>
        </w:rPr>
        <w:t xml:space="preserve">curve_params</w:t>
      </w:r>
      <w:r>
        <w:t xml:space="preserve"> </w:t>
      </w:r>
      <w:r>
        <w:t xml:space="preserve">object shows their spread:</w:t>
      </w:r>
    </w:p>
    <w:tbl>
      <w:tblPr>
        <w:tblStyle w:val="Table"/>
        <w:tblW w:type="pct" w:w="5000"/>
        <w:tblLayout w:type="fixed"/>
        <w:tblLook w:firstRow="0" w:lastRow="0" w:firstColumn="0" w:lastColumn="0" w:noHBand="0" w:noVBand="0" w:val="0000"/>
      </w:tblPr>
      <w:tblGrid>
        <w:gridCol w:w="7920"/>
      </w:tblGrid>
      <w:tr>
        <w:tc>
          <w:tcPr/>
          <w:bookmarkStart w:id="121" w:name="fig-curve-posterior"/>
          <w:p>
            <w:pPr>
              <w:pStyle w:val="Compact"/>
              <w:jc w:val="center"/>
            </w:pPr>
            <w:r>
              <w:drawing>
                <wp:inline>
                  <wp:extent cx="4620126" cy="3696101"/>
                  <wp:effectExtent b="0" l="0" r="0" t="0"/>
                  <wp:docPr descr="" title="" id="119" name="Picture"/>
                  <a:graphic>
                    <a:graphicData uri="http://schemas.openxmlformats.org/drawingml/2006/picture">
                      <pic:pic>
                        <pic:nvPicPr>
                          <pic:cNvPr descr="methodology_files/figure-docx/fig-curve-posterior-1.png" id="120" name="Picture"/>
                          <pic:cNvPicPr>
                            <a:picLocks noChangeArrowheads="1" noChangeAspect="1"/>
                          </pic:cNvPicPr>
                        </pic:nvPicPr>
                        <pic:blipFill>
                          <a:blip r:embed="rId11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draws of the antibody-decay curve per antigen-isotype, with the 10%, 50%, and 90% point-wise quantiles overlaid.</w:t>
            </w:r>
          </w:p>
          <w:bookmarkEnd w:id="121"/>
        </w:tc>
      </w:tr>
    </w:tbl>
    <w:p>
      <w:pPr>
        <w:pStyle w:val="BodyText"/>
      </w:pPr>
      <w:r>
        <w:rPr>
          <w:rStyle w:val="VerbatimChar"/>
        </w:rPr>
        <w:t xml:space="preserve">curves</w:t>
      </w:r>
      <w:r>
        <w:t xml:space="preserve"> </w:t>
      </w:r>
      <w:r>
        <w:t xml:space="preserve">holds 49 draws per antigen-isotype</w:t>
      </w:r>
      <w:r>
        <w:t xml:space="preserve"> </w:t>
      </w:r>
      <w:r>
        <w:t xml:space="preserve">here, since it was thinned to</w:t>
      </w:r>
      <w:r>
        <w:t xml:space="preserve"> </w:t>
      </w:r>
      <w:r>
        <w:rPr>
          <w:rStyle w:val="VerbatimChar"/>
        </w:rPr>
        <w:t xml:space="preserve">iter &lt; 50</w:t>
      </w:r>
      <w:r>
        <w:t xml:space="preserve"> </w:t>
      </w:r>
      <w:r>
        <w:t xml:space="preserve">when it was loaded.</w:t>
      </w:r>
    </w:p>
    <w:p>
      <w:pPr>
        <w:pStyle w:val="BodyText"/>
      </w:pPr>
      <w:r>
        <w:rPr>
          <w:rStyle w:val="VerbatimChar"/>
        </w:rPr>
        <w:t xml:space="preserve">n_curves</w:t>
      </w:r>
      <w:r>
        <w:t xml:space="preserve"> </w:t>
      </w:r>
      <w:r>
        <w:t xml:space="preserve">caps how many draws are drawn rather than setting a target, so</w:t>
      </w:r>
      <w:r>
        <w:t xml:space="preserve"> </w:t>
      </w:r>
      <w:r>
        <w:t xml:space="preserve">asking for more than the object holds simply draws them all. Passing</w:t>
      </w:r>
      <w:r>
        <w:t xml:space="preserve"> </w:t>
      </w:r>
      <w:r>
        <w:rPr>
          <w:rStyle w:val="VerbatimChar"/>
        </w:rPr>
        <w:t xml:space="preserve">quantiles = NULL</w:t>
      </w:r>
      <w:r>
        <w:t xml:space="preserve"> </w:t>
      </w:r>
      <w:r>
        <w:t xml:space="preserve">omits the overlay, and</w:t>
      </w:r>
      <w:r>
        <w:t xml:space="preserve"> </w:t>
      </w:r>
      <w:r>
        <w:rPr>
          <w:rStyle w:val="VerbatimChar"/>
        </w:rPr>
        <w:t xml:space="preserve">log_x = FALSE</w:t>
      </w:r>
      <w:r>
        <w:t xml:space="preserve"> </w:t>
      </w:r>
      <w:r>
        <w:t xml:space="preserve">puts time on a</w:t>
      </w:r>
      <w:r>
        <w:t xml:space="preserve"> </w:t>
      </w:r>
      <w:r>
        <w:t xml:space="preserve">linear scale.</w:t>
      </w:r>
    </w:p>
    <w:p>
      <w:pPr>
        <w:pStyle w:val="BodyText"/>
      </w:pPr>
      <w:r>
        <w:t xml:space="preserve">This spread is what the incidence likelihood averages over, as described</w:t>
      </w:r>
      <w:r>
        <w:t xml:space="preserve"> </w:t>
      </w:r>
      <w:r>
        <w:t xml:space="preserve">under</w:t>
      </w:r>
      <w:r>
        <w:t xml:space="preserve"> </w:t>
      </w:r>
      <w:r>
        <w:t xml:space="preserve">“Propagating uncertainty and heterogeneity”</w:t>
      </w:r>
      <w:r>
        <w:t xml:space="preserve"> </w:t>
      </w:r>
      <w:r>
        <w:t xml:space="preserve">above: each draw is one</w:t>
      </w:r>
      <w:r>
        <w:t xml:space="preserve"> </w:t>
      </w:r>
      <w:r>
        <w:t xml:space="preserve">plausible antibody-response curve, and together they carry both the</w:t>
      </w:r>
      <w:r>
        <w:t xml:space="preserve"> </w:t>
      </w:r>
      <w:r>
        <w:t xml:space="preserve">estimation uncertainty and the between-person heterogeneity.</w:t>
      </w:r>
    </w:p>
    <w:bookmarkEnd w:id="122"/>
    <w:bookmarkStart w:id="128" w:name="sec-multiple-biomarkers"/>
    <w:p>
      <w:pPr>
        <w:pStyle w:val="Heading2"/>
      </w:pPr>
      <w:r>
        <w:t xml:space="preserve">5.11 Multiple biomarkers</w:t>
      </w:r>
    </w:p>
    <w:p>
      <w:pPr>
        <w:pStyle w:val="FirstParagraph"/>
      </w:pPr>
      <w:r>
        <w:t xml:space="preserve">A serosurvey usually measures more than one antigen-isotype per participant.</w:t>
      </w:r>
      <w:r>
        <w:t xml:space="preserve"> </w:t>
      </w:r>
      <w:r>
        <w:t xml:space="preserve">The model treats biomarkers as</w:t>
      </w:r>
      <w:r>
        <w:t xml:space="preserve"> </w:t>
      </w:r>
      <w:r>
        <w:rPr>
          <w:b/>
          <w:bCs/>
        </w:rPr>
        <w:t xml:space="preserve">conditionally independent given the time since infection</w:t>
      </w:r>
      <w:r>
        <w:t xml:space="preserve">, so their response densities multiply</w:t>
      </w:r>
      <w:r>
        <w:t xml:space="preserve"> </w:t>
      </w:r>
      <w:r>
        <w:rPr>
          <w:i/>
          <w:iCs/>
        </w:rPr>
        <w:t xml:space="preserve">inside</w:t>
      </w:r>
      <w:r>
        <w:t xml:space="preserve"> </w:t>
      </w:r>
      <w:r>
        <w:t xml:space="preserve">each 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 likelihoods: the shared latent infection time</w:t>
      </w:r>
      <w:r>
        <w:t xml:space="preserve"> </w:t>
      </w:r>
      <m:oMath>
        <m:r>
          <m:t>t</m:t>
        </m:r>
      </m:oMath>
      <w:r>
        <w:t xml:space="preserve"> </w:t>
      </w:r>
      <w:r>
        <w:t xml:space="preserve">couples them.</w:t>
      </w:r>
    </w:p>
    <w:p>
      <w:pPr>
        <w:pStyle w:val="BodyText"/>
      </w:pPr>
      <w:r>
        <w:rPr>
          <w:rStyle w:val="VerbatimChar"/>
        </w:rPr>
        <w:t xml:space="preserve">serocalculator</w:t>
      </w:r>
      <w:r>
        <w:t xml:space="preserve"> </w:t>
      </w:r>
      <w:r>
        <w:t xml:space="preserve">offers two ways of combining biomarkers, selected by the</w:t>
      </w:r>
      <w:r>
        <w:t xml:space="preserve"> </w:t>
      </w:r>
      <w:r>
        <w:rPr>
          <w:rStyle w:val="VerbatimChar"/>
        </w:rPr>
        <w:t xml:space="preserve">method</w:t>
      </w:r>
      <w:r>
        <w:t xml:space="preserve"> </w:t>
      </w:r>
      <w:r>
        <w:t xml:space="preserve">argument of</w:t>
      </w:r>
      <w:r>
        <w:t xml:space="preserve"> </w:t>
      </w:r>
      <w:r>
        <w:rPr>
          <w:rStyle w:val="VerbatimChar"/>
        </w:rPr>
        <w:t xml:space="preserve">log_likelihood()</w:t>
      </w:r>
      <w:r>
        <w:t xml:space="preserve">,</w:t>
      </w:r>
      <w:r>
        <w:t xml:space="preserve"> </w:t>
      </w:r>
      <w:r>
        <w:rPr>
          <w:rStyle w:val="VerbatimChar"/>
        </w:rPr>
        <w:t xml:space="preserve">est_seroincidence()</w:t>
      </w:r>
      <w:r>
        <w:t xml:space="preserve"> </w:t>
      </w:r>
      <w:r>
        <w:t xml:space="preserve">and</w:t>
      </w:r>
      <w:r>
        <w:t xml:space="preserve"> </w:t>
      </w:r>
      <w:r>
        <w:rPr>
          <w:rStyle w:val="VerbatimChar"/>
        </w:rPr>
        <w:t xml:space="preserve">est_seroincidence_by()</w:t>
      </w:r>
      <w:r>
        <w:t xml:space="preserve">:</w:t>
      </w:r>
    </w:p>
    <w:p>
      <w:pPr>
        <w:pStyle w:val="Compact"/>
        <w:numPr>
          <w:ilvl w:val="0"/>
          <w:numId w:val="1031"/>
        </w:numPr>
      </w:pPr>
      <w:r>
        <w:rPr>
          <w:rStyle w:val="VerbatimChar"/>
        </w:rPr>
        <w:t xml:space="preserve">method = "composite"</w:t>
      </w:r>
      <w:r>
        <w:t xml:space="preserve"> </w:t>
      </w:r>
      <w:r>
        <w:t xml:space="preserve">(the default) evaluates the likelihood of each biomarker separately and</w:t>
      </w:r>
      <w:r>
        <w:t xml:space="preserve"> </w:t>
      </w:r>
      <w:r>
        <w:rPr>
          <w:b/>
          <w:bCs/>
        </w:rPr>
        <w:t xml:space="preserve">sums the log-likelihoods</w:t>
      </w:r>
      <w:r>
        <w:t xml:space="preserve">.</w:t>
      </w:r>
      <w:r>
        <w:t xml:space="preserve"> </w:t>
      </w:r>
      <w:r>
        <w:t xml:space="preserve">That is the product of the marginals, which treats the biomarkers as independent</w:t>
      </w:r>
      <w:r>
        <w:t xml:space="preserve"> </w:t>
      </w:r>
      <w:r>
        <w:rPr>
          <w:i/>
          <w:iCs/>
        </w:rPr>
        <w:t xml:space="preserve">unconditionally</w:t>
      </w:r>
      <w:r>
        <w:t xml:space="preserve">, each with its own latent infection time.</w:t>
      </w:r>
      <w:r>
        <w:t xml:space="preserve"> </w:t>
      </w:r>
      <w:r>
        <w:t xml:space="preserve">In the composite-likelihood literature this is an</w:t>
      </w:r>
      <w:r>
        <w:t xml:space="preserve"> </w:t>
      </w:r>
      <w:r>
        <w:rPr>
          <w:i/>
          <w:iCs/>
        </w:rPr>
        <w:t xml:space="preserve">independence likelihood</w:t>
      </w:r>
      <w:r>
        <w:t xml:space="preserve"> </w:t>
      </w:r>
      <w:r>
        <w:t xml:space="preserve">(Varin et al. 2011)</w:t>
      </w:r>
      <w:r>
        <w:t xml:space="preserve">: its point estimate is consistent, but its naive standard error assumes the biomarker readings are independent.</w:t>
      </w:r>
    </w:p>
    <w:p>
      <w:pPr>
        <w:pStyle w:val="Compact"/>
        <w:numPr>
          <w:ilvl w:val="0"/>
          <w:numId w:val="1031"/>
        </w:numPr>
      </w:pPr>
      <w:r>
        <w:rPr>
          <w:rStyle w:val="VerbatimChar"/>
        </w:rPr>
        <w:t xml:space="preserve">method = "joint"</w:t>
      </w:r>
      <w:r>
        <w:t xml:space="preserve"> </w:t>
      </w:r>
      <w:r>
        <w:t xml:space="preserve">evaluates the formula above: one integral per person over a</w:t>
      </w:r>
      <w:r>
        <w:t xml:space="preserve"> </w:t>
      </w:r>
      <w:r>
        <w:rPr>
          <w:b/>
          <w:bCs/>
        </w:rPr>
        <w:t xml:space="preserve">shared</w:t>
      </w:r>
      <w:r>
        <w:t xml:space="preserve"> </w:t>
      </w:r>
      <m:oMath>
        <m:r>
          <m:t>t</m:t>
        </m:r>
      </m:oMath>
      <w:r>
        <w:t xml:space="preserve">, with the per-biomarker densities multiplied inside it.</w:t>
      </w:r>
      <w:r>
        <w:t xml:space="preserve"> </w:t>
      </w:r>
      <w:r>
        <w:t xml:space="preserve">This needs the data to identify people (</w:t>
      </w:r>
      <w:r>
        <w:rPr>
          <w:rStyle w:val="VerbatimChar"/>
        </w:rPr>
        <w:t xml:space="preserve">ids_varname()</w:t>
      </w:r>
      <w:r>
        <w:t xml:space="preserve">), so that each person’s readings can be paired, and it pairs the posterior draws of the curve parameters across biomarkers too, so that a person’s biomarkers are evaluated under one coherent draw.</w:t>
      </w:r>
    </w:p>
    <w:p>
      <w:pPr>
        <w:pStyle w:val="FirstParagraph"/>
      </w:pPr>
      <w:r>
        <w:rPr>
          <w:rStyle w:val="VerbatimChar"/>
        </w:rPr>
        <w:t xml:space="preserve">log_likelihood()</w:t>
      </w:r>
      <w:r>
        <w:t xml:space="preserve"> </w:t>
      </w:r>
      <w:r>
        <w:t xml:space="preserve">evaluates the log-likelihood at a given</w:t>
      </w:r>
      <w:r>
        <w:t xml:space="preserve"> </w:t>
      </w:r>
      <m:oMath>
        <m:r>
          <m:t>λ</m:t>
        </m:r>
      </m:oMath>
      <w:r>
        <w:t xml:space="preserve">, which lets us see the difference numerically.</w:t>
      </w:r>
      <w:r>
        <w:t xml:space="preserve"> </w:t>
      </w:r>
      <w:r>
        <w:t xml:space="preserve">First, the default:</w:t>
      </w:r>
    </w:p>
    <w:p>
      <w:pPr>
        <w:pStyle w:val="SourceCode"/>
      </w:pPr>
      <w:r>
        <w:rPr>
          <w:rStyle w:val="VerbatimChar"/>
        </w:rPr>
        <w:t xml:space="preserve">      IgA       IgG       sum composite </w:t>
      </w:r>
      <w:r>
        <w:br/>
      </w:r>
      <w:r>
        <w:rPr>
          <w:rStyle w:val="VerbatimChar"/>
        </w:rPr>
        <w:t xml:space="preserve">-1186.318 -1201.146 -2387.464 -2387.464 </w:t>
      </w:r>
    </w:p>
    <w:p>
      <w:pPr>
        <w:pStyle w:val="FirstParagraph"/>
      </w:pPr>
      <w:r>
        <w:t xml:space="preserve">The two-biomarker value is</w:t>
      </w:r>
      <w:r>
        <w:t xml:space="preserve"> </w:t>
      </w:r>
      <w:r>
        <w:rPr>
          <w:b/>
          <w:bCs/>
        </w:rPr>
        <w:t xml:space="preserve">exactly</w:t>
      </w:r>
      <w:r>
        <w:t xml:space="preserve"> </w:t>
      </w:r>
      <w:r>
        <w:t xml:space="preserve">the sum of the separate ones, as summing log-likelihoods must give.</w:t>
      </w:r>
      <w:r>
        <w:t xml:space="preserve"> </w:t>
      </w:r>
      <w:r>
        <w:t xml:space="preserve">Under the shared-latent-time model it is not:</w:t>
      </w:r>
    </w:p>
    <w:p>
      <w:pPr>
        <w:pStyle w:val="SourceCode"/>
      </w:pPr>
      <w:r>
        <w:rPr>
          <w:rStyle w:val="VerbatimChar"/>
        </w:rPr>
        <w:t xml:space="preserve">      sum     joint </w:t>
      </w:r>
      <w:r>
        <w:br/>
      </w:r>
      <w:r>
        <w:rPr>
          <w:rStyle w:val="VerbatimChar"/>
        </w:rPr>
        <w:t xml:space="preserve">-2387.464 -2249.881 </w:t>
      </w:r>
    </w:p>
    <w:p>
      <w:pPr>
        <w:pStyle w:val="FirstParagraph"/>
      </w:pPr>
      <w:r>
        <w:rPr>
          <w:rStyle w:val="VerbatimChar"/>
        </w:rPr>
        <w:t xml:space="preserve">R/log_likelihood.R</w:t>
      </w:r>
      <w:r>
        <w:t xml:space="preserve"> </w:t>
      </w:r>
      <w:r>
        <w:t xml:space="preserve">loops over</w:t>
      </w:r>
      <w:r>
        <w:t xml:space="preserve"> </w:t>
      </w:r>
      <w:r>
        <w:rPr>
          <w:rStyle w:val="VerbatimChar"/>
        </w:rPr>
        <w:t xml:space="preserve">antigen_isos</w:t>
      </w:r>
      <w:r>
        <w:t xml:space="preserve">, calls</w:t>
      </w:r>
      <w:r>
        <w:t xml:space="preserve"> </w:t>
      </w:r>
      <w:r>
        <w:rPr>
          <w:rStyle w:val="VerbatimChar"/>
        </w:rPr>
        <w:t xml:space="preserve">f_dev()</w:t>
      </w:r>
      <w:r>
        <w:t xml:space="preserve"> </w:t>
      </w:r>
      <w:r>
        <w:t xml:space="preserve">once per biomarker, and adds the results;</w:t>
      </w:r>
      <w:r>
        <w:t xml:space="preserve"> </w:t>
      </w:r>
      <w:r>
        <w:rPr>
          <w:rStyle w:val="VerbatimChar"/>
        </w:rPr>
        <w:t xml:space="preserve">method = "joint"</w:t>
      </w:r>
      <w:r>
        <w:t xml:space="preserve"> </w:t>
      </w:r>
      <w:r>
        <w:t xml:space="preserve">instead hands all of a person’s readings to</w:t>
      </w:r>
      <w:r>
        <w:t xml:space="preserve"> </w:t>
      </w:r>
      <w:r>
        <w:rPr>
          <w:rStyle w:val="VerbatimChar"/>
        </w:rPr>
        <w:t xml:space="preserve">f_dev_joint()</w:t>
      </w:r>
      <w:r>
        <w:t xml:space="preserve">, which integrates once over</w:t>
      </w:r>
      <w:r>
        <w:t xml:space="preserve"> </w:t>
      </w:r>
      <m:oMath>
        <m:r>
          <m:t>t</m:t>
        </m:r>
      </m:oMath>
      <w:r>
        <w:t xml:space="preserve"> </w:t>
      </w:r>
      <w:r>
        <w:t xml:space="preserve">in C (</w:t>
      </w:r>
      <w:r>
        <w:rPr>
          <w:rStyle w:val="VerbatimChar"/>
        </w:rPr>
        <w:t xml:space="preserve">src/serocalc_joint.c</w:t>
      </w:r>
      <w:r>
        <w:t xml:space="preserve">).</w:t>
      </w:r>
      <w:r>
        <w:t xml:space="preserve"> </w:t>
      </w:r>
      <w:r>
        <w:t xml:space="preserve">With a single biomarker the two agree, up to numerical integration.</w:t>
      </w:r>
    </w:p>
    <w:p>
      <w:pPr>
        <w:pStyle w:val="BodyText"/>
      </w:pPr>
      <w:r>
        <w:t xml:space="preserve">(</w:t>
      </w:r>
      <w:hyperlink w:anchor="sec-multivariate">
        <w:r>
          <w:rPr>
            <w:rStyle w:val="Hyperlink"/>
          </w:rPr>
          <w:t xml:space="preserve">Section 9.2</w:t>
        </w:r>
      </w:hyperlink>
      <w:r>
        <w:t xml:space="preserve"> </w:t>
      </w:r>
      <w:r>
        <w:t xml:space="preserve">describes work in progress to relax conditional independence</w:t>
      </w:r>
      <w:r>
        <w:t xml:space="preserve"> </w:t>
      </w:r>
      <w:r>
        <w:rPr>
          <w:i/>
          <w:iCs/>
        </w:rPr>
        <w:t xml:space="preserve">given</w:t>
      </w:r>
      <w:r>
        <w:t xml:space="preserve"> </w:t>
      </w:r>
      <m:oMath>
        <m:r>
          <m:t>t</m:t>
        </m:r>
      </m:oMath>
      <w:r>
        <w:t xml:space="preserve">;</w:t>
      </w:r>
      <w:r>
        <w:t xml:space="preserve"> </w:t>
      </w:r>
      <w:r>
        <w:rPr>
          <w:rStyle w:val="VerbatimChar"/>
        </w:rPr>
        <w:t xml:space="preserve">method = "joint"</w:t>
      </w:r>
      <w:r>
        <w:t xml:space="preserve"> </w:t>
      </w:r>
      <w:r>
        <w:t xml:space="preserve">is the model that work generalizes, and</w:t>
      </w:r>
      <w:r>
        <w:t xml:space="preserve"> </w:t>
      </w:r>
      <w:r>
        <w:rPr>
          <w:rStyle w:val="VerbatimChar"/>
        </w:rPr>
        <w:t xml:space="preserve">method = "composite"</w:t>
      </w:r>
      <w:r>
        <w:t xml:space="preserve"> </w:t>
      </w:r>
      <w:r>
        <w:t xml:space="preserve">is a different, stronger, independence assumption.)</w:t>
      </w:r>
    </w:p>
    <w:p>
      <w:pPr>
        <w:pStyle w:val="BodyText"/>
      </w:pPr>
      <w:r>
        <w:t xml:space="preserve">The two likelihoods call for different standard errors.</w:t>
      </w:r>
      <w:r>
        <w:t xml:space="preserve"> </w:t>
      </w:r>
      <w:r>
        <w:t xml:space="preserve">The joint likelihood is a genuine likelihood, so the Hessian-based standard error of</w:t>
      </w:r>
      <w:r>
        <w:t xml:space="preserve"> </w:t>
      </w:r>
      <w:hyperlink w:anchor="sec-standard-errors">
        <w:r>
          <w:rPr>
            <w:rStyle w:val="Hyperlink"/>
          </w:rPr>
          <w:t xml:space="preserve">Section 4.9</w:t>
        </w:r>
      </w:hyperlink>
      <w:r>
        <w:t xml:space="preserve"> </w:t>
      </w:r>
      <w:r>
        <w:t xml:space="preserve">applies to it directly.</w:t>
      </w:r>
      <w:r>
        <w:t xml:space="preserve"> </w:t>
      </w:r>
      <w:r>
        <w:t xml:space="preserve">The composite likelihood’s Hessian understates the variance whenever one person’s biomarker readings are correlated (they respond to the same infection), and the fix is the cluster-robust estimator of</w:t>
      </w:r>
      <w:r>
        <w:t xml:space="preserve"> </w:t>
      </w:r>
      <w:hyperlink w:anchor="sec-cluster-robust">
        <w:r>
          <w:rPr>
            <w:rStyle w:val="Hyperlink"/>
          </w:rPr>
          <w:t xml:space="preserve">Section 4.16</w:t>
        </w:r>
      </w:hyperlink>
      <w:r>
        <w:t xml:space="preserve"> </w:t>
      </w:r>
      <w:r>
        <w:t xml:space="preserve">with the</w:t>
      </w:r>
      <w:r>
        <w:t xml:space="preserve"> </w:t>
      </w:r>
      <w:r>
        <w:rPr>
          <w:i/>
          <w:iCs/>
        </w:rPr>
        <w:t xml:space="preserve">person</w:t>
      </w:r>
      <w:r>
        <w:t xml:space="preserve"> </w:t>
      </w:r>
      <w:r>
        <w:t xml:space="preserve">as the cluster,</w:t>
      </w:r>
      <w:r>
        <w:t xml:space="preserve"> </w:t>
      </w:r>
      <w:r>
        <w:rPr>
          <w:rStyle w:val="VerbatimChar"/>
        </w:rPr>
        <w:t xml:space="preserve">cluster_var = ids_varname(pop_data)</w:t>
      </w:r>
      <w:r>
        <w:t xml:space="preserve">.</w:t>
      </w:r>
      <w:r>
        <w:t xml:space="preserve"> </w:t>
      </w:r>
      <w:r>
        <w:t xml:space="preserve">On the Pakistan data, the two agree closely once the composite standard error is corrected:</w:t>
      </w:r>
    </w:p>
    <w:tbl>
      <w:tblPr>
        <w:tblStyle w:val="Table"/>
        <w:tblW w:type="pct" w:w="5000"/>
        <w:tblLayout w:type="fixed"/>
        <w:tblLook w:firstRow="0" w:lastRow="0" w:firstColumn="0" w:lastColumn="0" w:noHBand="0" w:noVBand="0" w:val="0000"/>
      </w:tblPr>
      <w:tblGrid>
        <w:gridCol w:w="7920"/>
      </w:tblGrid>
      <w:tr>
        <w:tc>
          <w:tcPr/>
          <w:bookmarkStart w:id="123" w:name="tbl-joint-vs-composite-sees"/>
          <w:p>
            <w:pPr>
              <w:jc w:val="center"/>
            </w:pPr>
            <w:pPr>
              <w:jc w:val="left"/>
              <w:spacing w:before="200"/>
              <w:pStyle w:val="ImageCaption"/>
            </w:pPr>
            <w:r>
              <w:t xml:space="preserve">Table 1: Incidence estimates for the Pakistan SEES data, combining HlyE IgA and IgG under the composite likelihood (with the naive and the person-clustered standard error) and under the joint likelihood.</w:t>
            </w:r>
          </w:p>
          <w:p>
            <w:pPr>
              <w:pStyle w:val="SourceCode"/>
              <w:jc w:val="center"/>
            </w:pPr>
            <w:r>
              <w:rPr>
                <w:rStyle w:val="VerbatimChar"/>
              </w:rPr>
              <w:t xml:space="preserve">Warning: 2 of 494 subjects have zero likelihood under every posterior draw and</w:t>
            </w:r>
            <w:r>
              <w:br/>
            </w:r>
            <w:r>
              <w:rPr>
                <w:rStyle w:val="VerbatimChar"/>
              </w:rPr>
              <w:t xml:space="preserve">contribute nothing to the joint likelihood.</w:t>
            </w:r>
            <w:r>
              <w:br/>
            </w:r>
            <w:r>
              <w:rPr>
                <w:rStyle w:val="VerbatimChar"/>
              </w:rPr>
              <w:t xml:space="preserve">ℹ For these subjects, no shared time since infection is compatible with all of</w:t>
            </w:r>
            <w:r>
              <w:br/>
            </w:r>
            <w:r>
              <w:rPr>
                <w:rStyle w:val="VerbatimChar"/>
              </w:rPr>
              <w:t xml:space="preserve">  their biomarker readings under the noise model (nu, eps), so the estimate is</w:t>
            </w:r>
            <w:r>
              <w:br/>
            </w:r>
            <w:r>
              <w:rPr>
                <w:rStyle w:val="VerbatimChar"/>
              </w:rPr>
              <w:t xml:space="preserve">  based on the remaining subjects only. If the dropped subjects tend to have</w:t>
            </w:r>
            <w:r>
              <w:br/>
            </w:r>
            <w:r>
              <w:rPr>
                <w:rStyle w:val="VerbatimChar"/>
              </w:rPr>
              <w:t xml:space="preserve">  high readings (recent infections), the incidence estimate will be biased</w:t>
            </w:r>
            <w:r>
              <w:br/>
            </w:r>
            <w:r>
              <w:rPr>
                <w:rStyle w:val="VerbatimChar"/>
              </w:rPr>
              <w:t xml:space="preserve">  downward.</w:t>
            </w:r>
            <w:r>
              <w:br/>
            </w:r>
            <w:r>
              <w:rPr>
                <w:rStyle w:val="VerbatimChar"/>
              </w:rPr>
              <w:t xml:space="preserve">ℹ Consider whether the noise parameters are realistic for these biomarkers, or</w:t>
            </w:r>
            <w:r>
              <w:br/>
            </w:r>
            <w:r>
              <w:rPr>
                <w:rStyle w:val="VerbatimChar"/>
              </w:rPr>
              <w:t xml:space="preserve">  use `method = "composite"`, which evaluates each biomarker on its own.</w:t>
            </w:r>
          </w:p>
          <w:p>
            <w:pPr>
              <w:pStyle w:val="SourceCode"/>
              <w:jc w:val="center"/>
            </w:pPr>
            <w:r>
              <w:rPr>
                <w:rStyle w:val="VerbatimChar"/>
              </w:rPr>
              <w:t xml:space="preserve"># A tibble: 3 × 6</w:t>
            </w:r>
            <w:r>
              <w:br/>
            </w:r>
            <w:r>
              <w:rPr>
                <w:rStyle w:val="VerbatimChar"/>
              </w:rPr>
              <w:t xml:space="preserve">  estimator                      incidence.rate      SE CI.lwr CI.upr log.lik</w:t>
            </w:r>
            <w:r>
              <w:br/>
            </w:r>
            <w:r>
              <w:rPr>
                <w:rStyle w:val="VerbatimChar"/>
              </w:rPr>
              <w:t xml:space="preserve">  &lt;chr&gt;                                   &lt;dbl&gt;   &lt;dbl&gt;  &lt;dbl&gt;  &lt;dbl&gt;   &lt;dbl&gt;</w:t>
            </w:r>
            <w:r>
              <w:br/>
            </w:r>
            <w:r>
              <w:rPr>
                <w:rStyle w:val="VerbatimChar"/>
              </w:rPr>
              <w:t xml:space="preserve">1 composite, naive SE                     0.136 0.00695  0.123  0.150  -2371.</w:t>
            </w:r>
            <w:r>
              <w:br/>
            </w:r>
            <w:r>
              <w:rPr>
                <w:rStyle w:val="VerbatimChar"/>
              </w:rPr>
              <w:t xml:space="preserve">2 composite, person-clustered SE          0.136 0.00804  0.121  0.152  -2371.</w:t>
            </w:r>
            <w:r>
              <w:br/>
            </w:r>
            <w:r>
              <w:rPr>
                <w:rStyle w:val="VerbatimChar"/>
              </w:rPr>
              <w:t xml:space="preserve">3 joint                                   0.140 0.00857  0.125  0.158  -2236.</w:t>
            </w:r>
          </w:p>
          <w:bookmarkEnd w:id="123"/>
        </w:tc>
      </w:tr>
    </w:tbl>
    <w:p>
      <w:pPr>
        <w:pStyle w:val="FirstParagraph"/>
      </w:pPr>
      <w:r>
        <w:t xml:space="preserve">The joint estimate is a little higher and its log-likelihood is much higher, but the latter is not a like-for-like comparison: the two methods evaluate different functions of the data.</w:t>
      </w:r>
      <w:r>
        <w:t xml:space="preserve"> </w:t>
      </w:r>
      <w:r>
        <w:t xml:space="preserve">Which one is</w:t>
      </w:r>
      <w:r>
        <w:t xml:space="preserve"> </w:t>
      </w:r>
      <w:r>
        <w:rPr>
          <w:i/>
          <w:iCs/>
        </w:rPr>
        <w:t xml:space="preserve">better</w:t>
      </w:r>
      <w:r>
        <w:t xml:space="preserve"> </w:t>
      </w:r>
      <w:r>
        <w:t xml:space="preserve">has to be settled on data where the truth is known;</w:t>
      </w:r>
      <w:r>
        <w:t xml:space="preserve"> </w:t>
      </w:r>
      <w:hyperlink w:anchor="sec-joint-vs-composite-sim">
        <w:r>
          <w:rPr>
            <w:rStyle w:val="Hyperlink"/>
          </w:rPr>
          <w:t xml:space="preserve">Section 8.6</w:t>
        </w:r>
      </w:hyperlink>
      <w:r>
        <w:t xml:space="preserve"> </w:t>
      </w:r>
      <w:r>
        <w:t xml:space="preserve">does that on the simulated clusters, and the answer is not simply</w:t>
      </w:r>
      <w:r>
        <w:t xml:space="preserve"> </w:t>
      </w:r>
      <w:r>
        <w:t xml:space="preserve">“the joint one”</w:t>
      </w:r>
      <w:r>
        <w:t xml:space="preserve">.</w:t>
      </w:r>
    </w:p>
    <w:p>
      <w:pPr>
        <w:pStyle w:val="BodyText"/>
      </w:pPr>
      <w:r>
        <w:t xml:space="preserve">Using both biomarkers concentrates the log-likelihood around its maximum, and so shrinks the standard error, relative to either biomarker alone (</w:t>
      </w:r>
      <w:hyperlink w:anchor="fig-loglik">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7" w:name="fig-loglik"/>
          <w:p>
            <w:pPr>
              <w:pStyle w:val="Compact"/>
              <w:jc w:val="center"/>
            </w:pPr>
            <w:r>
              <w:drawing>
                <wp:inline>
                  <wp:extent cx="4620126" cy="3696101"/>
                  <wp:effectExtent b="0" l="0" r="0" t="0"/>
                  <wp:docPr descr="" title="" id="125" name="Picture"/>
                  <a:graphic>
                    <a:graphicData uri="http://schemas.openxmlformats.org/drawingml/2006/picture">
                      <pic:pic>
                        <pic:nvPicPr>
                          <pic:cNvPr descr="methodology_files/figure-docx/fig-loglik-1.png" id="126" name="Picture"/>
                          <pic:cNvPicPr>
                            <a:picLocks noChangeArrowheads="1" noChangeAspect="1"/>
                          </pic:cNvPicPr>
                        </pic:nvPicPr>
                        <pic:blipFill>
                          <a:blip r:embed="rId12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Log-likelihood curves for HlyE IgA alone, HlyE IgG alone, and both biomarkers combined (composite likelihood).</w:t>
            </w:r>
          </w:p>
          <w:bookmarkEnd w:id="127"/>
        </w:tc>
      </w:tr>
    </w:tbl>
    <w:bookmarkEnd w:id="128"/>
    <w:bookmarkStart w:id="132" w:name="X2f1a22e0e8bfbbb3bd4a9b4c70c58b4086e4038"/>
    <w:p>
      <w:pPr>
        <w:pStyle w:val="Heading2"/>
      </w:pPr>
      <w:r>
        <w:t xml:space="preserve">5.12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30" name="Picture"/>
            <a:graphic>
              <a:graphicData uri="http://schemas.openxmlformats.org/drawingml/2006/picture">
                <pic:pic>
                  <pic:nvPicPr>
                    <pic:cNvPr descr="../man/figures/kinetics-variation-1.png" id="131" name="Picture"/>
                    <pic:cNvPicPr>
                      <a:picLocks noChangeArrowheads="1" noChangeAspect="1"/>
                    </pic:cNvPicPr>
                  </pic:nvPicPr>
                  <pic:blipFill>
                    <a:blip r:embed="rId129"/>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32"/>
    <w:bookmarkStart w:id="136" w:name="Xe0d498a7f1d34353def60f09705ade4ab365d1e"/>
    <w:p>
      <w:pPr>
        <w:pStyle w:val="Heading2"/>
      </w:pPr>
      <w:r>
        <w:t xml:space="preserve">5.13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34" name="Picture"/>
            <a:graphic>
              <a:graphicData uri="http://schemas.openxmlformats.org/drawingml/2006/picture">
                <pic:pic>
                  <pic:nvPicPr>
                    <pic:cNvPr descr="../man/figures/kinetics-variation-2.png" id="135" name="Picture"/>
                    <pic:cNvPicPr>
                      <a:picLocks noChangeArrowheads="1" noChangeAspect="1"/>
                    </pic:cNvPicPr>
                  </pic:nvPicPr>
                  <pic:blipFill>
                    <a:blip r:embed="rId133"/>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36"/>
    <w:bookmarkEnd w:id="137"/>
    <w:bookmarkStart w:id="149" w:name="estimating-the-curves-with-serodynamics"/>
    <w:p>
      <w:pPr>
        <w:pStyle w:val="Heading1"/>
      </w:pPr>
      <w:r>
        <w:t xml:space="preserve">6. Estimating the curves with</w:t>
      </w:r>
      <w:r>
        <w:t xml:space="preserve"> </w:t>
      </w:r>
      <w:r>
        <w:rPr>
          <w:rStyle w:val="VerbatimChar"/>
        </w:rPr>
        <w:t xml:space="preserve">serodynamics</w:t>
      </w:r>
    </w:p>
    <w:bookmarkStart w:id="138"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2"/>
        </w:numPr>
      </w:pPr>
      <w:r>
        <w:t xml:space="preserve">baseline antibody level (</w:t>
      </w:r>
      <m:oMath>
        <m:sSub>
          <m:e>
            <m:r>
              <m:t>y</m:t>
            </m:r>
          </m:e>
          <m:sub>
            <m:r>
              <m:t>0</m:t>
            </m:r>
          </m:sub>
        </m:sSub>
      </m:oMath>
      <w:r>
        <w:t xml:space="preserve">)</w:t>
      </w:r>
    </w:p>
    <w:p>
      <w:pPr>
        <w:pStyle w:val="Compact"/>
        <w:numPr>
          <w:ilvl w:val="0"/>
          <w:numId w:val="1032"/>
        </w:numPr>
      </w:pPr>
      <w:r>
        <w:t xml:space="preserve">peak concentration (</w:t>
      </w:r>
      <m:oMath>
        <m:sSub>
          <m:e>
            <m:r>
              <m:t>y</m:t>
            </m:r>
          </m:e>
          <m:sub>
            <m:r>
              <m:t>1</m:t>
            </m:r>
          </m:sub>
        </m:sSub>
      </m:oMath>
      <w:r>
        <w:t xml:space="preserve">)</w:t>
      </w:r>
    </w:p>
    <w:p>
      <w:pPr>
        <w:pStyle w:val="Compact"/>
        <w:numPr>
          <w:ilvl w:val="0"/>
          <w:numId w:val="1032"/>
        </w:numPr>
      </w:pPr>
      <w:r>
        <w:t xml:space="preserve">time to peak (</w:t>
      </w:r>
      <m:oMath>
        <m:sSub>
          <m:e>
            <m:r>
              <m:t>t</m:t>
            </m:r>
          </m:e>
          <m:sub>
            <m:r>
              <m:t>1</m:t>
            </m:r>
          </m:sub>
        </m:sSub>
      </m:oMath>
      <w:r>
        <w:t xml:space="preserve">)</w:t>
      </w:r>
    </w:p>
    <w:p>
      <w:pPr>
        <w:pStyle w:val="Compact"/>
        <w:numPr>
          <w:ilvl w:val="0"/>
          <w:numId w:val="1032"/>
        </w:numPr>
      </w:pPr>
      <w:r>
        <w:t xml:space="preserve">decay rate (</w:t>
      </w:r>
      <m:oMath>
        <m:r>
          <m:t>α</m:t>
        </m:r>
      </m:oMath>
      <w:r>
        <w:t xml:space="preserve">)</w:t>
      </w:r>
    </w:p>
    <w:p>
      <w:pPr>
        <w:pStyle w:val="Compact"/>
        <w:numPr>
          <w:ilvl w:val="0"/>
          <w:numId w:val="1032"/>
        </w:numPr>
      </w:pPr>
      <w:r>
        <w:t xml:space="preserve">decay shape (</w:t>
      </w:r>
      <m:oMath>
        <m:r>
          <m:t>r</m:t>
        </m:r>
      </m:oMath>
      <w:r>
        <w:t xml:space="preserve">)</w:t>
      </w:r>
    </w:p>
    <w:bookmarkEnd w:id="138"/>
    <w:bookmarkStart w:id="140"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39">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40"/>
    <w:bookmarkStart w:id="141"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41"/>
    <w:bookmarkStart w:id="145"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43" name="Picture"/>
            <a:graphic>
              <a:graphicData uri="http://schemas.openxmlformats.org/drawingml/2006/picture">
                <pic:pic>
                  <pic:nvPicPr>
                    <pic:cNvPr descr="../man/figures/serodynamics-cached-fit.png" id="144" name="Picture"/>
                    <pic:cNvPicPr>
                      <a:picLocks noChangeArrowheads="1" noChangeAspect="1"/>
                    </pic:cNvPicPr>
                  </pic:nvPicPr>
                  <pic:blipFill>
                    <a:blip r:embed="rId14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45"/>
    <w:bookmarkStart w:id="146" w:name="two-packages-one-pipeline"/>
    <w:p>
      <w:pPr>
        <w:pStyle w:val="Heading2"/>
      </w:pPr>
      <w:r>
        <w:t xml:space="preserve">6.5 Two packages, one pipeline</w:t>
      </w:r>
    </w:p>
    <w:p>
      <w:pPr>
        <w:pStyle w:val="Compact"/>
        <w:numPr>
          <w:ilvl w:val="0"/>
          <w:numId w:val="1033"/>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3"/>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46"/>
    <w:bookmarkStart w:id="147"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34"/>
        </w:numPr>
      </w:pPr>
      <w:r>
        <w:rPr>
          <w:b/>
          <w:bCs/>
        </w:rPr>
        <w:t xml:space="preserve">estimation uncertainty</w:t>
      </w:r>
      <w:r>
        <w:t xml:space="preserve"> </w:t>
      </w:r>
      <w:r>
        <w:t xml:space="preserve">in the kinetics parameters, and</w:t>
      </w:r>
    </w:p>
    <w:p>
      <w:pPr>
        <w:pStyle w:val="Compact"/>
        <w:numPr>
          <w:ilvl w:val="0"/>
          <w:numId w:val="1034"/>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47"/>
    <w:bookmarkStart w:id="148"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35"/>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35"/>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48"/>
    <w:bookmarkEnd w:id="149"/>
    <w:bookmarkStart w:id="170" w:name="using-serocalculator"/>
    <w:p>
      <w:pPr>
        <w:pStyle w:val="Heading1"/>
      </w:pPr>
      <w:r>
        <w:t xml:space="preserve">7. Using</w:t>
      </w:r>
      <w:r>
        <w:t xml:space="preserve"> </w:t>
      </w:r>
      <w:r>
        <w:rPr>
          <w:rStyle w:val="VerbatimChar"/>
        </w:rPr>
        <w:t xml:space="preserve">serocalculator</w:t>
      </w:r>
    </w:p>
    <w:bookmarkStart w:id="151"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50">
        <w:r>
          <w:rPr>
            <w:rStyle w:val="VerbatimChar"/>
          </w:rPr>
          <w:t xml:space="preserve">serocalculator</w:t>
        </w:r>
      </w:hyperlink>
      <w:r>
        <w:t xml:space="preserve"> </w:t>
      </w:r>
      <w:r>
        <w:t xml:space="preserve">R package.</w:t>
      </w:r>
    </w:p>
    <w:p>
      <w:pPr>
        <w:pStyle w:val="BodyText"/>
      </w:pPr>
      <w:r>
        <w:t xml:space="preserve">The rest of this section walks through the whole estimation pipeline on</w:t>
      </w:r>
      <w:r>
        <w:t xml:space="preserve"> </w:t>
      </w:r>
      <w:r>
        <w:rPr>
          <w:b/>
          <w:bCs/>
        </w:rPr>
        <w:t xml:space="preserve">simulated</w:t>
      </w:r>
      <w:r>
        <w:t xml:space="preserve"> </w:t>
      </w:r>
      <w:r>
        <w:t xml:space="preserve">data, where the true incidence rate is known and the estimate</w:t>
      </w:r>
      <w:r>
        <w:t xml:space="preserve"> </w:t>
      </w:r>
      <w:r>
        <w:t xml:space="preserve">can be checked against it.</w:t>
      </w:r>
      <w:r>
        <w:t xml:space="preserve"> </w:t>
      </w:r>
      <w:hyperlink w:anchor="sec-validation">
        <w:r>
          <w:rPr>
            <w:rStyle w:val="Hyperlink"/>
          </w:rPr>
          <w:t xml:space="preserve">Section 8</w:t>
        </w:r>
      </w:hyperlink>
      <w:r>
        <w:t xml:space="preserve"> </w:t>
      </w:r>
      <w:r>
        <w:t xml:space="preserve">then repeats the exercise across</w:t>
      </w:r>
      <w:r>
        <w:t xml:space="preserve"> </w:t>
      </w:r>
      <w:r>
        <w:t xml:space="preserve">many simulated populations at once.</w:t>
      </w:r>
    </w:p>
    <w:bookmarkEnd w:id="151"/>
    <w:bookmarkStart w:id="152" w:name="simulating-a-cross-sectional-survey"/>
    <w:p>
      <w:pPr>
        <w:pStyle w:val="Heading2"/>
      </w:pPr>
      <w:r>
        <w:t xml:space="preserve">7.2 Simulating a cross-sectional survey</w:t>
      </w:r>
    </w:p>
    <w:p>
      <w:pPr>
        <w:pStyle w:val="FirstParagraph"/>
      </w:pPr>
      <w:r>
        <w:rPr>
          <w:rStyle w:val="VerbatimChar"/>
        </w:rPr>
        <w:t xml:space="preserve">sim_pop_data()</w:t>
      </w:r>
      <w:r>
        <w:t xml:space="preserve"> </w:t>
      </w:r>
      <w:r>
        <w:t xml:space="preserve">simulates infections as a Poisson process with rate</w:t>
      </w:r>
      <w:r>
        <w:t xml:space="preserve"> </w:t>
      </w:r>
      <w:r>
        <w:rPr>
          <w:rStyle w:val="VerbatimChar"/>
        </w:rPr>
        <w:t xml:space="preserve">lambda</w:t>
      </w:r>
      <w:r>
        <w:t xml:space="preserve">, then generates each person’s antibody levels from the seroresponse</w:t>
      </w:r>
      <w:r>
        <w:t xml:space="preserve"> </w:t>
      </w:r>
      <w:r>
        <w:t xml:space="preserve">model:</w:t>
      </w:r>
    </w:p>
    <w:p>
      <w:pPr>
        <w:pStyle w:val="BodyText"/>
      </w:pPr>
      <w:r>
        <w:t xml:space="preserve">Each individual is simulated separately, but their antibodies are modelled</w:t>
      </w:r>
      <w:r>
        <w:t xml:space="preserve"> </w:t>
      </w:r>
      <w:r>
        <w:t xml:space="preserve">jointly, so the biomarkers share one latent infection history.</w:t>
      </w:r>
    </w:p>
    <w:p>
      <w:pPr>
        <w:pStyle w:val="BodyText"/>
      </w:pPr>
      <w:r>
        <w:t xml:space="preserve">Three arguments are worth knowing:</w:t>
      </w:r>
    </w:p>
    <w:p>
      <w:pPr>
        <w:pStyle w:val="Compact"/>
        <w:numPr>
          <w:ilvl w:val="0"/>
          <w:numId w:val="1036"/>
        </w:numPr>
      </w:pPr>
      <w:r>
        <w:rPr>
          <w:rStyle w:val="VerbatimChar"/>
        </w:rPr>
        <w:t xml:space="preserve">renew_params</w:t>
      </w:r>
      <w:r>
        <w:t xml:space="preserve"> </w:t>
      </w:r>
      <w:r>
        <w:t xml:space="preserve">decides whether each infection draws a fresh parameter set</w:t>
      </w:r>
      <w:r>
        <w:t xml:space="preserve"> </w:t>
      </w:r>
      <w:r>
        <w:t xml:space="preserve">from the posterior.</w:t>
      </w:r>
      <w:r>
        <w:t xml:space="preserve"> </w:t>
      </w:r>
      <w:r>
        <w:rPr>
          <w:rStyle w:val="VerbatimChar"/>
        </w:rPr>
        <w:t xml:space="preserve">FALSE</w:t>
      </w:r>
      <w:r>
        <w:t xml:space="preserve"> </w:t>
      </w:r>
      <w:r>
        <w:t xml:space="preserve">(used here) picks one set at birth and keeps it,</w:t>
      </w:r>
      <w:r>
        <w:t xml:space="preserve"> </w:t>
      </w:r>
      <w:r>
        <w:t xml:space="preserve">updating only the baseline level</w:t>
      </w:r>
      <w:r>
        <w:t xml:space="preserve"> </w:t>
      </w:r>
      <w:r>
        <w:rPr>
          <w:rStyle w:val="VerbatimChar"/>
        </w:rPr>
        <w:t xml:space="preserve">y0</w:t>
      </w:r>
      <w:r>
        <w:t xml:space="preserve"> </w:t>
      </w:r>
      <w:r>
        <w:t xml:space="preserve">before each new infection.</w:t>
      </w:r>
      <w:r>
        <w:t xml:space="preserve"> </w:t>
      </w:r>
      <w:r>
        <w:rPr>
          <w:rStyle w:val="VerbatimChar"/>
        </w:rPr>
        <w:t xml:space="preserve">TRUE</w:t>
      </w:r>
      <w:r>
        <w:t xml:space="preserve"> </w:t>
      </w:r>
      <w:r>
        <w:t xml:space="preserve">is</w:t>
      </w:r>
      <w:r>
        <w:t xml:space="preserve"> </w:t>
      </w:r>
      <w:r>
        <w:t xml:space="preserve">more realistic but is not what the estimation method assumes — see the</w:t>
      </w:r>
      <w:r>
        <w:t xml:space="preserve"> </w:t>
      </w:r>
      <w:r>
        <w:t xml:space="preserve">bias check at the end of</w:t>
      </w:r>
      <w:r>
        <w:t xml:space="preserve"> </w:t>
      </w:r>
      <w:hyperlink w:anchor="sec-validation">
        <w:r>
          <w:rPr>
            <w:rStyle w:val="Hyperlink"/>
          </w:rPr>
          <w:t xml:space="preserve">Section 8</w:t>
        </w:r>
      </w:hyperlink>
      <w:r>
        <w:t xml:space="preserve">.</w:t>
      </w:r>
    </w:p>
    <w:p>
      <w:pPr>
        <w:pStyle w:val="Compact"/>
        <w:numPr>
          <w:ilvl w:val="0"/>
          <w:numId w:val="1036"/>
        </w:numPr>
      </w:pPr>
      <w:r>
        <w:rPr>
          <w:rStyle w:val="VerbatimChar"/>
        </w:rPr>
        <w:t xml:space="preserve">age_fixed</w:t>
      </w:r>
      <w:r>
        <w:t xml:space="preserve"> </w:t>
      </w:r>
      <w:r>
        <w:t xml:space="preserve">fixes the age at which longitudinal parameters are evaluated;</w:t>
      </w:r>
      <w:r>
        <w:t xml:space="preserve"> </w:t>
      </w:r>
      <w:r>
        <w:t xml:space="preserve">setting it to</w:t>
      </w:r>
      <w:r>
        <w:t xml:space="preserve"> </w:t>
      </w:r>
      <w:r>
        <w:rPr>
          <w:rStyle w:val="VerbatimChar"/>
        </w:rPr>
        <w:t xml:space="preserve">NA</w:t>
      </w:r>
      <w:r>
        <w:t xml:space="preserve"> </w:t>
      </w:r>
      <w:r>
        <w:t xml:space="preserve">uses the age at infection instead.</w:t>
      </w:r>
    </w:p>
    <w:p>
      <w:pPr>
        <w:pStyle w:val="Compact"/>
        <w:numPr>
          <w:ilvl w:val="0"/>
          <w:numId w:val="1036"/>
        </w:numPr>
      </w:pPr>
      <w:r>
        <w:rPr>
          <w:rStyle w:val="VerbatimChar"/>
        </w:rPr>
        <w:t xml:space="preserve">n_mcmc_samples = 0</w:t>
      </w:r>
      <w:r>
        <w:t xml:space="preserve"> </w:t>
      </w:r>
      <w:r>
        <w:t xml:space="preserve">draws a random posterior sample for each infection.</w:t>
      </w:r>
      <w:r>
        <w:t xml:space="preserve"> </w:t>
      </w:r>
      <w:r>
        <w:t xml:space="preserve">Fixing it to a value in</w:t>
      </w:r>
      <w:r>
        <w:t xml:space="preserve"> </w:t>
      </w:r>
      <w:r>
        <w:rPr>
          <w:rStyle w:val="VerbatimChar"/>
        </w:rPr>
        <w:t xml:space="preserve">1:4000</w:t>
      </w:r>
      <w:r>
        <w:t xml:space="preserve"> </w:t>
      </w:r>
      <w:r>
        <w:t xml:space="preserve">reuses that one sample throughout, which is</w:t>
      </w:r>
      <w:r>
        <w:t xml:space="preserve"> </w:t>
      </w:r>
      <w:r>
        <w:t xml:space="preserve">useful for diagnostics.</w:t>
      </w:r>
    </w:p>
    <w:bookmarkEnd w:id="152"/>
    <w:bookmarkStart w:id="153" w:name="noise-parameters"/>
    <w:p>
      <w:pPr>
        <w:pStyle w:val="Heading2"/>
      </w:pPr>
      <w:r>
        <w:t xml:space="preserve">7.3 Noise parameters</w:t>
      </w:r>
    </w:p>
    <w:p>
      <w:pPr>
        <w:pStyle w:val="FirstParagraph"/>
      </w:pPr>
      <w:r>
        <w:t xml:space="preserve">Estimation needs its own noise parameters, matching</w:t>
      </w:r>
      <w:r>
        <w:t xml:space="preserve"> </w:t>
      </w:r>
      <w:hyperlink w:anchor="sec-noise">
        <w:r>
          <w:rPr>
            <w:rStyle w:val="Hyperlink"/>
          </w:rPr>
          <w:t xml:space="preserve">Section 5.6</w:t>
        </w:r>
      </w:hyperlink>
      <w:r>
        <w:t xml:space="preserve">. Here they are</w:t>
      </w:r>
      <w:r>
        <w:t xml:space="preserve"> </w:t>
      </w:r>
      <w:r>
        <w:t xml:space="preserve">declared directly, consistent with the noise used to generate the data above:</w:t>
      </w:r>
    </w:p>
    <w:bookmarkEnd w:id="153"/>
    <w:bookmarkStart w:id="158" w:name="the-simulated-antibody-distribution"/>
    <w:p>
      <w:pPr>
        <w:pStyle w:val="Heading2"/>
      </w:pPr>
      <w:r>
        <w:t xml:space="preserve">7.4 The simulated antibody distribution</w:t>
      </w:r>
    </w:p>
    <w:tbl>
      <w:tblPr>
        <w:tblStyle w:val="Table"/>
        <w:tblW w:type="pct" w:w="5000"/>
        <w:tblLayout w:type="fixed"/>
        <w:tblLook w:firstRow="0" w:lastRow="0" w:firstColumn="0" w:lastColumn="0" w:noHBand="0" w:noVBand="0" w:val="0000"/>
      </w:tblPr>
      <w:tblGrid>
        <w:gridCol w:w="7920"/>
      </w:tblGrid>
      <w:tr>
        <w:tc>
          <w:tcPr/>
          <w:bookmarkStart w:id="157" w:name="fig-sim-distribution"/>
          <w:p>
            <w:pPr>
              <w:pStyle w:val="Compact"/>
              <w:jc w:val="center"/>
            </w:pPr>
            <w:r>
              <w:drawing>
                <wp:inline>
                  <wp:extent cx="4620126" cy="3696101"/>
                  <wp:effectExtent b="0" l="0" r="0" t="0"/>
                  <wp:docPr descr="" title="" id="155" name="Picture"/>
                  <a:graphic>
                    <a:graphicData uri="http://schemas.openxmlformats.org/drawingml/2006/picture">
                      <pic:pic>
                        <pic:nvPicPr>
                          <pic:cNvPr descr="methodology_files/figure-docx/fig-sim-distribution-1.png" id="156" name="Picture"/>
                          <pic:cNvPicPr>
                            <a:picLocks noChangeArrowheads="1" noChangeAspect="1"/>
                          </pic:cNvPicPr>
                        </pic:nvPicPr>
                        <pic:blipFill>
                          <a:blip r:embed="rId15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Distribution of simulated antibody responses, by antigen-isotype.</w:t>
            </w:r>
          </w:p>
          <w:bookmarkEnd w:id="157"/>
        </w:tc>
      </w:tr>
    </w:tbl>
    <w:bookmarkEnd w:id="158"/>
    <w:bookmarkStart w:id="163" w:name="X8cfd16bb684e4ad6c62f9f78cbc8ef954016035"/>
    <w:p>
      <w:pPr>
        <w:pStyle w:val="Heading2"/>
      </w:pPr>
      <w:r>
        <w:t xml:space="preserve">7.5 Estimating incidence from the simulated survey</w:t>
      </w:r>
    </w:p>
    <w:p>
      <w:pPr>
        <w:pStyle w:val="FirstParagraph"/>
      </w:pPr>
      <w:r>
        <w:rPr>
          <w:rStyle w:val="VerbatimChar"/>
        </w:rPr>
        <w:t xml:space="preserve">est_seroincidence()</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p>
    <w:p>
      <w:pPr>
        <w:pStyle w:val="SourceCode"/>
      </w:pPr>
      <w:r>
        <w:rPr>
          <w:rStyle w:val="VerbatimChar"/>
        </w:rPr>
        <w:t xml:space="preserve"># A tibble: 1 × 11</w:t>
      </w:r>
      <w:r>
        <w:br/>
      </w:r>
      <w:r>
        <w:rPr>
          <w:rStyle w:val="VerbatimChar"/>
        </w:rPr>
        <w:t xml:space="preserve">  est.start incidence.rate     SE CI.lwr CI.upr se_type  coverage log.lik</w:t>
      </w:r>
      <w:r>
        <w:br/>
      </w:r>
      <w:r>
        <w:rPr>
          <w:rStyle w:val="VerbatimChar"/>
        </w:rPr>
        <w:t xml:space="preserve">      &lt;dbl&gt;          &lt;dbl&gt;  &lt;dbl&gt;  &lt;dbl&gt;  &lt;dbl&gt; &lt;chr&gt;       &lt;dbl&gt;   &lt;dbl&gt;</w:t>
      </w:r>
      <w:r>
        <w:br/>
      </w:r>
      <w:r>
        <w:rPr>
          <w:rStyle w:val="VerbatimChar"/>
        </w:rPr>
        <w:t xml:space="preserve">1       0.1          0.194 0.0213  0.157  0.241 standard     0.95   -469.</w:t>
      </w:r>
      <w:r>
        <w:br/>
      </w:r>
      <w:r>
        <w:rPr>
          <w:rStyle w:val="VerbatimChar"/>
        </w:rPr>
        <w:t xml:space="preserve"># ℹ 3 more variables: iterations &lt;int&gt;, antigen.isos &lt;chr&gt;,</w:t>
      </w:r>
      <w:r>
        <w:br/>
      </w:r>
      <w:r>
        <w:rPr>
          <w:rStyle w:val="VerbatimChar"/>
        </w:rPr>
        <w:t xml:space="preserve">#   nlm.convergence.code &lt;ord&gt;</w:t>
      </w:r>
    </w:p>
    <w:p>
      <w:pPr>
        <w:pStyle w:val="FirstParagraph"/>
      </w:pPr>
      <w:r>
        <w:t xml:space="preserve">The true rate used to generate these data was</w:t>
      </w:r>
      <w:r>
        <w:t xml:space="preserve"> </w:t>
      </w:r>
      <w:r>
        <w:t xml:space="preserve">0.2 infections per person-year.</w:t>
      </w:r>
    </w:p>
    <w:p>
      <w:pPr>
        <w:pStyle w:val="BodyText"/>
      </w:pPr>
      <w:r>
        <w:rPr>
          <w:rStyle w:val="VerbatimChar"/>
        </w:rPr>
        <w:t xml:space="preserve">autoplot()</w:t>
      </w:r>
      <w:r>
        <w:t xml:space="preserve"> </w:t>
      </w:r>
      <w:r>
        <w:t xml:space="preserve">draws the log-likelihood curve, with the maximum marked:</w:t>
      </w:r>
    </w:p>
    <w:tbl>
      <w:tblPr>
        <w:tblStyle w:val="Table"/>
        <w:tblW w:type="pct" w:w="5000"/>
        <w:tblLayout w:type="fixed"/>
        <w:tblLook w:firstRow="0" w:lastRow="0" w:firstColumn="0" w:lastColumn="0" w:noHBand="0" w:noVBand="0" w:val="0000"/>
      </w:tblPr>
      <w:tblGrid>
        <w:gridCol w:w="7920"/>
      </w:tblGrid>
      <w:tr>
        <w:tc>
          <w:tcPr/>
          <w:bookmarkStart w:id="162" w:name="fig-est-single-loglik"/>
          <w:p>
            <w:pPr>
              <w:pStyle w:val="Compact"/>
              <w:jc w:val="center"/>
            </w:pPr>
            <w:r>
              <w:drawing>
                <wp:inline>
                  <wp:extent cx="4620126" cy="3696101"/>
                  <wp:effectExtent b="0" l="0" r="0" t="0"/>
                  <wp:docPr descr="" title="" id="160" name="Picture"/>
                  <a:graphic>
                    <a:graphicData uri="http://schemas.openxmlformats.org/drawingml/2006/picture">
                      <pic:pic>
                        <pic:nvPicPr>
                          <pic:cNvPr descr="methodology_files/figure-docx/fig-est-single-loglik-1.png" id="161" name="Picture"/>
                          <pic:cNvPicPr>
                            <a:picLocks noChangeArrowheads="1" noChangeAspect="1"/>
                          </pic:cNvPicPr>
                        </pic:nvPicPr>
                        <pic:blipFill>
                          <a:blip r:embed="rId1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Log-likelihood curve for the simulated survey, on a log x-axis.</w:t>
            </w:r>
          </w:p>
          <w:bookmarkEnd w:id="162"/>
        </w:tc>
      </w:tr>
    </w:tbl>
    <w:bookmarkEnd w:id="163"/>
    <w:bookmarkStart w:id="164" w:name="estimating-seroincidence-in-real-data"/>
    <w:p>
      <w:pPr>
        <w:pStyle w:val="Heading2"/>
      </w:pPr>
      <w:r>
        <w:t xml:space="preserve">7.6 Estimating seroincidence in real data</w:t>
      </w:r>
    </w:p>
    <w:p>
      <w:pPr>
        <w:pStyle w:val="FirstParagraph"/>
      </w:pPr>
      <w:r>
        <w:t xml:space="preserve">The same call works on a real serosurvey.</w:t>
      </w:r>
      <w:r>
        <w:t xml:space="preserve"> </w:t>
      </w:r>
      <w:r>
        <w:rPr>
          <w:rStyle w:val="VerbatimChar"/>
        </w:rPr>
        <w:t xml:space="preserve">est_seroincidence_by()</w:t>
      </w:r>
      <w:r>
        <w:t xml:space="preserve"> </w:t>
      </w:r>
      <w:r>
        <w:t xml:space="preserve">estimates</w:t>
      </w:r>
      <w:r>
        <w:t xml:space="preserve"> </w:t>
      </w:r>
      <w:r>
        <w:t xml:space="preserve">separately within each stratum, 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 (cluster-robust,</w:t>
      </w:r>
      <w:r>
        <w:t xml:space="preserve"> </w:t>
      </w:r>
      <w:r>
        <w:t xml:space="preserve">if</w:t>
      </w:r>
      <w:r>
        <w:t xml:space="preserve"> </w:t>
      </w:r>
      <w:r>
        <w:rPr>
          <w:rStyle w:val="VerbatimChar"/>
        </w:rPr>
        <w:t xml:space="preserve">cluster_var</w:t>
      </w:r>
      <w:r>
        <w:t xml:space="preserve"> </w:t>
      </w:r>
      <w:r>
        <w:t xml:space="preserve">was supplied):</w:t>
      </w:r>
    </w:p>
    <w:p>
      <w:pPr>
        <w:pStyle w:val="SourceCode"/>
      </w:pP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r>
        <w:br/>
      </w:r>
      <w:r>
        <w:br/>
      </w: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64"/>
    <w:bookmarkStart w:id="169" w:name="interactive-shiny-app"/>
    <w:p>
      <w:pPr>
        <w:pStyle w:val="Heading2"/>
      </w:pPr>
      <w:r>
        <w:t xml:space="preserve">7.7 Interactive Shiny app</w:t>
      </w:r>
    </w:p>
    <w:p>
      <w:pPr>
        <w:pStyle w:val="FirstParagraph"/>
      </w:pPr>
      <w:r>
        <w:t xml:space="preserve">A point-and-click interface is available at</w:t>
      </w:r>
      <w:r>
        <w:t xml:space="preserve"> </w:t>
      </w:r>
      <w:hyperlink r:id="rId165">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67" name="Picture"/>
            <a:graphic>
              <a:graphicData uri="http://schemas.openxmlformats.org/drawingml/2006/picture">
                <pic:pic>
                  <pic:nvPicPr>
                    <pic:cNvPr descr="../man/figures/shiny-serocalculator.png" id="168" name="Picture"/>
                    <pic:cNvPicPr>
                      <a:picLocks noChangeArrowheads="1" noChangeAspect="1"/>
                    </pic:cNvPicPr>
                  </pic:nvPicPr>
                  <pic:blipFill>
                    <a:blip r:embed="rId166"/>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69"/>
    <w:bookmarkEnd w:id="170"/>
    <w:bookmarkStart w:id="209" w:name="sec-validation"/>
    <w:p>
      <w:pPr>
        <w:pStyle w:val="Heading1"/>
      </w:pPr>
      <w:r>
        <w:t xml:space="preserve">8. Validation: recovering known incidence rates</w:t>
      </w:r>
    </w:p>
    <w:bookmarkStart w:id="175" w:name="simulating-clusters-with-known-incidence"/>
    <w:p>
      <w:pPr>
        <w:pStyle w:val="Heading2"/>
      </w:pPr>
      <w:r>
        <w:t xml:space="preserve">8.1 Simulating clusters with known incidence</w:t>
      </w:r>
    </w:p>
    <w:p>
      <w:pPr>
        <w:pStyle w:val="FirstParagraph"/>
      </w:pPr>
      <w:r>
        <w:t xml:space="preserve">The single survey above recovered a rate close to the one that generated it.</w:t>
      </w:r>
      <w:r>
        <w:t xml:space="preserve"> </w:t>
      </w:r>
      <w:r>
        <w:t xml:space="preserve">To check that this was not luck, we simulate many clusters across a range of</w:t>
      </w:r>
      <w:r>
        <w:t xml:space="preserve"> </w:t>
      </w:r>
      <w:r>
        <w:rPr>
          <w:b/>
          <w:bCs/>
        </w:rPr>
        <w:t xml:space="preserve">known</w:t>
      </w:r>
      <w:r>
        <w:t xml:space="preserve"> </w:t>
      </w:r>
      <w:r>
        <w:t xml:space="preserve">incidence rates and ask whether the estimates track them.</w:t>
      </w:r>
    </w:p>
    <w:p>
      <w:pPr>
        <w:pStyle w:val="BodyText"/>
      </w:pPr>
      <w:r>
        <w:t xml:space="preserve">That is 6 rates times 20 clusters times</w:t>
      </w:r>
      <w:r>
        <w:t xml:space="preserve"> </w:t>
      </w:r>
      <w:r>
        <w:t xml:space="preserve">100 participants — 1.2</w:t>
      </w:r>
      <w:r>
        <w:t xml:space="preserve">^{4}</w:t>
      </w:r>
      <w:r>
        <w:t xml:space="preserve"> </w:t>
      </w:r>
      <w:r>
        <w:t xml:space="preserve">simulated individuals.</w:t>
      </w:r>
    </w:p>
    <w:p>
      <w:pPr>
        <w:pStyle w:val="BodyText"/>
      </w:pPr>
      <w:r>
        <w:t xml:space="preserve">Simulating and estimating on that many people is by far the most expensive</w:t>
      </w:r>
      <w:r>
        <w:t xml:space="preserve"> </w:t>
      </w:r>
      <w:r>
        <w:t xml:space="preserve">work in this document, and it renders to three formats, so the work would</w:t>
      </w:r>
      <w:r>
        <w:t xml:space="preserve"> </w:t>
      </w:r>
      <w:r>
        <w:t xml:space="preserve">otherwise be repeated three times per build.</w:t>
      </w:r>
      <w:r>
        <w:t xml:space="preserve"> </w:t>
      </w:r>
      <w:r>
        <w:rPr>
          <w:rStyle w:val="VerbatimChar"/>
        </w:rPr>
        <w:t xml:space="preserve">sim_pop_data_multi_cached()</w:t>
      </w:r>
      <w:r>
        <w:t xml:space="preserve"> </w:t>
      </w:r>
      <w:r>
        <w:t xml:space="preserve">and</w:t>
      </w:r>
      <w:r>
        <w:t xml:space="preserve"> </w:t>
      </w:r>
      <w:r>
        <w:rPr>
          <w:rStyle w:val="VerbatimChar"/>
        </w:rPr>
        <w:t xml:space="preserve">est_seroincidence_by_cached()</w:t>
      </w:r>
      <w:r>
        <w:t xml:space="preserve"> </w:t>
      </w:r>
      <w:r>
        <w:t xml:space="preserve">write their</w:t>
      </w:r>
      <w:r>
        <w:t xml:space="preserve"> </w:t>
      </w:r>
      <w:r>
        <w:t xml:space="preserve">results to a committed cache directory keyed on their arguments, so a build</w:t>
      </w:r>
      <w:r>
        <w:t xml:space="preserve"> </w:t>
      </w:r>
      <w:r>
        <w:t xml:space="preserve">reuses them and only recomputes when the simulation settings actually change.</w:t>
      </w:r>
    </w:p>
    <w:tbl>
      <w:tblPr>
        <w:tblStyle w:val="Table"/>
        <w:tblW w:type="pct" w:w="5000"/>
        <w:tblLayout w:type="fixed"/>
        <w:tblLook w:firstRow="0" w:lastRow="0" w:firstColumn="0" w:lastColumn="0" w:noHBand="0" w:noVBand="0" w:val="0000"/>
      </w:tblPr>
      <w:tblGrid>
        <w:gridCol w:w="7920"/>
      </w:tblGrid>
      <w:tr>
        <w:tc>
          <w:tcPr/>
          <w:bookmarkStart w:id="174" w:name="fig-sim-multi-distribution"/>
          <w:p>
            <w:pPr>
              <w:pStyle w:val="Compact"/>
              <w:jc w:val="center"/>
            </w:pPr>
            <w:r>
              <w:drawing>
                <wp:inline>
                  <wp:extent cx="4620126" cy="4620126"/>
                  <wp:effectExtent b="0" l="0" r="0" t="0"/>
                  <wp:docPr descr="" title="" id="172" name="Picture"/>
                  <a:graphic>
                    <a:graphicData uri="http://schemas.openxmlformats.org/drawingml/2006/picture">
                      <pic:pic>
                        <pic:nvPicPr>
                          <pic:cNvPr descr="methodology_files/figure-docx/fig-sim-multi-distribution-1.png" id="173" name="Picture"/>
                          <pic:cNvPicPr>
                            <a:picLocks noChangeArrowheads="1" noChangeAspect="1"/>
                          </pic:cNvPicPr>
                        </pic:nvPicPr>
                        <pic:blipFill>
                          <a:blip r:embed="rId171"/>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Simulated antibody responses by cluster, faceted by antigen-isotype and by the true incidence rate used to generate each cluster.</w:t>
            </w:r>
          </w:p>
          <w:bookmarkEnd w:id="174"/>
        </w:tc>
      </w:tr>
    </w:tbl>
    <w:bookmarkEnd w:id="175"/>
    <w:bookmarkStart w:id="177" w:name="estimating-incidence-in-each-cluster"/>
    <w:p>
      <w:pPr>
        <w:pStyle w:val="Heading2"/>
      </w:pPr>
      <w:r>
        <w:t xml:space="preserve">8.2 Estimating incidence in each cluster</w:t>
      </w:r>
    </w:p>
    <w:p>
      <w:pPr>
        <w:pStyle w:val="FirstParagraph"/>
      </w:pPr>
      <w:r>
        <w:rPr>
          <w:rStyle w:val="VerbatimChar"/>
        </w:rPr>
        <w:t xml:space="preserve">summary()</w:t>
      </w:r>
      <w:r>
        <w:t xml:space="preserve"> </w:t>
      </w:r>
      <w:r>
        <w:t xml:space="preserve">returns a</w:t>
      </w:r>
      <w:r>
        <w:t xml:space="preserve"> </w:t>
      </w:r>
      <w:r>
        <w:rPr>
          <w:rStyle w:val="VerbatimChar"/>
        </w:rPr>
        <w:t xml:space="preserve">tibble()</w:t>
      </w:r>
      <w:r>
        <w:t xml:space="preserve"> </w:t>
      </w:r>
      <w:r>
        <w:t xml:space="preserve">carrying some extra metadata about the</w:t>
      </w:r>
      <w:r>
        <w:t xml:space="preserve"> </w:t>
      </w:r>
      <w:r>
        <w:t xml:space="preserve">stratification.</w:t>
      </w:r>
    </w:p>
    <w:tbl>
      <w:tblPr>
        <w:tblStyle w:val="Table"/>
        <w:tblW w:type="pct" w:w="5000"/>
        <w:tblLayout w:type="fixed"/>
        <w:tblLook w:firstRow="0" w:lastRow="0" w:firstColumn="0" w:lastColumn="0" w:noHBand="0" w:noVBand="0" w:val="0000"/>
      </w:tblPr>
      <w:tblGrid>
        <w:gridCol w:w="7920"/>
      </w:tblGrid>
      <w:tr>
        <w:tc>
          <w:tcPr/>
          <w:bookmarkStart w:id="176" w:name="tbl-ests-summary"/>
          <w:p>
            <w:pPr>
              <w:jc w:val="center"/>
            </w:pPr>
            <w:pPr>
              <w:jc w:val="left"/>
              <w:spacing w:before="200"/>
              <w:pStyle w:val="ImageCaption"/>
            </w:pPr>
            <w:r>
              <w:t xml:space="preserve">Table 2</w:t>
            </w:r>
          </w:p>
          <w:p>
            <w:pPr>
              <w:pStyle w:val="SourceCode"/>
              <w:jc w:val="center"/>
            </w:pPr>
            <w:r>
              <w:rPr>
                <w:rStyle w:val="VerbatimChar"/>
              </w:rPr>
              <w:t xml:space="preserve">Seroincidence estimated given the following setup:</w:t>
            </w:r>
            <w:r>
              <w:br/>
            </w:r>
            <w:r>
              <w:rPr>
                <w:rStyle w:val="VerbatimChar"/>
              </w:rPr>
              <w:t xml:space="preserve">a) Antigen isotypes   : HlyE_IgA, HlyE_IgG </w:t>
            </w:r>
            <w:r>
              <w:br/>
            </w:r>
            <w:r>
              <w:rPr>
                <w:rStyle w:val="VerbatimChar"/>
              </w:rPr>
              <w:t xml:space="preserve">b) Strata       : sample_size, lambda.sim, cluster </w:t>
            </w:r>
            <w:r>
              <w:br/>
            </w:r>
            <w:r>
              <w:br/>
            </w:r>
            <w:r>
              <w:rPr>
                <w:rStyle w:val="VerbatimChar"/>
              </w:rPr>
              <w:t xml:space="preserve"> Seroincidence estimates:</w:t>
            </w:r>
            <w:r>
              <w:br/>
            </w:r>
            <w:r>
              <w:rPr>
                <w:rStyle w:val="VerbatimChar"/>
              </w:rPr>
              <w:t xml:space="preserve"># A tibble: 120 × 16</w:t>
            </w:r>
            <w:r>
              <w:br/>
            </w:r>
            <w:r>
              <w:rPr>
                <w:rStyle w:val="VerbatimChar"/>
              </w:rPr>
              <w:t xml:space="preserve">   Stratum  sample_size lambda.sim cluster     n est.start incidence.rate     SE</w:t>
            </w:r>
            <w:r>
              <w:br/>
            </w:r>
            <w:r>
              <w:rPr>
                <w:rStyle w:val="VerbatimChar"/>
              </w:rPr>
              <w:t xml:space="preserve">   &lt;chr&gt;          &lt;dbl&gt;      &lt;dbl&gt;   &lt;int&gt; &lt;int&gt;     &lt;dbl&gt;          &lt;dbl&gt;  &lt;dbl&gt;</w:t>
            </w:r>
            <w:r>
              <w:br/>
            </w:r>
            <w:r>
              <w:rPr>
                <w:rStyle w:val="VerbatimChar"/>
              </w:rPr>
              <w:t xml:space="preserve"> 1 Stratum…         100       0.05       1   100       0.1         0.0538 0.0137</w:t>
            </w:r>
            <w:r>
              <w:br/>
            </w:r>
            <w:r>
              <w:rPr>
                <w:rStyle w:val="VerbatimChar"/>
              </w:rPr>
              <w:t xml:space="preserve"> 2 Stratum…         100       0.05       2   100       0.1         0.0462 0.0113</w:t>
            </w:r>
            <w:r>
              <w:br/>
            </w:r>
            <w:r>
              <w:rPr>
                <w:rStyle w:val="VerbatimChar"/>
              </w:rPr>
              <w:t xml:space="preserve"> 3 Stratum…         100       0.05       3   100       0.1         0.0446 0.0110</w:t>
            </w:r>
            <w:r>
              <w:br/>
            </w:r>
            <w:r>
              <w:rPr>
                <w:rStyle w:val="VerbatimChar"/>
              </w:rPr>
              <w:t xml:space="preserve"> 4 Stratum…         100       0.05       4   100       0.1         0.0475 0.0109</w:t>
            </w:r>
            <w:r>
              <w:br/>
            </w:r>
            <w:r>
              <w:rPr>
                <w:rStyle w:val="VerbatimChar"/>
              </w:rPr>
              <w:t xml:space="preserve"> 5 Stratum…         100       0.05       5   100       0.1         0.0560 0.0131</w:t>
            </w:r>
            <w:r>
              <w:br/>
            </w:r>
            <w:r>
              <w:rPr>
                <w:rStyle w:val="VerbatimChar"/>
              </w:rPr>
              <w:t xml:space="preserve"> 6 Stratum…         100       0.05       6   100       0.1         0.0569 0.0126</w:t>
            </w:r>
            <w:r>
              <w:br/>
            </w:r>
            <w:r>
              <w:rPr>
                <w:rStyle w:val="VerbatimChar"/>
              </w:rPr>
              <w:t xml:space="preserve"> 7 Stratum…         100       0.05       7   100       0.1         0.0392 0.0101</w:t>
            </w:r>
            <w:r>
              <w:br/>
            </w:r>
            <w:r>
              <w:rPr>
                <w:rStyle w:val="VerbatimChar"/>
              </w:rPr>
              <w:t xml:space="preserve"> 8 Stratum…         100       0.05       8   100       0.1         0.0698 0.0148</w:t>
            </w:r>
            <w:r>
              <w:br/>
            </w:r>
            <w:r>
              <w:rPr>
                <w:rStyle w:val="VerbatimChar"/>
              </w:rPr>
              <w:t xml:space="preserve"> 9 Stratum…         100       0.05       9   100       0.1         0.0557 0.0130</w:t>
            </w:r>
            <w:r>
              <w:br/>
            </w:r>
            <w:r>
              <w:rPr>
                <w:rStyle w:val="VerbatimChar"/>
              </w:rPr>
              <w:t xml:space="preserve">10 Stratum…         100       0.05      10   100       0.1         0.0416 0.0105</w:t>
            </w:r>
            <w:r>
              <w:br/>
            </w:r>
            <w:r>
              <w:rPr>
                <w:rStyle w:val="VerbatimChar"/>
              </w:rPr>
              <w:t xml:space="preserve"># ℹ 110 more rows</w:t>
            </w:r>
            <w:r>
              <w:br/>
            </w:r>
            <w:r>
              <w:rPr>
                <w:rStyle w:val="VerbatimChar"/>
              </w:rPr>
              <w:t xml:space="preserve"># ℹ 8 more variables: CI.lwr &lt;dbl&gt;, CI.upr &lt;dbl&gt;, se_type &lt;chr&gt;,</w:t>
            </w:r>
            <w:r>
              <w:br/>
            </w:r>
            <w:r>
              <w:rPr>
                <w:rStyle w:val="VerbatimChar"/>
              </w:rPr>
              <w:t xml:space="preserve">#   coverage &lt;dbl&gt;, log.lik &lt;dbl&gt;, iterations &lt;int&gt;, antigen.isos &lt;chr&gt;,</w:t>
            </w:r>
            <w:r>
              <w:br/>
            </w:r>
            <w:r>
              <w:rPr>
                <w:rStyle w:val="VerbatimChar"/>
              </w:rPr>
              <w:t xml:space="preserve">#   nlm.convergence.code &lt;ord&gt;</w:t>
            </w:r>
          </w:p>
          <w:bookmarkEnd w:id="176"/>
        </w:tc>
      </w:tr>
    </w:tbl>
    <w:p>
      <w:pPr>
        <w:pStyle w:val="FirstParagraph"/>
      </w:pPr>
      <w:r>
        <w:t xml:space="preserve">The interactive table is HTML-only; other formats print the plain summary,</w:t>
      </w:r>
      <w:r>
        <w:t xml:space="preserve"> </w:t>
      </w:r>
      <w:r>
        <w:t xml:space="preserve">since converting the widget to a static image would need a headless browser.</w:t>
      </w:r>
    </w:p>
    <w:bookmarkEnd w:id="177"/>
    <w:bookmarkStart w:id="182" w:name="inspecting-individual-clusters"/>
    <w:p>
      <w:pPr>
        <w:pStyle w:val="Heading2"/>
      </w:pPr>
      <w:r>
        <w:t xml:space="preserve">8.3 Inspecting individual clusters</w:t>
      </w:r>
    </w:p>
    <w:p>
      <w:pPr>
        <w:pStyle w:val="FirstParagraph"/>
      </w:pPr>
      <w:r>
        <w:t xml:space="preserve">The cached fit above carries no log-likelihood curves, so the few clusters we</w:t>
      </w:r>
      <w:r>
        <w:t xml:space="preserve"> </w:t>
      </w:r>
      <w:r>
        <w:t xml:space="preserve">want to look at are re-fit with</w:t>
      </w:r>
      <w:r>
        <w:t xml:space="preserve"> </w:t>
      </w:r>
      <w:r>
        <w:rPr>
          <w:rStyle w:val="VerbatimChar"/>
        </w:rPr>
        <w:t xml:space="preserve">build_graph = TRUE</w:t>
      </w:r>
      <w:r>
        <w:t xml:space="preserve">. Strata are selected by</w:t>
      </w:r>
      <w:r>
        <w:t xml:space="preserve"> </w:t>
      </w:r>
      <w:r>
        <w:t xml:space="preserve">the columns that define them, because stratum</w:t>
      </w:r>
      <w:r>
        <w:t xml:space="preserve"> </w:t>
      </w:r>
      <w:r>
        <w:rPr>
          <w:i/>
          <w:iCs/>
        </w:rPr>
        <w:t xml:space="preserve">labels</w:t>
      </w:r>
      <w:r>
        <w:t xml:space="preserve"> </w:t>
      </w:r>
      <w:r>
        <w:t xml:space="preserve">are assigned</w:t>
      </w:r>
      <w:r>
        <w:t xml:space="preserve"> </w:t>
      </w:r>
      <w:r>
        <w:t xml:space="preserve">positionally and so are not stable across a subset:</w:t>
      </w:r>
    </w:p>
    <w:tbl>
      <w:tblPr>
        <w:tblStyle w:val="Table"/>
        <w:tblW w:type="pct" w:w="5000"/>
        <w:tblLayout w:type="fixed"/>
        <w:tblLook w:firstRow="0" w:lastRow="0" w:firstColumn="0" w:lastColumn="0" w:noHBand="0" w:noVBand="0" w:val="0000"/>
      </w:tblPr>
      <w:tblGrid>
        <w:gridCol w:w="7920"/>
      </w:tblGrid>
      <w:tr>
        <w:tc>
          <w:tcPr/>
          <w:bookmarkStart w:id="181" w:name="fig-cluster-logliks"/>
          <w:p>
            <w:pPr>
              <w:pStyle w:val="Compact"/>
              <w:jc w:val="center"/>
            </w:pPr>
            <w:r>
              <w:drawing>
                <wp:inline>
                  <wp:extent cx="4620126" cy="6468176"/>
                  <wp:effectExtent b="0" l="0" r="0" t="0"/>
                  <wp:docPr descr="" title="" id="179" name="Picture"/>
                  <a:graphic>
                    <a:graphicData uri="http://schemas.openxmlformats.org/drawingml/2006/picture">
                      <pic:pic>
                        <pic:nvPicPr>
                          <pic:cNvPr descr="methodology_files/figure-docx/fig-cluster-logliks-1.png" id="180" name="Picture"/>
                          <pic:cNvPicPr>
                            <a:picLocks noChangeArrowheads="1" noChangeAspect="1"/>
                          </pic:cNvPicPr>
                        </pic:nvPicPr>
                        <pic:blipFill>
                          <a:blip r:embed="rId178"/>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Log-likelihood curves for the first five simulated clusters.</w:t>
            </w:r>
          </w:p>
          <w:bookmarkEnd w:id="181"/>
        </w:tc>
      </w:tr>
    </w:tbl>
    <w:bookmarkEnd w:id="182"/>
    <w:bookmarkStart w:id="188" w:name="checking-nlm-convergence"/>
    <w:p>
      <w:pPr>
        <w:pStyle w:val="Heading2"/>
      </w:pPr>
      <w:r>
        <w:t xml:space="preserve">8.4 Checking</w:t>
      </w:r>
      <w:r>
        <w:t xml:space="preserve"> </w:t>
      </w:r>
      <w:r>
        <w:rPr>
          <w:rStyle w:val="VerbatimChar"/>
        </w:rPr>
        <w:t xml:space="preserve">nlm()</w:t>
      </w:r>
      <w:r>
        <w:t xml:space="preserve"> </w:t>
      </w:r>
      <w:r>
        <w:t xml:space="preserve">convergence</w:t>
      </w:r>
    </w:p>
    <w:p>
      <w:pPr>
        <w:pStyle w:val="FirstParagraph"/>
      </w:pPr>
      <w:r>
        <w:rPr>
          <w:rStyle w:val="VerbatimChar"/>
        </w:rPr>
        <w:t xml:space="preserve">est_seroincidence()</w:t>
      </w:r>
      <w:r>
        <w:t xml:space="preserve"> </w:t>
      </w:r>
      <w:r>
        <w:t xml:space="preserve">maximizes the log-likelihood numerically with</w:t>
      </w:r>
      <w:r>
        <w:t xml:space="preserve"> </w:t>
      </w:r>
      <w:r>
        <w:rPr>
          <w:rStyle w:val="VerbatimChar"/>
        </w:rPr>
        <w:t xml:space="preserve">stats::nlm()</w:t>
      </w:r>
      <w:r>
        <w:t xml:space="preserve">. Exit codes 3 to 5 flag a possible non-convergence, so they are</w:t>
      </w:r>
      <w:r>
        <w:t xml:space="preserve"> </w:t>
      </w:r>
      <w:r>
        <w:t xml:space="preserve">worth checking before trusting any of the estimates:</w:t>
      </w:r>
    </w:p>
    <w:p>
      <w:pPr>
        <w:pStyle w:val="SourceCode"/>
      </w:pPr>
      <w:r>
        <w:rPr>
          <w:rStyle w:val="VerbatimChar"/>
        </w:rPr>
        <w:t xml:space="preserve">[1] 10</w:t>
      </w:r>
    </w:p>
    <w:p>
      <w:pPr>
        <w:pStyle w:val="FirstParagraph"/>
      </w:pPr>
      <w:r>
        <w:t xml:space="preserve">Remedies, all passed through to</w:t>
      </w:r>
      <w:r>
        <w:t xml:space="preserve"> </w:t>
      </w:r>
      <w:r>
        <w:rPr>
          <w:rStyle w:val="VerbatimChar"/>
        </w:rPr>
        <w:t xml:space="preserve">nlm()</w:t>
      </w:r>
      <w:r>
        <w:t xml:space="preserve">:</w:t>
      </w:r>
    </w:p>
    <w:p>
      <w:pPr>
        <w:pStyle w:val="Compact"/>
        <w:numPr>
          <w:ilvl w:val="0"/>
          <w:numId w:val="1037"/>
        </w:numPr>
      </w:pPr>
      <w:r>
        <w:t xml:space="preserve">code 3: decrease</w:t>
      </w:r>
      <w:r>
        <w:t xml:space="preserve"> </w:t>
      </w:r>
      <w:r>
        <w:rPr>
          <w:rStyle w:val="VerbatimChar"/>
        </w:rPr>
        <w:t xml:space="preserve">stepmin</w:t>
      </w:r>
    </w:p>
    <w:p>
      <w:pPr>
        <w:pStyle w:val="Compact"/>
        <w:numPr>
          <w:ilvl w:val="0"/>
          <w:numId w:val="1037"/>
        </w:numPr>
      </w:pPr>
      <w:r>
        <w:t xml:space="preserve">code 4: increase</w:t>
      </w:r>
      <w:r>
        <w:t xml:space="preserve"> </w:t>
      </w:r>
      <w:r>
        <w:rPr>
          <w:rStyle w:val="VerbatimChar"/>
        </w:rPr>
        <w:t xml:space="preserve">iterlim</w:t>
      </w:r>
    </w:p>
    <w:p>
      <w:pPr>
        <w:pStyle w:val="Compact"/>
        <w:numPr>
          <w:ilvl w:val="0"/>
          <w:numId w:val="1037"/>
        </w:numPr>
      </w:pPr>
      <w:r>
        <w:t xml:space="preserve">code 5: increase</w:t>
      </w:r>
      <w:r>
        <w:t xml:space="preserve"> </w:t>
      </w:r>
      <w:r>
        <w:rPr>
          <w:rStyle w:val="VerbatimChar"/>
        </w:rPr>
        <w:t xml:space="preserve">stepmax</w:t>
      </w:r>
    </w:p>
    <w:p>
      <w:pPr>
        <w:pStyle w:val="FirstParagraph"/>
      </w:pPr>
      <w:r>
        <w:t xml:space="preserve">Pass them with</w:t>
      </w:r>
      <w:r>
        <w:t xml:space="preserve"> </w:t>
      </w:r>
      <w:r>
        <w:rPr>
          <w:rStyle w:val="VerbatimChar"/>
        </w:rPr>
        <w:t xml:space="preserve">num_cores = 1</w:t>
      </w:r>
      <w:r>
        <w:t xml:space="preserve">.</w:t>
      </w:r>
      <w:r>
        <w:t xml:space="preserve"> </w:t>
      </w:r>
      <w:r>
        <w:rPr>
          <w:rStyle w:val="VerbatimChar"/>
        </w:rPr>
        <w:t xml:space="preserve">est_seroincidence_by()</w:t>
      </w:r>
      <w:r>
        <w:t xml:space="preserve"> </w:t>
      </w:r>
      <w:r>
        <w:t xml:space="preserve">currently drops</w:t>
      </w:r>
      <w:r>
        <w:t xml:space="preserve"> </w:t>
      </w:r>
      <w:r>
        <w:t xml:space="preserve">these arguments in its parallel branch</w:t>
      </w:r>
      <w:r>
        <w:t xml:space="preserve"> </w:t>
      </w:r>
      <w:r>
        <w:t xml:space="preserve">(</w:t>
      </w:r>
      <w:hyperlink r:id="rId183">
        <w:r>
          <w:rPr>
            <w:rStyle w:val="Hyperlink"/>
          </w:rPr>
          <w:t xml:space="preserve">#629</w:t>
        </w:r>
      </w:hyperlink>
      <w:r>
        <w:t xml:space="preserve">), so under</w:t>
      </w:r>
      <w:r>
        <w:t xml:space="preserve"> </w:t>
      </w:r>
      <w:r>
        <w:t xml:space="preserve">parallelism they are silently ignored.</w:t>
      </w:r>
    </w:p>
    <w:p>
      <w:pPr>
        <w:pStyle w:val="SourceCode"/>
      </w:pPr>
      <w:r>
        <w:rPr>
          <w:rStyle w:val="VerbatimChar"/>
        </w:rPr>
        <w:t xml:space="preserve">Warning: Some strata are completely missing one or more biomarkers.</w:t>
      </w:r>
      <w:r>
        <w:br/>
      </w:r>
      <w:r>
        <w:rPr>
          <w:rStyle w:val="VerbatimChar"/>
        </w:rPr>
        <w:t xml:space="preserve">, , cluster = 1,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100   0  100   0 100   0</w:t>
      </w:r>
      <w:r>
        <w:br/>
      </w:r>
      <w:r>
        <w:br/>
      </w:r>
      <w:r>
        <w:rPr>
          <w:rStyle w:val="VerbatimChar"/>
        </w:rPr>
        <w:t xml:space="preserve">, , cluster = 7,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100 100    0   0   0   0</w:t>
      </w:r>
      <w:r>
        <w:br/>
      </w:r>
      <w:r>
        <w:br/>
      </w:r>
      <w:r>
        <w:rPr>
          <w:rStyle w:val="VerbatimChar"/>
        </w:rPr>
        <w:t xml:space="preserve">, , cluster = 9,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13,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14,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100   0    0   0   0 100</w:t>
      </w:r>
      <w:r>
        <w:br/>
      </w:r>
      <w:r>
        <w:br/>
      </w:r>
      <w:r>
        <w:rPr>
          <w:rStyle w:val="VerbatimChar"/>
        </w:rPr>
        <w:t xml:space="preserve">, , cluster = 15,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100   0    0 100   0   0</w:t>
      </w:r>
      <w:r>
        <w:br/>
      </w:r>
      <w:r>
        <w:br/>
      </w:r>
      <w:r>
        <w:rPr>
          <w:rStyle w:val="VerbatimChar"/>
        </w:rPr>
        <w:t xml:space="preserve">, , cluster = 16,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17,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19,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100   0  100   0 100   0</w:t>
      </w:r>
      <w:r>
        <w:br/>
      </w:r>
      <w:r>
        <w:br/>
      </w:r>
      <w:r>
        <w:rPr>
          <w:rStyle w:val="VerbatimChar"/>
        </w:rPr>
        <w:t xml:space="preserve">, , cluster = 7,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100 100    0   0   0   0</w:t>
      </w:r>
      <w:r>
        <w:br/>
      </w:r>
      <w:r>
        <w:br/>
      </w:r>
      <w:r>
        <w:rPr>
          <w:rStyle w:val="VerbatimChar"/>
        </w:rPr>
        <w:t xml:space="preserve">, , cluster = 9,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13,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14,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100   0    0   0   0 100</w:t>
      </w:r>
      <w:r>
        <w:br/>
      </w:r>
      <w:r>
        <w:br/>
      </w:r>
      <w:r>
        <w:rPr>
          <w:rStyle w:val="VerbatimChar"/>
        </w:rPr>
        <w:t xml:space="preserve">, , cluster = 15,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100   0    0 100   0   0</w:t>
      </w:r>
      <w:r>
        <w:br/>
      </w:r>
      <w:r>
        <w:br/>
      </w:r>
      <w:r>
        <w:rPr>
          <w:rStyle w:val="VerbatimChar"/>
        </w:rPr>
        <w:t xml:space="preserve">, , cluster = 16,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17,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19,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p>
    <w:p>
      <w:pPr>
        <w:pStyle w:val="SourceCode"/>
      </w:pPr>
      <w:r>
        <w:rPr>
          <w:rStyle w:val="VerbatimChar"/>
        </w:rPr>
        <w:t xml:space="preserve">Warning: `nlm()`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p>
    <w:tbl>
      <w:tblPr>
        <w:tblStyle w:val="Table"/>
        <w:tblW w:type="pct" w:w="5000"/>
        <w:tblLayout w:type="fixed"/>
        <w:tblLook w:firstRow="0" w:lastRow="0" w:firstColumn="0" w:lastColumn="0" w:noHBand="0" w:noVBand="0" w:val="0000"/>
      </w:tblPr>
      <w:tblGrid>
        <w:gridCol w:w="7920"/>
      </w:tblGrid>
      <w:tr>
        <w:tc>
          <w:tcPr/>
          <w:bookmarkStart w:id="187" w:name="fig-problem-strata"/>
          <w:p>
            <w:pPr>
              <w:pStyle w:val="Compact"/>
              <w:jc w:val="center"/>
            </w:pPr>
            <w:r>
              <w:drawing>
                <wp:inline>
                  <wp:extent cx="4620126" cy="6468176"/>
                  <wp:effectExtent b="0" l="0" r="0" t="0"/>
                  <wp:docPr descr="" title="" id="185" name="Picture"/>
                  <a:graphic>
                    <a:graphicData uri="http://schemas.openxmlformats.org/drawingml/2006/picture">
                      <pic:pic>
                        <pic:nvPicPr>
                          <pic:cNvPr descr="methodology_files/figure-docx/fig-problem-strata-1.png" id="186" name="Picture"/>
                          <pic:cNvPicPr>
                            <a:picLocks noChangeArrowheads="1" noChangeAspect="1"/>
                          </pic:cNvPicPr>
                        </pic:nvPicPr>
                        <pic:blipFill>
                          <a:blip r:embed="rId184"/>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Log-likelihood curves for any clusters whose optimizer reported a possible convergence problem.</w:t>
            </w:r>
          </w:p>
          <w:bookmarkEnd w:id="187"/>
        </w:tc>
      </w:tr>
    </w:tbl>
    <w:bookmarkEnd w:id="188"/>
    <w:bookmarkStart w:id="197" w:name="sec-recover"/>
    <w:p>
      <w:pPr>
        <w:pStyle w:val="Heading2"/>
      </w:pPr>
      <w:r>
        <w:t xml:space="preserve">8.5 Estimates recover the simulated rates</w:t>
      </w:r>
    </w:p>
    <w:tbl>
      <w:tblPr>
        <w:tblStyle w:val="Table"/>
        <w:tblW w:type="pct" w:w="5000"/>
        <w:tblLayout w:type="fixed"/>
        <w:tblLook w:firstRow="0" w:lastRow="0" w:firstColumn="0" w:lastColumn="0" w:noHBand="0" w:noVBand="0" w:val="0000"/>
      </w:tblPr>
      <w:tblGrid>
        <w:gridCol w:w="7920"/>
      </w:tblGrid>
      <w:tr>
        <w:tc>
          <w:tcPr/>
          <w:bookmarkStart w:id="192" w:name="fig-sim-recovery"/>
          <w:p>
            <w:pPr>
              <w:pStyle w:val="Compact"/>
              <w:jc w:val="center"/>
            </w:pPr>
            <w:r>
              <w:drawing>
                <wp:inline>
                  <wp:extent cx="4620126" cy="3696101"/>
                  <wp:effectExtent b="0" l="0" r="0" t="0"/>
                  <wp:docPr descr="" title="" id="190" name="Picture"/>
                  <a:graphic>
                    <a:graphicData uri="http://schemas.openxmlformats.org/drawingml/2006/picture">
                      <pic:pic>
                        <pic:nvPicPr>
                          <pic:cNvPr descr="methodology_files/figure-docx/fig-sim-recovery-1.png" id="191" name="Picture"/>
                          <pic:cNvPicPr>
                            <a:picLocks noChangeArrowheads="1" noChangeAspect="1"/>
                          </pic:cNvPicPr>
                        </pic:nvPicPr>
                        <pic:blipFill>
                          <a:blip r:embed="rId18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Estimated incidence rates (points, with 95% confidence intervals) for each simulated cluster, against the true rate used to generate it. The red line is the identity.</w:t>
            </w:r>
          </w:p>
          <w:bookmarkEnd w:id="192"/>
        </w:tc>
      </w:tr>
    </w:tbl>
    <w:p>
      <w:pPr>
        <w:pStyle w:val="BodyText"/>
      </w:pPr>
      <w:r>
        <w:t xml:space="preserve">Each point is one simulated cluster. The estimates scatter around the</w:t>
      </w:r>
      <w:r>
        <w:t xml:space="preserve"> </w:t>
      </w:r>
      <w:r>
        <w:t xml:space="preserve">identity line, and the confidence intervals widen at higher incidence.</w:t>
      </w:r>
    </w:p>
    <w:p>
      <w:pPr>
        <w:pStyle w:val="BodyText"/>
      </w:pPr>
      <w:r>
        <w:rPr>
          <w:rStyle w:val="VerbatimChar"/>
        </w:rPr>
        <w:t xml:space="preserve">analyze_sims()</w:t>
      </w:r>
      <w:r>
        <w:t xml:space="preserve"> </w:t>
      </w:r>
      <w:r>
        <w:t xml:space="preserve">summarizes the simulation results across clusters:</w:t>
      </w:r>
    </w:p>
    <w:p>
      <w:pPr>
        <w:pStyle w:val="SourceCode"/>
      </w:pPr>
      <w:r>
        <w:rPr>
          <w:rStyle w:val="VerbatimChar"/>
        </w:rPr>
        <w:t xml:space="preserve"># A tibble: 6 × 8</w:t>
      </w:r>
      <w:r>
        <w:br/>
      </w:r>
      <w:r>
        <w:rPr>
          <w:rStyle w:val="VerbatimChar"/>
        </w:rPr>
        <w:t xml:space="preserve">  lambda.sim sample_size    Bias Mean_Est_SE Empirical_SE   RMSE Mean_CI_Width</w:t>
      </w:r>
      <w:r>
        <w:br/>
      </w:r>
      <w:r>
        <w:rPr>
          <w:rStyle w:val="VerbatimChar"/>
        </w:rPr>
        <w:t xml:space="preserve">       &lt;dbl&gt;       &lt;dbl&gt;   &lt;dbl&gt;       &lt;dbl&gt;        &lt;dbl&gt;  &lt;dbl&gt;         &lt;dbl&gt;</w:t>
      </w:r>
      <w:r>
        <w:br/>
      </w:r>
      <w:r>
        <w:rPr>
          <w:rStyle w:val="VerbatimChar"/>
        </w:rPr>
        <w:t xml:space="preserve">1       0.05         100 0.00292      0.0122       0.0102 0.0103        0.0496</w:t>
      </w:r>
      <w:r>
        <w:br/>
      </w:r>
      <w:r>
        <w:rPr>
          <w:rStyle w:val="VerbatimChar"/>
        </w:rPr>
        <w:t xml:space="preserve">2       0.1          100 0.00894      0.0198       0.0204 0.0218        0.0791</w:t>
      </w:r>
      <w:r>
        <w:br/>
      </w:r>
      <w:r>
        <w:rPr>
          <w:rStyle w:val="VerbatimChar"/>
        </w:rPr>
        <w:t xml:space="preserve">3       0.15         100 0.0222       0.0277       0.0183 0.0285        0.110 </w:t>
      </w:r>
      <w:r>
        <w:br/>
      </w:r>
      <w:r>
        <w:rPr>
          <w:rStyle w:val="VerbatimChar"/>
        </w:rPr>
        <w:t xml:space="preserve">4       0.2          100 0.0269       0.0333       0.0319 0.0411        0.133 </w:t>
      </w:r>
      <w:r>
        <w:br/>
      </w:r>
      <w:r>
        <w:rPr>
          <w:rStyle w:val="VerbatimChar"/>
        </w:rPr>
        <w:t xml:space="preserve">5       0.5          100 0.0857       0.0790       0.0758 0.113         0.313 </w:t>
      </w:r>
      <w:r>
        <w:br/>
      </w:r>
      <w:r>
        <w:rPr>
          <w:rStyle w:val="VerbatimChar"/>
        </w:rPr>
        <w:t xml:space="preserve">6       0.8          100 0.172        0.144        0.115  0.205         0.571 </w:t>
      </w:r>
      <w:r>
        <w:br/>
      </w:r>
      <w:r>
        <w:rPr>
          <w:rStyle w:val="VerbatimChar"/>
        </w:rPr>
        <w:t xml:space="preserve"># ℹ 1 more variable: CI_Coverage &lt;dbl&gt;</w:t>
      </w:r>
    </w:p>
    <w:tbl>
      <w:tblPr>
        <w:tblStyle w:val="Table"/>
        <w:tblW w:type="pct" w:w="5000"/>
        <w:tblLayout w:type="fixed"/>
        <w:tblLook w:firstRow="0" w:lastRow="0" w:firstColumn="0" w:lastColumn="0" w:noHBand="0" w:noVBand="0" w:val="0000"/>
      </w:tblPr>
      <w:tblGrid>
        <w:gridCol w:w="7920"/>
      </w:tblGrid>
      <w:tr>
        <w:tc>
          <w:tcPr/>
          <w:bookmarkStart w:id="196" w:name="fig-empirical-se"/>
          <w:p>
            <w:pPr>
              <w:pStyle w:val="Compact"/>
              <w:jc w:val="center"/>
            </w:pPr>
            <w:r>
              <w:drawing>
                <wp:inline>
                  <wp:extent cx="4620126" cy="3696101"/>
                  <wp:effectExtent b="0" l="0" r="0" t="0"/>
                  <wp:docPr descr="" title="" id="194" name="Picture"/>
                  <a:graphic>
                    <a:graphicData uri="http://schemas.openxmlformats.org/drawingml/2006/picture">
                      <pic:pic>
                        <pic:nvPicPr>
                          <pic:cNvPr descr="methodology_files/figure-docx/fig-empirical-se-1.png" id="195" name="Picture"/>
                          <pic:cNvPicPr>
                            <a:picLocks noChangeArrowheads="1" noChangeAspect="1"/>
                          </pic:cNvPicPr>
                        </pic:nvPicPr>
                        <pic:blipFill>
                          <a:blip r:embed="rId19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Empirical standard error of the incidence estimates, by true rate.</w:t>
            </w:r>
          </w:p>
          <w:bookmarkEnd w:id="196"/>
        </w:tc>
      </w:tr>
    </w:tbl>
    <w:bookmarkEnd w:id="197"/>
    <w:bookmarkStart w:id="203" w:name="sec-joint-vs-composite-sim"/>
    <w:p>
      <w:pPr>
        <w:pStyle w:val="Heading2"/>
      </w:pPr>
      <w:r>
        <w:t xml:space="preserve">8.6 Joint vs composite likelihood on the simulated clusters</w:t>
      </w:r>
    </w:p>
    <w:p>
      <w:pPr>
        <w:pStyle w:val="FirstParagraph"/>
      </w:pPr>
      <w:r>
        <w:t xml:space="preserve">The estimates above combine HlyE IgA and IgG with the default</w:t>
      </w:r>
      <w:r>
        <w:t xml:space="preserve"> </w:t>
      </w:r>
      <w:r>
        <w:rPr>
          <w:rStyle w:val="VerbatimChar"/>
        </w:rPr>
        <w:t xml:space="preserve">method = "composite"</w:t>
      </w:r>
      <w:r>
        <w:t xml:space="preserve">.</w:t>
      </w:r>
      <w:r>
        <w:t xml:space="preserve"> </w:t>
      </w:r>
      <w:hyperlink w:anchor="sec-multiple-biomarkers">
        <w:r>
          <w:rPr>
            <w:rStyle w:val="Hyperlink"/>
          </w:rPr>
          <w:t xml:space="preserve">Section 5.11</w:t>
        </w:r>
      </w:hyperlink>
      <w:r>
        <w:t xml:space="preserve"> </w:t>
      </w:r>
      <w:r>
        <w:t xml:space="preserve">introduced the alternative,</w:t>
      </w:r>
      <w:r>
        <w:t xml:space="preserve"> </w:t>
      </w:r>
      <w:r>
        <w:rPr>
          <w:rStyle w:val="VerbatimChar"/>
        </w:rPr>
        <w:t xml:space="preserve">method = "joint"</w:t>
      </w:r>
      <w:r>
        <w:t xml:space="preserve">, which integrates over a shared latent infection time per person.</w:t>
      </w:r>
      <w:r>
        <w:t xml:space="preserve"> </w:t>
      </w:r>
      <w:r>
        <w:t xml:space="preserve">The simulated clusters are the place to compare them, because</w:t>
      </w:r>
      <w:r>
        <w:t xml:space="preserve"> </w:t>
      </w:r>
      <w:r>
        <w:rPr>
          <w:rStyle w:val="VerbatimChar"/>
        </w:rPr>
        <w:t xml:space="preserve">sim_pop_data()</w:t>
      </w:r>
      <w:r>
        <w:t xml:space="preserve"> </w:t>
      </w:r>
      <w:r>
        <w:t xml:space="preserve">draws</w:t>
      </w:r>
      <w:r>
        <w:t xml:space="preserve"> </w:t>
      </w:r>
      <w:r>
        <w:rPr>
          <w:b/>
          <w:bCs/>
        </w:rPr>
        <w:t xml:space="preserve">one</w:t>
      </w:r>
      <w:r>
        <w:t xml:space="preserve"> </w:t>
      </w:r>
      <w:r>
        <w:t xml:space="preserve">infection history per person and reads every biomarker off it: the shared-latent-time structure that the joint likelihood assumes is exactly how these data were made.</w:t>
      </w:r>
    </w:p>
    <w:tbl>
      <w:tblPr>
        <w:tblStyle w:val="Table"/>
        <w:tblW w:type="pct" w:w="5000"/>
        <w:tblLayout w:type="fixed"/>
        <w:tblLook w:firstRow="0" w:lastRow="0" w:firstColumn="0" w:lastColumn="0" w:noHBand="0" w:noVBand="0" w:val="0000"/>
      </w:tblPr>
      <w:tblGrid>
        <w:gridCol w:w="7920"/>
      </w:tblGrid>
      <w:tr>
        <w:tc>
          <w:tcPr/>
          <w:bookmarkStart w:id="198" w:name="tbl-joint-vs-composite-sim"/>
          <w:p>
            <w:pPr>
              <w:jc w:val="center"/>
            </w:pPr>
            <w:pPr>
              <w:jc w:val="left"/>
              <w:spacing w:before="200"/>
              <w:pStyle w:val="ImageCaption"/>
            </w:pPr>
            <w:r>
              <w:t xml:space="preserve">Table 3: Bias, empirical standard error, mean estimated standard error and 95% confidence-interval coverage of the composite and joint estimators, by true incidence rate, across the simulated clusters.</w:t>
            </w:r>
          </w:p>
          <w:p>
            <w:pPr>
              <w:pStyle w:val="SourceCode"/>
              <w:jc w:val="center"/>
            </w:pPr>
            <w:r>
              <w:rPr>
                <w:rStyle w:val="VerbatimChar"/>
              </w:rPr>
              <w:t xml:space="preserve"># A tibble: 12 × 6</w:t>
            </w:r>
            <w:r>
              <w:br/>
            </w:r>
            <w:r>
              <w:rPr>
                <w:rStyle w:val="VerbatimChar"/>
              </w:rPr>
              <w:t xml:space="preserve">   lambda.sim method        Bias Empirical_SE Mean_Est_SE CI_Coverage</w:t>
            </w:r>
            <w:r>
              <w:br/>
            </w:r>
            <w:r>
              <w:rPr>
                <w:rStyle w:val="VerbatimChar"/>
              </w:rPr>
              <w:t xml:space="preserve">        &lt;dbl&gt; &lt;chr&gt;        &lt;dbl&gt;        &lt;dbl&gt;       &lt;dbl&gt;       &lt;dbl&gt;</w:t>
            </w:r>
            <w:r>
              <w:br/>
            </w:r>
            <w:r>
              <w:rPr>
                <w:rStyle w:val="VerbatimChar"/>
              </w:rPr>
              <w:t xml:space="preserve"> 1       0.05 composite  0.00292      0.0102      0.0122         1   </w:t>
            </w:r>
            <w:r>
              <w:br/>
            </w:r>
            <w:r>
              <w:rPr>
                <w:rStyle w:val="VerbatimChar"/>
              </w:rPr>
              <w:t xml:space="preserve"> 2       0.05 joint     -0.0126       0.00876     0.00976        0.9 </w:t>
            </w:r>
            <w:r>
              <w:br/>
            </w:r>
            <w:r>
              <w:rPr>
                <w:rStyle w:val="VerbatimChar"/>
              </w:rPr>
              <w:t xml:space="preserve"> 3       0.1  composite  0.00894      0.0204      0.0198         0.85</w:t>
            </w:r>
            <w:r>
              <w:br/>
            </w:r>
            <w:r>
              <w:rPr>
                <w:rStyle w:val="VerbatimChar"/>
              </w:rPr>
              <w:t xml:space="preserve"> 4       0.1  joint     -0.0290       0.0136      0.0149         0.75</w:t>
            </w:r>
            <w:r>
              <w:br/>
            </w:r>
            <w:r>
              <w:rPr>
                <w:rStyle w:val="VerbatimChar"/>
              </w:rPr>
              <w:t xml:space="preserve"> 5       0.15 composite  0.0222       0.0183      0.0277         0.9 </w:t>
            </w:r>
            <w:r>
              <w:br/>
            </w:r>
            <w:r>
              <w:rPr>
                <w:rStyle w:val="VerbatimChar"/>
              </w:rPr>
              <w:t xml:space="preserve"> 6       0.15 joint     -0.0387       0.0188      0.0207         0.65</w:t>
            </w:r>
            <w:r>
              <w:br/>
            </w:r>
            <w:r>
              <w:rPr>
                <w:rStyle w:val="VerbatimChar"/>
              </w:rPr>
              <w:t xml:space="preserve"> 7       0.2  composite  0.0269       0.0319      0.0333         0.8 </w:t>
            </w:r>
            <w:r>
              <w:br/>
            </w:r>
            <w:r>
              <w:rPr>
                <w:rStyle w:val="VerbatimChar"/>
              </w:rPr>
              <w:t xml:space="preserve"> 8       0.2  joint     -0.0473       0.0260      0.0262         0.7 </w:t>
            </w:r>
            <w:r>
              <w:br/>
            </w:r>
            <w:r>
              <w:rPr>
                <w:rStyle w:val="VerbatimChar"/>
              </w:rPr>
              <w:t xml:space="preserve"> 9       0.5  composite  0.0857       0.0758      0.0790         0.75</w:t>
            </w:r>
            <w:r>
              <w:br/>
            </w:r>
            <w:r>
              <w:rPr>
                <w:rStyle w:val="VerbatimChar"/>
              </w:rPr>
              <w:t xml:space="preserve">10       0.5  joint     -0.142        0.0476      0.0560         0.35</w:t>
            </w:r>
            <w:r>
              <w:br/>
            </w:r>
            <w:r>
              <w:rPr>
                <w:rStyle w:val="VerbatimChar"/>
              </w:rPr>
              <w:t xml:space="preserve">11       0.8  composite  0.172        0.115       0.144          0.75</w:t>
            </w:r>
            <w:r>
              <w:br/>
            </w:r>
            <w:r>
              <w:rPr>
                <w:rStyle w:val="VerbatimChar"/>
              </w:rPr>
              <w:t xml:space="preserve">12       0.8  joint     -0.302        0.0579      0.0846         0.1 </w:t>
            </w:r>
          </w:p>
          <w:bookmarkEnd w:id="198"/>
        </w:tc>
      </w:tr>
    </w:tbl>
    <w:tbl>
      <w:tblPr>
        <w:tblStyle w:val="Table"/>
        <w:tblW w:type="pct" w:w="5000"/>
        <w:tblLayout w:type="fixed"/>
        <w:tblLook w:firstRow="0" w:lastRow="0" w:firstColumn="0" w:lastColumn="0" w:noHBand="0" w:noVBand="0" w:val="0000"/>
      </w:tblPr>
      <w:tblGrid>
        <w:gridCol w:w="7920"/>
      </w:tblGrid>
      <w:tr>
        <w:tc>
          <w:tcPr/>
          <w:bookmarkStart w:id="202" w:name="fig-joint-vs-composite-sim"/>
          <w:p>
            <w:pPr>
              <w:pStyle w:val="Compact"/>
              <w:jc w:val="center"/>
            </w:pPr>
            <w:r>
              <w:drawing>
                <wp:inline>
                  <wp:extent cx="4620126" cy="3696101"/>
                  <wp:effectExtent b="0" l="0" r="0" t="0"/>
                  <wp:docPr descr="" title="" id="200" name="Picture"/>
                  <a:graphic>
                    <a:graphicData uri="http://schemas.openxmlformats.org/drawingml/2006/picture">
                      <pic:pic>
                        <pic:nvPicPr>
                          <pic:cNvPr descr="methodology_files/figure-docx/fig-joint-vs-composite-sim-1.png" id="201" name="Picture"/>
                          <pic:cNvPicPr>
                            <a:picLocks noChangeArrowheads="1" noChangeAspect="1"/>
                          </pic:cNvPicPr>
                        </pic:nvPicPr>
                        <pic:blipFill>
                          <a:blip r:embed="rId19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Estimated incidence rates (points, with 95% confidence intervals) for each simulated cluster, against the true rate, under the composite and the joint likelihood. The red line is the identity.</w:t>
            </w:r>
          </w:p>
          <w:bookmarkEnd w:id="202"/>
        </w:tc>
      </w:tr>
    </w:tbl>
    <w:p>
      <w:pPr>
        <w:pStyle w:val="BodyText"/>
      </w:pPr>
      <w:r>
        <w:t xml:space="preserve">The composite estimator over-estimates, increasingly so at higher incidence (as</w:t>
      </w:r>
      <w:r>
        <w:t xml:space="preserve"> </w:t>
      </w:r>
      <w:hyperlink w:anchor="sec-recover">
        <w:r>
          <w:rPr>
            <w:rStyle w:val="Hyperlink"/>
          </w:rPr>
          <w:t xml:space="preserve">Section 8.5</w:t>
        </w:r>
      </w:hyperlink>
      <w:r>
        <w:t xml:space="preserve"> </w:t>
      </w:r>
      <w:r>
        <w:t xml:space="preserve">already showed).</w:t>
      </w:r>
      <w:r>
        <w:t xml:space="preserve"> </w:t>
      </w:r>
      <w:r>
        <w:t xml:space="preserve">The joint estimator</w:t>
      </w:r>
      <w:r>
        <w:t xml:space="preserve"> </w:t>
      </w:r>
      <w:r>
        <w:rPr>
          <w:b/>
          <w:bCs/>
        </w:rPr>
        <w:t xml:space="preserve">under</w:t>
      </w:r>
      <w:r>
        <w:t xml:space="preserve">-estimates, by more, and its confidence intervals cover the truth far less often.</w:t>
      </w:r>
      <w:r>
        <w:t xml:space="preserve"> </w:t>
      </w:r>
      <w:r>
        <w:t xml:space="preserve">Both arms use the standard error their own likelihood calls for: the composite one is clustered by person, and the joint one comes from the Hessian, which is valid for a genuine likelihood (</w:t>
      </w:r>
      <w:hyperlink w:anchor="sec-multiple-biomarkers">
        <w:r>
          <w:rPr>
            <w:rStyle w:val="Hyperlink"/>
          </w:rPr>
          <w:t xml:space="preserve">Section 5.11</w:t>
        </w:r>
      </w:hyperlink>
      <w:r>
        <w:t xml:space="preserve">).</w:t>
      </w:r>
      <w:r>
        <w:t xml:space="preserve"> </w:t>
      </w:r>
      <w:r>
        <w:t xml:space="preserve">Its empirical standard error is the smaller of the two, which is the efficiency gain the shared latent time was expected to bring, but here that gain is swamped by bias.</w:t>
      </w:r>
    </w:p>
    <w:p>
      <w:pPr>
        <w:pStyle w:val="BodyText"/>
      </w:pPr>
      <w:r>
        <w:t xml:space="preserve">The reason is visible in a single high-incidence cluster:</w:t>
      </w:r>
    </w:p>
    <w:p>
      <w:pPr>
        <w:pStyle w:val="SourceCode"/>
      </w:pPr>
      <w:r>
        <w:rPr>
          <w:rStyle w:val="VerbatimChar"/>
        </w:rPr>
        <w:t xml:space="preserve">Warning: 48 of 100 subjects have zero likelihood under every posterior draw and</w:t>
      </w:r>
      <w:r>
        <w:br/>
      </w:r>
      <w:r>
        <w:rPr>
          <w:rStyle w:val="VerbatimChar"/>
        </w:rPr>
        <w:t xml:space="preserve">contribute nothing to the joint likelihood.</w:t>
      </w:r>
      <w:r>
        <w:br/>
      </w:r>
      <w:r>
        <w:rPr>
          <w:rStyle w:val="VerbatimChar"/>
        </w:rPr>
        <w:t xml:space="preserve">ℹ For these subjects, no shared time since infection is compatible with all of</w:t>
      </w:r>
      <w:r>
        <w:br/>
      </w:r>
      <w:r>
        <w:rPr>
          <w:rStyle w:val="VerbatimChar"/>
        </w:rPr>
        <w:t xml:space="preserve">  their biomarker readings under the noise model (nu, eps), so the estimate is</w:t>
      </w:r>
      <w:r>
        <w:br/>
      </w:r>
      <w:r>
        <w:rPr>
          <w:rStyle w:val="VerbatimChar"/>
        </w:rPr>
        <w:t xml:space="preserve">  based on the remaining subjects only. If the dropped subjects tend to have</w:t>
      </w:r>
      <w:r>
        <w:br/>
      </w:r>
      <w:r>
        <w:rPr>
          <w:rStyle w:val="VerbatimChar"/>
        </w:rPr>
        <w:t xml:space="preserve">  high readings (recent infections), the incidence estimate will be biased</w:t>
      </w:r>
      <w:r>
        <w:br/>
      </w:r>
      <w:r>
        <w:rPr>
          <w:rStyle w:val="VerbatimChar"/>
        </w:rPr>
        <w:t xml:space="preserve">  downward.</w:t>
      </w:r>
      <w:r>
        <w:br/>
      </w:r>
      <w:r>
        <w:rPr>
          <w:rStyle w:val="VerbatimChar"/>
        </w:rPr>
        <w:t xml:space="preserve">ℹ Consider whether the noise parameters are realistic for these biomarkers, or</w:t>
      </w:r>
      <w:r>
        <w:br/>
      </w:r>
      <w:r>
        <w:rPr>
          <w:rStyle w:val="VerbatimChar"/>
        </w:rPr>
        <w:t xml:space="preserve">  use `method = "composite"`, which evaluates each biomarker on its own.</w:t>
      </w:r>
    </w:p>
    <w:p>
      <w:pPr>
        <w:pStyle w:val="FirstParagraph"/>
      </w:pPr>
      <w:r>
        <w:t xml:space="preserve">A person contributes nothing to the joint likelihood when</w:t>
      </w:r>
      <w:r>
        <w:t xml:space="preserve"> </w:t>
      </w:r>
      <w:r>
        <w:rPr>
          <w:b/>
          <w:bCs/>
        </w:rPr>
        <w:t xml:space="preserve">no</w:t>
      </w:r>
      <w:r>
        <w:t xml:space="preserve"> </w:t>
      </w:r>
      <w:r>
        <w:t xml:space="preserve">shared infection time is compatible with all of their readings under any posterior draw, and this cluster has many such people.</w:t>
      </w:r>
      <w:r>
        <w:t xml:space="preserve"> </w:t>
      </w:r>
      <w:r>
        <w:t xml:space="preserve">Shortly after infection, antibody levels are in the hundreds or thousands, while the simulated biological noise is additive on a scale of 0.5.</w:t>
      </w:r>
      <w:r>
        <w:t xml:space="preserve"> </w:t>
      </w:r>
      <w:r>
        <w:t xml:space="preserve">The simulator’s response curve also differs slightly from the likelihood’s — it has a rise phase, and a baseline carried over from earlier infections — so one person’s IgA and IgG readings each point to a slightly different time since infection.</w:t>
      </w:r>
      <w:r>
        <w:t xml:space="preserve"> </w:t>
      </w:r>
      <w:r>
        <w:t xml:space="preserve">Each biomarker on its own is still explained well (the composite method drops nobody), but no single</w:t>
      </w:r>
      <w:r>
        <w:t xml:space="preserve"> </w:t>
      </w:r>
      <m:oMath>
        <m:r>
          <m:t>t</m:t>
        </m:r>
      </m:oMath>
      <w:r>
        <w:t xml:space="preserve"> </w:t>
      </w:r>
      <w:r>
        <w:t xml:space="preserve">reproduces both to within half a unit, so the joint likelihood discards exactly the people with the most recent infections, and the estimate falls.</w:t>
      </w:r>
      <w:r>
        <w:t xml:space="preserve"> </w:t>
      </w:r>
      <w:r>
        <w:t xml:space="preserve">The higher the incidence, the more such people there are.</w:t>
      </w:r>
    </w:p>
    <w:p>
      <w:pPr>
        <w:pStyle w:val="BodyText"/>
      </w:pPr>
      <w:r>
        <w:t xml:space="preserve">That mechanism is not specific to this simulator.</w:t>
      </w:r>
      <w:r>
        <w:t xml:space="preserve"> </w:t>
      </w:r>
      <w:r>
        <w:t xml:space="preserve">Any mismatch between the assumed response curve and the real one plays the same role, and so does a noise model that is narrower than the real disagreement between a person’s biomarkers.</w:t>
      </w:r>
      <w:r>
        <w:t xml:space="preserve"> </w:t>
      </w:r>
      <w:r>
        <w:rPr>
          <w:rStyle w:val="VerbatimChar"/>
        </w:rPr>
        <w:t xml:space="preserve">est_seroincidence()</w:t>
      </w:r>
      <w:r>
        <w:t xml:space="preserve"> </w:t>
      </w:r>
      <w:r>
        <w:t xml:space="preserve">warns whenever a joint fit drops anyone, and reports how many.</w:t>
      </w:r>
      <w:r>
        <w:t xml:space="preserve"> </w:t>
      </w:r>
      <w:r>
        <w:t xml:space="preserve">The real SEES data, whose noise model includes a multiplicative (measurement) component, drop very few (</w:t>
      </w:r>
      <w:hyperlink w:anchor="tbl-joint-vs-composite-sees">
        <w:r>
          <w:rPr>
            <w:rStyle w:val="Hyperlink"/>
          </w:rPr>
          <w:t xml:space="preserve">Table 1</w:t>
        </w:r>
      </w:hyperlink>
      <w:r>
        <w:t xml:space="preserve">).</w:t>
      </w:r>
    </w:p>
    <w:p>
      <w:pPr>
        <w:pStyle w:val="BodyText"/>
      </w:pPr>
      <w:r>
        <w:t xml:space="preserve">The joint estimator uses the fact that a person has one infection history, which is more information — but it also relies on that fact being reflected in the data</w:t>
      </w:r>
      <w:r>
        <w:t xml:space="preserve"> </w:t>
      </w:r>
      <w:r>
        <w:rPr>
          <w:i/>
          <w:iCs/>
        </w:rPr>
        <w:t xml:space="preserve">exactly as modeled</w:t>
      </w:r>
      <w:r>
        <w:t xml:space="preserve">.</w:t>
      </w:r>
      <w:r>
        <w:t xml:space="preserve"> </w:t>
      </w:r>
      <w:r>
        <w:t xml:space="preserve">The composite estimator, which lets each biomarker find its own infection time, is the more robust of the two, which is one reason it remains the default.</w:t>
      </w:r>
      <w:r>
        <w:t xml:space="preserve"> </w:t>
      </w:r>
      <w:r>
        <w:t xml:space="preserve">Neither is unbiased here: the simulator’s response curve is not the likelihood’s, and both estimators inherit that.</w:t>
      </w:r>
    </w:p>
    <w:bookmarkEnd w:id="203"/>
    <w:bookmarkStart w:id="208" w:name="X047cffc7758e27a01cb5430c10b991b39f63029"/>
    <w:p>
      <w:pPr>
        <w:pStyle w:val="Heading2"/>
      </w:pPr>
      <w:r>
        <w:t xml:space="preserve">8.7 A caveat: renewing parameters at each infection</w:t>
      </w:r>
    </w:p>
    <w:p>
      <w:pPr>
        <w:pStyle w:val="FirstParagraph"/>
      </w:pPr>
      <w:r>
        <w:t xml:space="preserve">Everything above sets</w:t>
      </w:r>
      <w:r>
        <w:t xml:space="preserve"> </w:t>
      </w:r>
      <w:r>
        <w:rPr>
          <w:rStyle w:val="VerbatimChar"/>
        </w:rPr>
        <w:t xml:space="preserve">renew_params = FALSE</w:t>
      </w:r>
      <w:r>
        <w:t xml:space="preserve">, matching what the estimation</w:t>
      </w:r>
      <w:r>
        <w:t xml:space="preserve"> </w:t>
      </w:r>
      <w:r>
        <w:t xml:space="preserve">method assumes. Setting it to</w:t>
      </w:r>
      <w:r>
        <w:t xml:space="preserve"> </w:t>
      </w:r>
      <w:r>
        <w:rPr>
          <w:rStyle w:val="VerbatimChar"/>
        </w:rPr>
        <w:t xml:space="preserve">TRUE</w:t>
      </w:r>
      <w:r>
        <w:t xml:space="preserve"> </w:t>
      </w:r>
      <w:r>
        <w:t xml:space="preserve">— drawing fresh seroresponse</w:t>
      </w:r>
      <w:r>
        <w:t xml:space="preserve"> </w:t>
      </w:r>
      <w:r>
        <w:t xml:space="preserve">parameters at every infection — is more realistic, and is</w:t>
      </w:r>
      <w:r>
        <w:t xml:space="preserve"> </w:t>
      </w:r>
      <w:r>
        <w:rPr>
          <w:b/>
          <w:bCs/>
        </w:rPr>
        <w:t xml:space="preserve">not</w:t>
      </w:r>
      <w:r>
        <w:t xml:space="preserve"> </w:t>
      </w:r>
      <w:r>
        <w:t xml:space="preserve">accounted</w:t>
      </w:r>
      <w:r>
        <w:t xml:space="preserve"> </w:t>
      </w:r>
      <w:r>
        <w:t xml:space="preserve">for by the current method, so estimates can be biased in high-incidence</w:t>
      </w:r>
      <w:r>
        <w:t xml:space="preserve"> </w:t>
      </w:r>
      <w:r>
        <w:t xml:space="preserve">populations:</w:t>
      </w:r>
    </w:p>
    <w:tbl>
      <w:tblPr>
        <w:tblStyle w:val="Table"/>
        <w:tblW w:type="pct" w:w="5000"/>
        <w:tblLayout w:type="fixed"/>
        <w:tblLook w:firstRow="0" w:lastRow="0" w:firstColumn="0" w:lastColumn="0" w:noHBand="0" w:noVBand="0" w:val="0000"/>
      </w:tblPr>
      <w:tblGrid>
        <w:gridCol w:w="7920"/>
      </w:tblGrid>
      <w:tr>
        <w:tc>
          <w:tcPr/>
          <w:bookmarkStart w:id="207" w:name="fig-sim-recovery-renew"/>
          <w:p>
            <w:pPr>
              <w:pStyle w:val="Compact"/>
              <w:jc w:val="center"/>
            </w:pPr>
            <w:r>
              <w:drawing>
                <wp:inline>
                  <wp:extent cx="4620126" cy="3696101"/>
                  <wp:effectExtent b="0" l="0" r="0" t="0"/>
                  <wp:docPr descr="" title="" id="205" name="Picture"/>
                  <a:graphic>
                    <a:graphicData uri="http://schemas.openxmlformats.org/drawingml/2006/picture">
                      <pic:pic>
                        <pic:nvPicPr>
                          <pic:cNvPr descr="methodology_files/figure-docx/fig-sim-recovery-renew-1.png" id="206" name="Picture"/>
                          <pic:cNvPicPr>
                            <a:picLocks noChangeArrowheads="1" noChangeAspect="1"/>
                          </pic:cNvPicPr>
                        </pic:nvPicPr>
                        <pic:blipFill>
                          <a:blip r:embed="rId20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Recovery of the true incidence rate when seroresponse parameters are renewed at each infection. Compare with</w:t>
            </w:r>
            <w:r>
              <w:t xml:space="preserve"> </w:t>
            </w:r>
            <w:hyperlink w:anchor="fig-sim-recovery">
              <w:r>
                <w:rPr>
                  <w:rStyle w:val="Hyperlink"/>
                </w:rPr>
                <w:t xml:space="preserve">Figure 12</w:t>
              </w:r>
            </w:hyperlink>
            <w:r>
              <w:t xml:space="preserve">.</w:t>
            </w:r>
          </w:p>
          <w:bookmarkEnd w:id="207"/>
        </w:tc>
      </w:tr>
    </w:tbl>
    <w:bookmarkEnd w:id="208"/>
    <w:bookmarkEnd w:id="209"/>
    <w:bookmarkStart w:id="214" w:name="ongoing-and-future-work"/>
    <w:p>
      <w:pPr>
        <w:pStyle w:val="Heading1"/>
      </w:pPr>
      <w:r>
        <w:t xml:space="preserve">9. Ongoing and future work</w:t>
      </w:r>
    </w:p>
    <w:bookmarkStart w:id="211" w:name="in-progress-work"/>
    <w:p>
      <w:pPr>
        <w:pStyle w:val="Heading2"/>
      </w:pPr>
      <w:r>
        <w:t xml:space="preserve">9.1 In-progress work</w:t>
      </w:r>
    </w:p>
    <w:p>
      <w:pPr>
        <w:numPr>
          <w:ilvl w:val="0"/>
          <w:numId w:val="1038"/>
        </w:numPr>
      </w:pPr>
      <w:r>
        <w:t xml:space="preserve">Extending and improving existing Shiny apps for these methods</w:t>
      </w:r>
      <w:r>
        <w:t xml:space="preserve"> </w:t>
      </w:r>
      <w:r>
        <w:t xml:space="preserve">(e.g., the</w:t>
      </w:r>
      <w:r>
        <w:t xml:space="preserve"> </w:t>
      </w:r>
      <w:hyperlink r:id="rId165">
        <w:r>
          <w:rPr>
            <w:rStyle w:val="Hyperlink"/>
          </w:rPr>
          <w:t xml:space="preserve">serocalculator Shiny app</w:t>
        </w:r>
      </w:hyperlink>
      <w:r>
        <w:t xml:space="preserve">,</w:t>
      </w:r>
      <w:r>
        <w:t xml:space="preserve"> </w:t>
      </w:r>
      <w:hyperlink r:id="rId210">
        <w:r>
          <w:rPr>
            <w:rStyle w:val="Hyperlink"/>
          </w:rPr>
          <w:t xml:space="preserve">source</w:t>
        </w:r>
      </w:hyperlink>
      <w:r>
        <w:t xml:space="preserve">)</w:t>
      </w:r>
    </w:p>
    <w:p>
      <w:pPr>
        <w:numPr>
          <w:ilvl w:val="0"/>
          <w:numId w:val="1038"/>
        </w:numPr>
      </w:pPr>
      <w:r>
        <w:t xml:space="preserve">Multivariate modeling of biomarkers (relaxing conditional independence)</w:t>
      </w:r>
    </w:p>
    <w:p>
      <w:pPr>
        <w:numPr>
          <w:ilvl w:val="0"/>
          <w:numId w:val="1038"/>
        </w:numPr>
      </w:pPr>
      <w:r>
        <w:t xml:space="preserve">A graphical (Shiny) app for</w:t>
      </w:r>
      <w:r>
        <w:t xml:space="preserve"> </w:t>
      </w:r>
      <w:r>
        <w:rPr>
          <w:rStyle w:val="VerbatimChar"/>
        </w:rPr>
        <w:t xml:space="preserve">serodynamics</w:t>
      </w:r>
    </w:p>
    <w:p>
      <w:pPr>
        <w:numPr>
          <w:ilvl w:val="0"/>
          <w:numId w:val="1038"/>
        </w:numPr>
      </w:pPr>
      <w:r>
        <w:t xml:space="preserve">Modeling time-varying incidence rates</w:t>
      </w:r>
    </w:p>
    <w:p>
      <w:pPr>
        <w:numPr>
          <w:ilvl w:val="0"/>
          <w:numId w:val="1038"/>
        </w:numPr>
      </w:pPr>
      <w:r>
        <w:t xml:space="preserve">Accounting for re-exposure</w:t>
      </w:r>
    </w:p>
    <w:p>
      <w:pPr>
        <w:numPr>
          <w:ilvl w:val="0"/>
          <w:numId w:val="1038"/>
        </w:numPr>
      </w:pPr>
      <w:r>
        <w:t xml:space="preserve">Accounting for latent immunocompromised subpopulations</w:t>
      </w:r>
    </w:p>
    <w:p>
      <w:pPr>
        <w:numPr>
          <w:ilvl w:val="0"/>
          <w:numId w:val="1038"/>
        </w:numPr>
      </w:pPr>
      <w:r>
        <w:t xml:space="preserve">Calibrating to population demographics</w:t>
      </w:r>
    </w:p>
    <w:bookmarkEnd w:id="211"/>
    <w:bookmarkStart w:id="213" w:name="sec-multivariate"/>
    <w:p>
      <w:pPr>
        <w:pStyle w:val="Heading2"/>
      </w:pPr>
      <w:r>
        <w:t xml:space="preserve">9.2 Multiple biomarkers: beyond conditional independence</w:t>
      </w:r>
    </w:p>
    <w:p>
      <w:pPr>
        <w:pStyle w:val="FirstParagraph"/>
      </w:pPr>
      <w:r>
        <w:t xml:space="preserve">With several biomarkers (e.g. HlyE IgA and IgG), the joint likelihood</w:t>
      </w:r>
      <w:r>
        <w:t xml:space="preserve"> </w:t>
      </w:r>
      <w:r>
        <w:t xml:space="preserve">(</w:t>
      </w:r>
      <w:r>
        <w:rPr>
          <w:rStyle w:val="VerbatimChar"/>
        </w:rPr>
        <w:t xml:space="preserve">method = "joint"</w:t>
      </w:r>
      <w:r>
        <w:t xml:space="preserve">,</w:t>
      </w:r>
      <w:r>
        <w:t xml:space="preserve"> </w:t>
      </w:r>
      <w:hyperlink w:anchor="sec-multiple-biomarkers">
        <w:r>
          <w:rPr>
            <w:rStyle w:val="Hyperlink"/>
          </w:rPr>
          <w:t xml:space="preserve">Section 5.11</w:t>
        </w:r>
      </w:hyperlink>
      <w:r>
        <w:t xml:space="preserve">) treats them as</w:t>
      </w:r>
      <w:r>
        <w:t xml:space="preserve"> </w:t>
      </w:r>
      <w:r>
        <w:rPr>
          <w:b/>
          <w:bCs/>
        </w:rPr>
        <w:t xml:space="preserve">conditionally independent given the time since infection</w:t>
      </w:r>
      <w:r>
        <w:t xml:space="preserve">, so the</w:t>
      </w:r>
      <w:r>
        <w:t xml:space="preserve"> </w:t>
      </w:r>
      <w:r>
        <w:t xml:space="preserve">joint density factors into a product of per-biomarker terms inside the</w:t>
      </w:r>
      <w:r>
        <w:t xml:space="preserve"> </w:t>
      </w:r>
      <w:r>
        <w:t xml:space="preserve">integral over</w:t>
      </w:r>
      <w:r>
        <w:t xml:space="preserve"> </w:t>
      </w:r>
      <m:oMath>
        <m:r>
          <m:t>t</m:t>
        </m:r>
      </m:oMath>
      <w:r>
        <w:t xml:space="preserve"> </w:t>
      </w:r>
      <w:r>
        <w:t xml:space="preserve">(the default composite likelihood assumes more: that the</w:t>
      </w:r>
      <w:r>
        <w:t xml:space="preserve"> </w:t>
      </w:r>
      <w:r>
        <w:t xml:space="preserve">biomarkers are independent unconditionally):</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212">
        <w:r>
          <w:rPr>
            <w:rStyle w:val="Hyperlink"/>
          </w:rPr>
          <w:t xml:space="preserve">UCD-SERG/shigella#13</w:t>
        </w:r>
      </w:hyperlink>
      <w:r>
        <w:t xml:space="preserve">).</w:t>
      </w:r>
    </w:p>
    <w:bookmarkEnd w:id="213"/>
    <w:bookmarkEnd w:id="214"/>
    <w:bookmarkStart w:id="234" w:name="references"/>
    <w:p>
      <w:pPr>
        <w:pStyle w:val="Heading1"/>
      </w:pPr>
      <w:r>
        <w:t xml:space="preserve">References</w:t>
      </w:r>
    </w:p>
    <w:bookmarkStart w:id="233" w:name="refs"/>
    <w:bookmarkStart w:id="216"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215">
        <w:r>
          <w:rPr>
            <w:rStyle w:val="Hyperlink"/>
          </w:rPr>
          <w:t xml:space="preserve">https://doi.org/10.1016/S2666-5247(22)00114-8</w:t>
        </w:r>
      </w:hyperlink>
      <w:r>
        <w:t xml:space="preserve">.</w:t>
      </w:r>
    </w:p>
    <w:bookmarkEnd w:id="216"/>
    <w:bookmarkStart w:id="218" w:name="ref-Cameron_2011"/>
    <w:p>
      <w:pPr>
        <w:pStyle w:val="Bibliography"/>
      </w:pPr>
      <w:r>
        <w:t xml:space="preserve">Cameron, A. Colin, Jonah B. Gelbach, and Douglas L. Miller. 2011.</w:t>
      </w:r>
      <w:r>
        <w:t xml:space="preserve"> </w:t>
      </w:r>
      <w:r>
        <w:t xml:space="preserve">“Robust Inference with Multiway Clustering.”</w:t>
      </w:r>
      <w:r>
        <w:t xml:space="preserve"> </w:t>
      </w:r>
      <w:r>
        <w:rPr>
          <w:i/>
          <w:iCs/>
        </w:rPr>
        <w:t xml:space="preserve">Journal of Business &amp; Economic Statistics</w:t>
      </w:r>
      <w:r>
        <w:t xml:space="preserve"> </w:t>
      </w:r>
      <w:r>
        <w:t xml:space="preserve">29 (2): 238–49.</w:t>
      </w:r>
      <w:r>
        <w:t xml:space="preserve"> </w:t>
      </w:r>
      <w:hyperlink r:id="rId217">
        <w:r>
          <w:rPr>
            <w:rStyle w:val="Hyperlink"/>
          </w:rPr>
          <w:t xml:space="preserve">https://doi.org/10.1198/jbes.2010.07136</w:t>
        </w:r>
      </w:hyperlink>
      <w:r>
        <w:t xml:space="preserve">.</w:t>
      </w:r>
    </w:p>
    <w:bookmarkEnd w:id="218"/>
    <w:bookmarkStart w:id="220"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219">
        <w:r>
          <w:rPr>
            <w:rStyle w:val="Hyperlink"/>
          </w:rPr>
          <w:t xml:space="preserve">https://doi.org/10.1016/j.epidem.2024.100806</w:t>
        </w:r>
      </w:hyperlink>
      <w:r>
        <w:t xml:space="preserve">.</w:t>
      </w:r>
    </w:p>
    <w:bookmarkEnd w:id="220"/>
    <w:bookmarkStart w:id="221" w:name="ref-Huber1967"/>
    <w:p>
      <w:pPr>
        <w:pStyle w:val="Bibliography"/>
      </w:pPr>
      <w:r>
        <w:t xml:space="preserve">Huber, Peter J. 1967.</w:t>
      </w:r>
      <w:r>
        <w:t xml:space="preserve"> </w:t>
      </w:r>
      <w:r>
        <w:t xml:space="preserve">“The Behavior of Maximum Likelihood Estimates Under Nonstandard Conditions.”</w:t>
      </w:r>
      <w:r>
        <w:t xml:space="preserve"> </w:t>
      </w:r>
      <w:r>
        <w:t xml:space="preserve">In</w:t>
      </w:r>
      <w:r>
        <w:t xml:space="preserve"> </w:t>
      </w:r>
      <w:r>
        <w:rPr>
          <w:i/>
          <w:iCs/>
        </w:rPr>
        <w:t xml:space="preserve">Proceedings of the Fifth Berkeley Symposium on Mathematical Statistics and Probability, Volume 1: Statistics</w:t>
      </w:r>
      <w:r>
        <w:t xml:space="preserve">. University of California Press.</w:t>
      </w:r>
    </w:p>
    <w:bookmarkEnd w:id="221"/>
    <w:bookmarkStart w:id="223" w:name="ref-LiangZeger1986"/>
    <w:p>
      <w:pPr>
        <w:pStyle w:val="Bibliography"/>
      </w:pPr>
      <w:r>
        <w:t xml:space="preserve">Liang, Kung-Yee, and Scott L. Zeger. 1986.</w:t>
      </w:r>
      <w:r>
        <w:t xml:space="preserve"> </w:t>
      </w:r>
      <w:r>
        <w:t xml:space="preserve">“Longitudinal Data Analysis Using Generalized Linear Models.”</w:t>
      </w:r>
      <w:r>
        <w:t xml:space="preserve"> </w:t>
      </w:r>
      <w:r>
        <w:rPr>
          <w:i/>
          <w:iCs/>
        </w:rPr>
        <w:t xml:space="preserve">Biometrika</w:t>
      </w:r>
      <w:r>
        <w:t xml:space="preserve"> </w:t>
      </w:r>
      <w:r>
        <w:t xml:space="preserve">73 (1): 13–22.</w:t>
      </w:r>
      <w:r>
        <w:t xml:space="preserve"> </w:t>
      </w:r>
      <w:hyperlink r:id="rId222">
        <w:r>
          <w:rPr>
            <w:rStyle w:val="Hyperlink"/>
          </w:rPr>
          <w:t xml:space="preserve">https://doi.org/10.1093/biomet/73.1.13</w:t>
        </w:r>
      </w:hyperlink>
      <w:r>
        <w:t xml:space="preserve">.</w:t>
      </w:r>
    </w:p>
    <w:bookmarkEnd w:id="223"/>
    <w:bookmarkStart w:id="225"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224">
        <w:r>
          <w:rPr>
            <w:rStyle w:val="Hyperlink"/>
          </w:rPr>
          <w:t xml:space="preserve">https://doi.org/10.1159/000286345</w:t>
        </w:r>
      </w:hyperlink>
      <w:r>
        <w:t xml:space="preserve">.</w:t>
      </w:r>
    </w:p>
    <w:bookmarkEnd w:id="225"/>
    <w:bookmarkStart w:id="227"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226">
        <w:r>
          <w:rPr>
            <w:rStyle w:val="Hyperlink"/>
          </w:rPr>
          <w:t xml:space="preserve">https://doi.org/10.1002/sim.8578</w:t>
        </w:r>
      </w:hyperlink>
      <w:r>
        <w:t xml:space="preserve">.</w:t>
      </w:r>
    </w:p>
    <w:bookmarkEnd w:id="227"/>
    <w:bookmarkStart w:id="229"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228">
        <w:r>
          <w:rPr>
            <w:rStyle w:val="Hyperlink"/>
          </w:rPr>
          <w:t xml:space="preserve">https://doi.org/10.1016/j.epidem.2016.04.001</w:t>
        </w:r>
      </w:hyperlink>
      <w:r>
        <w:t xml:space="preserve">.</w:t>
      </w:r>
    </w:p>
    <w:bookmarkEnd w:id="229"/>
    <w:bookmarkStart w:id="230" w:name="ref-varin2011overview"/>
    <w:p>
      <w:pPr>
        <w:pStyle w:val="Bibliography"/>
      </w:pPr>
      <w:r>
        <w:t xml:space="preserve">Varin, Cristiano, Nancy Reid, and David Firth. 2011.</w:t>
      </w:r>
      <w:r>
        <w:t xml:space="preserve"> </w:t>
      </w:r>
      <w:r>
        <w:t xml:space="preserve">“An Overview of Composite Likelihood Methods.”</w:t>
      </w:r>
      <w:r>
        <w:t xml:space="preserve"> </w:t>
      </w:r>
      <w:r>
        <w:rPr>
          <w:i/>
          <w:iCs/>
        </w:rPr>
        <w:t xml:space="preserve">Statistica Sinica</w:t>
      </w:r>
      <w:r>
        <w:t xml:space="preserve"> </w:t>
      </w:r>
      <w:r>
        <w:t xml:space="preserve">21 (1): 5–42.</w:t>
      </w:r>
    </w:p>
    <w:bookmarkEnd w:id="230"/>
    <w:bookmarkStart w:id="231"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231"/>
    <w:bookmarkStart w:id="232" w:name="ref-White1980"/>
    <w:p>
      <w:pPr>
        <w:pStyle w:val="Bibliography"/>
      </w:pPr>
      <w:r>
        <w:t xml:space="preserve">White, Halbert. 1980.</w:t>
      </w:r>
      <w:r>
        <w:t xml:space="preserve"> </w:t>
      </w:r>
      <w:r>
        <w:t xml:space="preserve">“A Heteroskedasticity-Consistent Covariance Matrix Estimator and a Direct Test for Heteroskedasticity.”</w:t>
      </w:r>
      <w:r>
        <w:t xml:space="preserve"> </w:t>
      </w:r>
      <w:r>
        <w:rPr>
          <w:i/>
          <w:iCs/>
        </w:rPr>
        <w:t xml:space="preserve">Econometrica</w:t>
      </w:r>
      <w:r>
        <w:t xml:space="preserve"> </w:t>
      </w:r>
      <w:r>
        <w:t xml:space="preserve">48 (4): 817–38.</w:t>
      </w:r>
    </w:p>
    <w:bookmarkEnd w:id="232"/>
    <w:bookmarkEnd w:id="233"/>
    <w:bookmarkEnd w:id="2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10" Target="media/rId110.svg" /><Relationship Type="http://schemas.openxmlformats.org/officeDocument/2006/relationships/image" Id="rId142" Target="media/rId142.png" /><Relationship Type="http://schemas.openxmlformats.org/officeDocument/2006/relationships/image" Id="rId166" Target="media/rId166.png" /><Relationship Type="http://schemas.openxmlformats.org/officeDocument/2006/relationships/image" Id="rId178" Target="media/rId178.png" /><Relationship Type="http://schemas.openxmlformats.org/officeDocument/2006/relationships/image" Id="rId118" Target="media/rId118.png" /><Relationship Type="http://schemas.openxmlformats.org/officeDocument/2006/relationships/image" Id="rId193" Target="media/rId193.png" /><Relationship Type="http://schemas.openxmlformats.org/officeDocument/2006/relationships/image" Id="rId159" Target="media/rId159.png" /><Relationship Type="http://schemas.openxmlformats.org/officeDocument/2006/relationships/image" Id="rId60" Target="media/rId60.png" /><Relationship Type="http://schemas.openxmlformats.org/officeDocument/2006/relationships/image" Id="rId199" Target="media/rId199.png" /><Relationship Type="http://schemas.openxmlformats.org/officeDocument/2006/relationships/image" Id="rId124" Target="media/rId124.png" /><Relationship Type="http://schemas.openxmlformats.org/officeDocument/2006/relationships/image" Id="rId184" Target="media/rId184.png" /><Relationship Type="http://schemas.openxmlformats.org/officeDocument/2006/relationships/image" Id="rId105" Target="media/rId105.png" /><Relationship Type="http://schemas.openxmlformats.org/officeDocument/2006/relationships/image" Id="rId154" Target="media/rId154.png" /><Relationship Type="http://schemas.openxmlformats.org/officeDocument/2006/relationships/image" Id="rId171" Target="media/rId171.png" /><Relationship Type="http://schemas.openxmlformats.org/officeDocument/2006/relationships/image" Id="rId189" Target="media/rId189.png" /><Relationship Type="http://schemas.openxmlformats.org/officeDocument/2006/relationships/image" Id="rId204" Target="media/rId204.png" /><Relationship Type="http://schemas.openxmlformats.org/officeDocument/2006/relationships/image" Id="rId29" Target="media/rId29.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55" Target="https://d-morrison.github.io/rme/chapters/math-prereqs.html#thm-log-prod" TargetMode="External" /><Relationship Type="http://schemas.openxmlformats.org/officeDocument/2006/relationships/hyperlink" Id="rId226" Target="https://doi.org/10.1002/sim.8578" TargetMode="External" /><Relationship Type="http://schemas.openxmlformats.org/officeDocument/2006/relationships/hyperlink" Id="rId215" Target="https://doi.org/10.1016/S2666-5247(22)00114-8" TargetMode="External" /><Relationship Type="http://schemas.openxmlformats.org/officeDocument/2006/relationships/hyperlink" Id="rId228" Target="https://doi.org/10.1016/j.epidem.2016.04.001" TargetMode="External" /><Relationship Type="http://schemas.openxmlformats.org/officeDocument/2006/relationships/hyperlink" Id="rId219" Target="https://doi.org/10.1016/j.epidem.2024.100806" TargetMode="External" /><Relationship Type="http://schemas.openxmlformats.org/officeDocument/2006/relationships/hyperlink" Id="rId222" Target="https://doi.org/10.1093/biomet/73.1.13" TargetMode="External" /><Relationship Type="http://schemas.openxmlformats.org/officeDocument/2006/relationships/hyperlink" Id="rId224" Target="https://doi.org/10.1159/000286345" TargetMode="External" /><Relationship Type="http://schemas.openxmlformats.org/officeDocument/2006/relationships/hyperlink" Id="rId217" Target="https://doi.org/10.1198/jbes.2010.07136" TargetMode="External" /><Relationship Type="http://schemas.openxmlformats.org/officeDocument/2006/relationships/hyperlink" Id="rId150" Target="https://github.com/UCD-SERG/serocalculator" TargetMode="External" /><Relationship Type="http://schemas.openxmlformats.org/officeDocument/2006/relationships/hyperlink" Id="rId183" Target="https://github.com/UCD-SERG/serocalculator/issues/629" TargetMode="External" /><Relationship Type="http://schemas.openxmlformats.org/officeDocument/2006/relationships/hyperlink" Id="rId139"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212" Target="https://github.com/UCD-SERG/shigella/pull/13" TargetMode="External" /><Relationship Type="http://schemas.openxmlformats.org/officeDocument/2006/relationships/hyperlink" Id="rId210" Target="https://github.com/UCD-SERG/shiny_serocalculator" TargetMode="External" /><Relationship Type="http://schemas.openxmlformats.org/officeDocument/2006/relationships/hyperlink" Id="rId109" Target="https://ucdserg.shinyapps.io/antibody-kinetics-model-2/" TargetMode="External" /><Relationship Type="http://schemas.openxmlformats.org/officeDocument/2006/relationships/hyperlink" Id="rId165"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55" Target="https://d-morrison.github.io/rme/chapters/math-prereqs.html#thm-log-prod" TargetMode="External" /><Relationship Type="http://schemas.openxmlformats.org/officeDocument/2006/relationships/hyperlink" Id="rId226" Target="https://doi.org/10.1002/sim.8578" TargetMode="External" /><Relationship Type="http://schemas.openxmlformats.org/officeDocument/2006/relationships/hyperlink" Id="rId215" Target="https://doi.org/10.1016/S2666-5247(22)00114-8" TargetMode="External" /><Relationship Type="http://schemas.openxmlformats.org/officeDocument/2006/relationships/hyperlink" Id="rId228" Target="https://doi.org/10.1016/j.epidem.2016.04.001" TargetMode="External" /><Relationship Type="http://schemas.openxmlformats.org/officeDocument/2006/relationships/hyperlink" Id="rId219" Target="https://doi.org/10.1016/j.epidem.2024.100806" TargetMode="External" /><Relationship Type="http://schemas.openxmlformats.org/officeDocument/2006/relationships/hyperlink" Id="rId222" Target="https://doi.org/10.1093/biomet/73.1.13" TargetMode="External" /><Relationship Type="http://schemas.openxmlformats.org/officeDocument/2006/relationships/hyperlink" Id="rId224" Target="https://doi.org/10.1159/000286345" TargetMode="External" /><Relationship Type="http://schemas.openxmlformats.org/officeDocument/2006/relationships/hyperlink" Id="rId217" Target="https://doi.org/10.1198/jbes.2010.07136" TargetMode="External" /><Relationship Type="http://schemas.openxmlformats.org/officeDocument/2006/relationships/hyperlink" Id="rId150" Target="https://github.com/UCD-SERG/serocalculator" TargetMode="External" /><Relationship Type="http://schemas.openxmlformats.org/officeDocument/2006/relationships/hyperlink" Id="rId183" Target="https://github.com/UCD-SERG/serocalculator/issues/629" TargetMode="External" /><Relationship Type="http://schemas.openxmlformats.org/officeDocument/2006/relationships/hyperlink" Id="rId139"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212" Target="https://github.com/UCD-SERG/shigella/pull/13" TargetMode="External" /><Relationship Type="http://schemas.openxmlformats.org/officeDocument/2006/relationships/hyperlink" Id="rId210" Target="https://github.com/UCD-SERG/shiny_serocalculator" TargetMode="External" /><Relationship Type="http://schemas.openxmlformats.org/officeDocument/2006/relationships/hyperlink" Id="rId109" Target="https://ucdserg.shinyapps.io/antibody-kinetics-model-2/" TargetMode="External" /><Relationship Type="http://schemas.openxmlformats.org/officeDocument/2006/relationships/hyperlink" Id="rId165"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2026-10-09T01:06:54Z</dcterms:created>
  <dcterms:modified xsi:type="dcterms:W3CDTF">2026-10-09T01:06:54Z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2026-10-09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