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0F8C9" w14:textId="6EEDD10C" w:rsidR="00404D71" w:rsidRPr="00404D71" w:rsidRDefault="00404D71" w:rsidP="00404D71">
      <w:pPr>
        <w:spacing w:after="0" w:line="240" w:lineRule="auto"/>
        <w:jc w:val="center"/>
        <w:rPr>
          <w:rFonts w:eastAsia="Times New Roman" w:cs="Arial"/>
          <w:sz w:val="24"/>
          <w:szCs w:val="24"/>
        </w:rPr>
      </w:pPr>
      <w:r w:rsidRPr="00404D71">
        <w:rPr>
          <w:rFonts w:eastAsia="Times New Roman" w:cs="Arial"/>
          <w:b/>
          <w:bCs/>
          <w:color w:val="000000"/>
          <w:sz w:val="29"/>
          <w:szCs w:val="29"/>
        </w:rPr>
        <w:t>iU</w:t>
      </w:r>
      <w:bookmarkStart w:id="0" w:name="_GoBack"/>
      <w:bookmarkEnd w:id="0"/>
      <w:r w:rsidRPr="00404D71">
        <w:rPr>
          <w:rFonts w:eastAsia="Times New Roman" w:cs="Arial"/>
          <w:b/>
          <w:bCs/>
          <w:color w:val="000000"/>
          <w:sz w:val="29"/>
          <w:szCs w:val="29"/>
        </w:rPr>
        <w:t>TAH Data Collection Plan</w:t>
      </w:r>
    </w:p>
    <w:p w14:paraId="7A253652"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Effort Name:</w:t>
      </w:r>
      <w:r w:rsidRPr="00404D71">
        <w:rPr>
          <w:rFonts w:eastAsia="Times New Roman" w:cs="Arial"/>
          <w:color w:val="000000"/>
        </w:rPr>
        <w:t xml:space="preserve"> </w:t>
      </w:r>
    </w:p>
    <w:p w14:paraId="1CFF0220" w14:textId="77777777" w:rsidR="004A1DA7" w:rsidRDefault="004A1DA7" w:rsidP="004A1DA7">
      <w:pPr>
        <w:spacing w:after="0" w:line="240" w:lineRule="auto"/>
        <w:rPr>
          <w:rFonts w:eastAsia="Times New Roman" w:cs="Arial"/>
        </w:rPr>
      </w:pPr>
    </w:p>
    <w:p w14:paraId="20D737B1" w14:textId="77777777" w:rsidR="004A1DA7" w:rsidRDefault="004A1DA7" w:rsidP="004A1DA7">
      <w:pPr>
        <w:spacing w:after="0" w:line="240" w:lineRule="auto"/>
        <w:rPr>
          <w:rFonts w:eastAsia="Times New Roman" w:cs="Arial"/>
        </w:rPr>
      </w:pPr>
    </w:p>
    <w:p w14:paraId="5478D506" w14:textId="60C2F608" w:rsidR="004A1DA7" w:rsidRPr="004A1DA7" w:rsidRDefault="00404D71" w:rsidP="004A1DA7">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Collaborators:</w:t>
      </w:r>
    </w:p>
    <w:p w14:paraId="14D7FF23" w14:textId="4BB4CBFC" w:rsidR="008B327F" w:rsidRDefault="008B327F" w:rsidP="008B327F">
      <w:pPr>
        <w:spacing w:after="0" w:line="240" w:lineRule="auto"/>
        <w:rPr>
          <w:rFonts w:eastAsia="Times New Roman" w:cs="Arial"/>
          <w:color w:val="000000"/>
        </w:rPr>
      </w:pPr>
    </w:p>
    <w:p w14:paraId="41CA1C6C" w14:textId="77777777" w:rsidR="004A1DA7" w:rsidRDefault="004A1DA7" w:rsidP="008B327F">
      <w:pPr>
        <w:spacing w:after="0" w:line="240" w:lineRule="auto"/>
        <w:rPr>
          <w:rFonts w:eastAsia="Times New Roman" w:cs="Arial"/>
          <w:color w:val="000000"/>
        </w:rPr>
      </w:pPr>
    </w:p>
    <w:p w14:paraId="01B13F58" w14:textId="77777777" w:rsidR="004A1DA7" w:rsidRDefault="004A1DA7" w:rsidP="008B327F">
      <w:pPr>
        <w:spacing w:after="0" w:line="240" w:lineRule="auto"/>
        <w:rPr>
          <w:rFonts w:eastAsia="Times New Roman" w:cs="Arial"/>
          <w:color w:val="000000"/>
        </w:rPr>
      </w:pPr>
    </w:p>
    <w:p w14:paraId="70DDEDE2" w14:textId="77777777" w:rsidR="004A1DA7" w:rsidRDefault="004A1DA7" w:rsidP="008B327F">
      <w:pPr>
        <w:spacing w:after="0" w:line="240" w:lineRule="auto"/>
        <w:rPr>
          <w:rFonts w:eastAsia="Times New Roman" w:cs="Arial"/>
          <w:color w:val="000000"/>
        </w:rPr>
      </w:pPr>
    </w:p>
    <w:p w14:paraId="0CFBD8E3" w14:textId="77777777" w:rsidR="004A1DA7" w:rsidRDefault="004A1DA7" w:rsidP="008B327F">
      <w:pPr>
        <w:spacing w:after="0" w:line="240" w:lineRule="auto"/>
        <w:rPr>
          <w:rFonts w:eastAsia="Times New Roman" w:cs="Arial"/>
          <w:color w:val="000000"/>
        </w:rPr>
      </w:pPr>
    </w:p>
    <w:p w14:paraId="34BC3197" w14:textId="77777777" w:rsidR="004A1DA7" w:rsidRDefault="004A1DA7" w:rsidP="008B327F">
      <w:pPr>
        <w:spacing w:after="0" w:line="240" w:lineRule="auto"/>
        <w:rPr>
          <w:rFonts w:eastAsia="Times New Roman" w:cs="Arial"/>
          <w:color w:val="000000"/>
        </w:rPr>
      </w:pPr>
    </w:p>
    <w:p w14:paraId="32C73F61" w14:textId="77777777" w:rsidR="004A1DA7" w:rsidRDefault="004A1DA7" w:rsidP="008B327F">
      <w:pPr>
        <w:spacing w:after="0" w:line="240" w:lineRule="auto"/>
        <w:rPr>
          <w:rFonts w:eastAsia="Times New Roman" w:cs="Arial"/>
          <w:color w:val="000000"/>
        </w:rPr>
      </w:pPr>
    </w:p>
    <w:p w14:paraId="07D7B9DC" w14:textId="77777777" w:rsidR="004A1DA7" w:rsidRDefault="004A1DA7" w:rsidP="008B327F">
      <w:pPr>
        <w:spacing w:after="0" w:line="240" w:lineRule="auto"/>
        <w:rPr>
          <w:rFonts w:eastAsia="Times New Roman" w:cs="Arial"/>
          <w:color w:val="000000"/>
        </w:rPr>
      </w:pPr>
    </w:p>
    <w:p w14:paraId="7A01EAD0" w14:textId="77777777" w:rsidR="004A1DA7" w:rsidRDefault="004A1DA7" w:rsidP="008B327F">
      <w:pPr>
        <w:spacing w:after="0" w:line="240" w:lineRule="auto"/>
        <w:rPr>
          <w:rFonts w:eastAsia="Times New Roman" w:cs="Arial"/>
          <w:color w:val="000000"/>
        </w:rPr>
      </w:pPr>
    </w:p>
    <w:p w14:paraId="369A1FBF" w14:textId="77777777" w:rsidR="004A1DA7" w:rsidRDefault="004A1DA7" w:rsidP="008B327F">
      <w:pPr>
        <w:spacing w:after="0" w:line="240" w:lineRule="auto"/>
        <w:rPr>
          <w:rFonts w:eastAsia="Times New Roman" w:cs="Arial"/>
          <w:color w:val="000000"/>
        </w:rPr>
      </w:pPr>
    </w:p>
    <w:p w14:paraId="3D639138" w14:textId="77777777" w:rsidR="00404D71" w:rsidRPr="00404D71" w:rsidRDefault="00404D71" w:rsidP="00404D71">
      <w:pPr>
        <w:spacing w:after="0" w:line="240" w:lineRule="auto"/>
        <w:rPr>
          <w:rFonts w:eastAsia="Times New Roman" w:cs="Arial"/>
        </w:rPr>
      </w:pPr>
      <w:r w:rsidRPr="00404D71">
        <w:rPr>
          <w:rFonts w:eastAsia="Times New Roman" w:cs="Arial"/>
        </w:rPr>
        <w:br/>
      </w:r>
      <w:r w:rsidRPr="00404D71">
        <w:rPr>
          <w:rFonts w:eastAsia="Times New Roman" w:cs="Arial"/>
          <w:b/>
          <w:bCs/>
          <w:color w:val="000000"/>
        </w:rPr>
        <w:t>Brief Summary (including data collection methods, timing and location of data collection, and the parties r</w:t>
      </w:r>
      <w:r w:rsidR="0022498B">
        <w:rPr>
          <w:rFonts w:eastAsia="Times New Roman" w:cs="Arial"/>
          <w:b/>
          <w:bCs/>
          <w:color w:val="000000"/>
        </w:rPr>
        <w:t>esponsible for data collection)</w:t>
      </w:r>
      <w:r w:rsidRPr="00404D71">
        <w:rPr>
          <w:rFonts w:eastAsia="Times New Roman" w:cs="Arial"/>
          <w:b/>
          <w:bCs/>
          <w:color w:val="000000"/>
        </w:rPr>
        <w:t xml:space="preserve">: </w:t>
      </w:r>
    </w:p>
    <w:p w14:paraId="2FC6F154" w14:textId="77777777" w:rsidR="00404D71" w:rsidRDefault="00404D71" w:rsidP="00404D71">
      <w:pPr>
        <w:spacing w:after="0" w:line="240" w:lineRule="auto"/>
        <w:rPr>
          <w:rFonts w:eastAsia="Times New Roman" w:cs="Arial"/>
        </w:rPr>
      </w:pPr>
    </w:p>
    <w:p w14:paraId="51C0A632" w14:textId="77777777" w:rsidR="004A1DA7" w:rsidRDefault="004A1DA7" w:rsidP="00404D71">
      <w:pPr>
        <w:spacing w:after="0" w:line="240" w:lineRule="auto"/>
        <w:rPr>
          <w:rFonts w:eastAsia="Times New Roman" w:cs="Arial"/>
        </w:rPr>
      </w:pPr>
    </w:p>
    <w:p w14:paraId="66B4B4C3" w14:textId="77777777" w:rsidR="004A1DA7" w:rsidRDefault="004A1DA7" w:rsidP="00404D71">
      <w:pPr>
        <w:spacing w:after="0" w:line="240" w:lineRule="auto"/>
        <w:rPr>
          <w:rFonts w:eastAsia="Times New Roman" w:cs="Arial"/>
        </w:rPr>
      </w:pPr>
    </w:p>
    <w:p w14:paraId="3D878C8F" w14:textId="77777777" w:rsidR="004A1DA7" w:rsidRDefault="004A1DA7" w:rsidP="00404D71">
      <w:pPr>
        <w:spacing w:after="0" w:line="240" w:lineRule="auto"/>
        <w:rPr>
          <w:rFonts w:eastAsia="Times New Roman" w:cs="Arial"/>
        </w:rPr>
      </w:pPr>
    </w:p>
    <w:p w14:paraId="14281D1F" w14:textId="77777777" w:rsidR="004A1DA7" w:rsidRDefault="004A1DA7" w:rsidP="00404D71">
      <w:pPr>
        <w:spacing w:after="0" w:line="240" w:lineRule="auto"/>
        <w:rPr>
          <w:rFonts w:eastAsia="Times New Roman" w:cs="Arial"/>
        </w:rPr>
      </w:pPr>
    </w:p>
    <w:p w14:paraId="61F1F990" w14:textId="77777777" w:rsidR="004A1DA7" w:rsidRDefault="004A1DA7" w:rsidP="00404D71">
      <w:pPr>
        <w:spacing w:after="0" w:line="240" w:lineRule="auto"/>
        <w:rPr>
          <w:rFonts w:eastAsia="Times New Roman" w:cs="Arial"/>
        </w:rPr>
      </w:pPr>
    </w:p>
    <w:p w14:paraId="50729F4A" w14:textId="77777777" w:rsidR="004A1DA7" w:rsidRDefault="004A1DA7" w:rsidP="00404D71">
      <w:pPr>
        <w:spacing w:after="0" w:line="240" w:lineRule="auto"/>
        <w:rPr>
          <w:rFonts w:eastAsia="Times New Roman" w:cs="Arial"/>
        </w:rPr>
      </w:pPr>
    </w:p>
    <w:p w14:paraId="5855B9A4" w14:textId="77777777" w:rsidR="004A1DA7" w:rsidRDefault="004A1DA7" w:rsidP="00404D71">
      <w:pPr>
        <w:spacing w:after="0" w:line="240" w:lineRule="auto"/>
        <w:rPr>
          <w:rFonts w:eastAsia="Times New Roman" w:cs="Arial"/>
        </w:rPr>
      </w:pPr>
    </w:p>
    <w:p w14:paraId="6BBFA7A9" w14:textId="77777777" w:rsidR="004A1DA7" w:rsidRDefault="004A1DA7" w:rsidP="00404D71">
      <w:pPr>
        <w:spacing w:after="0" w:line="240" w:lineRule="auto"/>
        <w:rPr>
          <w:rFonts w:eastAsia="Times New Roman" w:cs="Arial"/>
        </w:rPr>
      </w:pPr>
    </w:p>
    <w:p w14:paraId="328FEB7E" w14:textId="77777777" w:rsidR="004A1DA7" w:rsidRDefault="004A1DA7" w:rsidP="00404D71">
      <w:pPr>
        <w:spacing w:after="0" w:line="240" w:lineRule="auto"/>
        <w:rPr>
          <w:rFonts w:eastAsia="Times New Roman" w:cs="Arial"/>
        </w:rPr>
      </w:pPr>
    </w:p>
    <w:p w14:paraId="564A063B" w14:textId="77777777" w:rsidR="004A1DA7" w:rsidRDefault="004A1DA7" w:rsidP="00404D71">
      <w:pPr>
        <w:spacing w:after="0" w:line="240" w:lineRule="auto"/>
        <w:rPr>
          <w:rFonts w:eastAsia="Times New Roman" w:cs="Arial"/>
        </w:rPr>
      </w:pPr>
    </w:p>
    <w:p w14:paraId="1AFFF835" w14:textId="77777777" w:rsidR="004A1DA7" w:rsidRDefault="004A1DA7" w:rsidP="00404D71">
      <w:pPr>
        <w:spacing w:after="0" w:line="240" w:lineRule="auto"/>
        <w:rPr>
          <w:rFonts w:eastAsia="Times New Roman" w:cs="Arial"/>
        </w:rPr>
      </w:pPr>
    </w:p>
    <w:p w14:paraId="68E1DC7F" w14:textId="77777777" w:rsidR="004A1DA7" w:rsidRDefault="004A1DA7" w:rsidP="00404D71">
      <w:pPr>
        <w:spacing w:after="0" w:line="240" w:lineRule="auto"/>
        <w:rPr>
          <w:rFonts w:eastAsia="Times New Roman" w:cs="Arial"/>
        </w:rPr>
      </w:pPr>
    </w:p>
    <w:p w14:paraId="3BD4ECC6" w14:textId="77777777" w:rsidR="004A1DA7" w:rsidRDefault="004A1DA7" w:rsidP="00404D71">
      <w:pPr>
        <w:spacing w:after="0" w:line="240" w:lineRule="auto"/>
        <w:rPr>
          <w:rFonts w:eastAsia="Times New Roman" w:cs="Arial"/>
        </w:rPr>
      </w:pPr>
    </w:p>
    <w:p w14:paraId="728C2C56" w14:textId="77777777" w:rsidR="004A1DA7" w:rsidRDefault="004A1DA7" w:rsidP="00404D71">
      <w:pPr>
        <w:spacing w:after="0" w:line="240" w:lineRule="auto"/>
        <w:rPr>
          <w:rFonts w:eastAsia="Times New Roman" w:cs="Arial"/>
        </w:rPr>
      </w:pPr>
    </w:p>
    <w:p w14:paraId="068DD93B" w14:textId="77777777" w:rsidR="004A1DA7" w:rsidRPr="00404D71" w:rsidRDefault="004A1DA7" w:rsidP="00404D71">
      <w:pPr>
        <w:spacing w:after="0" w:line="240" w:lineRule="auto"/>
        <w:rPr>
          <w:rFonts w:eastAsia="Times New Roman" w:cs="Arial"/>
        </w:rPr>
      </w:pPr>
    </w:p>
    <w:p w14:paraId="2F421533" w14:textId="77777777" w:rsidR="00404D71" w:rsidRDefault="00404D71" w:rsidP="00404D71">
      <w:pPr>
        <w:spacing w:after="0" w:line="240" w:lineRule="auto"/>
        <w:rPr>
          <w:rFonts w:eastAsia="Times New Roman" w:cs="Arial"/>
          <w:color w:val="000000"/>
        </w:rPr>
      </w:pPr>
    </w:p>
    <w:p w14:paraId="326585A5" w14:textId="77777777" w:rsidR="004A1DA7" w:rsidRPr="00317990" w:rsidRDefault="004A1DA7" w:rsidP="00404D71">
      <w:pPr>
        <w:spacing w:after="0" w:line="240" w:lineRule="auto"/>
        <w:rPr>
          <w:rFonts w:eastAsia="Times New Roman" w:cs="Arial"/>
          <w:color w:val="000000"/>
        </w:rPr>
      </w:pPr>
    </w:p>
    <w:p w14:paraId="15340BBD" w14:textId="77777777" w:rsidR="00404D71" w:rsidRPr="00404D71" w:rsidRDefault="00404D71" w:rsidP="00404D71">
      <w:pPr>
        <w:spacing w:after="0" w:line="240" w:lineRule="auto"/>
        <w:rPr>
          <w:rFonts w:eastAsia="Times New Roman" w:cs="Arial"/>
        </w:rPr>
      </w:pPr>
      <w:r w:rsidRPr="00404D71">
        <w:rPr>
          <w:rFonts w:eastAsia="Times New Roman" w:cs="Arial"/>
          <w:b/>
          <w:bCs/>
          <w:color w:val="000000"/>
        </w:rPr>
        <w:t>Individual(s) Responsible for iUTAH Metadata Completion:</w:t>
      </w:r>
    </w:p>
    <w:p w14:paraId="3EBBA7FF" w14:textId="77777777" w:rsidR="004A1DA7" w:rsidRDefault="004A1DA7" w:rsidP="00404D71">
      <w:pPr>
        <w:spacing w:after="0" w:line="240" w:lineRule="auto"/>
        <w:rPr>
          <w:rFonts w:eastAsia="Times New Roman" w:cs="Arial"/>
          <w:color w:val="000000"/>
        </w:rPr>
      </w:pPr>
    </w:p>
    <w:p w14:paraId="4028C524" w14:textId="77777777" w:rsidR="004A1DA7" w:rsidRDefault="004A1DA7" w:rsidP="00404D71">
      <w:pPr>
        <w:spacing w:after="0" w:line="240" w:lineRule="auto"/>
        <w:rPr>
          <w:rFonts w:eastAsia="Times New Roman" w:cs="Arial"/>
          <w:color w:val="000000"/>
        </w:rPr>
      </w:pPr>
    </w:p>
    <w:p w14:paraId="771FD84E" w14:textId="77777777" w:rsidR="004A1DA7" w:rsidRDefault="004A1DA7" w:rsidP="00404D71">
      <w:pPr>
        <w:spacing w:after="0" w:line="240" w:lineRule="auto"/>
        <w:rPr>
          <w:rFonts w:eastAsia="Times New Roman" w:cs="Arial"/>
          <w:color w:val="000000"/>
        </w:rPr>
      </w:pPr>
    </w:p>
    <w:p w14:paraId="1BBA2D90" w14:textId="77777777" w:rsidR="004A1DA7" w:rsidRDefault="004A1DA7" w:rsidP="00404D71">
      <w:pPr>
        <w:spacing w:after="0" w:line="240" w:lineRule="auto"/>
        <w:rPr>
          <w:rFonts w:eastAsia="Times New Roman" w:cs="Arial"/>
          <w:color w:val="000000"/>
        </w:rPr>
      </w:pPr>
    </w:p>
    <w:p w14:paraId="4B83DE96" w14:textId="77777777" w:rsidR="004A1DA7" w:rsidRDefault="004A1DA7" w:rsidP="00404D71">
      <w:pPr>
        <w:spacing w:after="0" w:line="240" w:lineRule="auto"/>
        <w:rPr>
          <w:rFonts w:eastAsia="Times New Roman" w:cs="Arial"/>
          <w:color w:val="000000"/>
        </w:rPr>
      </w:pPr>
    </w:p>
    <w:p w14:paraId="5B13334F" w14:textId="62611322" w:rsidR="00404D71" w:rsidRPr="00317990" w:rsidRDefault="00F41B19" w:rsidP="00404D71">
      <w:pPr>
        <w:spacing w:after="0" w:line="240" w:lineRule="auto"/>
        <w:rPr>
          <w:rFonts w:eastAsia="Times New Roman" w:cs="Arial"/>
        </w:rPr>
        <w:sectPr w:rsidR="00404D71" w:rsidRPr="00317990">
          <w:pgSz w:w="12240" w:h="15840"/>
          <w:pgMar w:top="1440" w:right="1440" w:bottom="1440" w:left="1440" w:header="720" w:footer="720" w:gutter="0"/>
          <w:cols w:space="720"/>
          <w:docGrid w:linePitch="360"/>
        </w:sectPr>
      </w:pPr>
      <w:r w:rsidRPr="00317990">
        <w:rPr>
          <w:rFonts w:eastAsia="Times New Roman" w:cs="Arial"/>
          <w:b/>
          <w:bCs/>
          <w:color w:val="000000"/>
        </w:rPr>
        <w:t xml:space="preserve">Datasets </w:t>
      </w:r>
      <w:r w:rsidR="00404D71" w:rsidRPr="00404D71">
        <w:rPr>
          <w:rFonts w:eastAsia="Times New Roman" w:cs="Arial"/>
          <w:b/>
          <w:bCs/>
          <w:color w:val="000000"/>
        </w:rPr>
        <w:t xml:space="preserve">Expected to be </w:t>
      </w:r>
      <w:proofErr w:type="gramStart"/>
      <w:r w:rsidR="00404D71" w:rsidRPr="00404D71">
        <w:rPr>
          <w:rFonts w:eastAsia="Times New Roman" w:cs="Arial"/>
          <w:b/>
          <w:bCs/>
          <w:color w:val="000000"/>
        </w:rPr>
        <w:t>Generated</w:t>
      </w:r>
      <w:proofErr w:type="gramEnd"/>
      <w:r w:rsidR="00404D71" w:rsidRPr="00404D71">
        <w:rPr>
          <w:rFonts w:eastAsia="Times New Roman" w:cs="Arial"/>
          <w:b/>
          <w:bCs/>
          <w:color w:val="000000"/>
        </w:rPr>
        <w:t>:</w:t>
      </w:r>
      <w:r w:rsidR="00404D71" w:rsidRPr="00404D71">
        <w:rPr>
          <w:rFonts w:eastAsia="Times New Roman" w:cs="Arial"/>
        </w:rPr>
        <w:br/>
      </w:r>
      <w:r w:rsidR="00404D71" w:rsidRPr="00404D71">
        <w:rPr>
          <w:rFonts w:eastAsia="Times New Roman" w:cs="Arial"/>
        </w:rPr>
        <w:br/>
      </w:r>
      <w:r w:rsidR="00404D71" w:rsidRPr="00404D71">
        <w:rPr>
          <w:rFonts w:eastAsia="Times New Roman" w:cs="Arial"/>
        </w:rPr>
        <w:br/>
      </w:r>
    </w:p>
    <w:tbl>
      <w:tblPr>
        <w:tblW w:w="13080" w:type="dxa"/>
        <w:tblCellMar>
          <w:top w:w="15" w:type="dxa"/>
          <w:left w:w="15" w:type="dxa"/>
          <w:bottom w:w="15" w:type="dxa"/>
          <w:right w:w="15" w:type="dxa"/>
        </w:tblCellMar>
        <w:tblLook w:val="04A0" w:firstRow="1" w:lastRow="0" w:firstColumn="1" w:lastColumn="0" w:noHBand="0" w:noVBand="1"/>
      </w:tblPr>
      <w:tblGrid>
        <w:gridCol w:w="1034"/>
        <w:gridCol w:w="711"/>
        <w:gridCol w:w="1401"/>
        <w:gridCol w:w="1255"/>
        <w:gridCol w:w="870"/>
        <w:gridCol w:w="1157"/>
        <w:gridCol w:w="2264"/>
        <w:gridCol w:w="1612"/>
        <w:gridCol w:w="1500"/>
        <w:gridCol w:w="1276"/>
      </w:tblGrid>
      <w:tr w:rsidR="008B327F" w:rsidRPr="00317990" w14:paraId="52D9C097" w14:textId="77777777" w:rsidTr="008B327F">
        <w:trPr>
          <w:trHeight w:val="492"/>
        </w:trPr>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AA451C4"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lastRenderedPageBreak/>
              <w:t>Dataset</w:t>
            </w: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CE18D8A"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t>Data Type</w:t>
            </w:r>
            <w:r>
              <w:rPr>
                <w:rFonts w:eastAsia="Times New Roman" w:cs="Arial"/>
                <w:b/>
                <w:bCs/>
                <w:color w:val="000000"/>
                <w:sz w:val="18"/>
                <w:szCs w:val="18"/>
              </w:rPr>
              <w:t>*</w:t>
            </w: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FFCFF5" w14:textId="77777777" w:rsidR="008B327F" w:rsidRPr="00404D71" w:rsidRDefault="008B327F" w:rsidP="00F41B19">
            <w:pPr>
              <w:spacing w:after="0" w:line="240" w:lineRule="auto"/>
              <w:jc w:val="center"/>
              <w:rPr>
                <w:rFonts w:eastAsia="Times New Roman" w:cs="Arial"/>
                <w:sz w:val="18"/>
                <w:szCs w:val="18"/>
              </w:rPr>
            </w:pPr>
            <w:r w:rsidRPr="00404D71">
              <w:rPr>
                <w:rFonts w:eastAsia="Times New Roman" w:cs="Arial"/>
                <w:b/>
                <w:bCs/>
                <w:color w:val="000000"/>
                <w:sz w:val="18"/>
                <w:szCs w:val="18"/>
              </w:rPr>
              <w:t>Method of Creation</w:t>
            </w:r>
          </w:p>
        </w:tc>
        <w:tc>
          <w:tcPr>
            <w:tcW w:w="1255" w:type="dxa"/>
            <w:tcBorders>
              <w:top w:val="single" w:sz="6" w:space="0" w:color="000000"/>
              <w:left w:val="single" w:sz="6" w:space="0" w:color="000000"/>
              <w:bottom w:val="single" w:sz="6" w:space="0" w:color="000000"/>
              <w:right w:val="single" w:sz="6" w:space="0" w:color="000000"/>
            </w:tcBorders>
            <w:vAlign w:val="center"/>
          </w:tcPr>
          <w:p w14:paraId="17D9C844" w14:textId="77777777" w:rsidR="008B327F" w:rsidRPr="00404D71" w:rsidRDefault="008B327F"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Resulting D</w:t>
            </w:r>
            <w:r w:rsidRPr="00404D71">
              <w:rPr>
                <w:rFonts w:eastAsia="Times New Roman" w:cs="Arial"/>
                <w:b/>
                <w:bCs/>
                <w:color w:val="000000"/>
                <w:sz w:val="18"/>
                <w:szCs w:val="18"/>
              </w:rPr>
              <w:t>ata Format</w:t>
            </w: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E49F83" w14:textId="77777777" w:rsidR="008B327F" w:rsidRPr="00404D71" w:rsidRDefault="008B327F" w:rsidP="00F41B19">
            <w:pPr>
              <w:spacing w:after="0" w:line="240" w:lineRule="auto"/>
              <w:jc w:val="center"/>
              <w:rPr>
                <w:rFonts w:eastAsia="Times New Roman" w:cs="Arial"/>
                <w:b/>
                <w:sz w:val="18"/>
                <w:szCs w:val="18"/>
              </w:rPr>
            </w:pPr>
            <w:r w:rsidRPr="00404D71">
              <w:rPr>
                <w:rFonts w:eastAsia="Times New Roman" w:cs="Arial"/>
                <w:b/>
                <w:bCs/>
                <w:color w:val="000000"/>
                <w:sz w:val="18"/>
                <w:szCs w:val="18"/>
              </w:rPr>
              <w:t>Data Storage</w:t>
            </w: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5C83105" w14:textId="77777777" w:rsidR="008B327F" w:rsidRPr="00404D71" w:rsidRDefault="008B327F" w:rsidP="00F41B19">
            <w:pPr>
              <w:spacing w:after="0" w:line="240" w:lineRule="auto"/>
              <w:jc w:val="center"/>
              <w:rPr>
                <w:rFonts w:eastAsia="Times New Roman" w:cs="Arial"/>
                <w:b/>
                <w:sz w:val="18"/>
                <w:szCs w:val="18"/>
              </w:rPr>
            </w:pPr>
            <w:r w:rsidRPr="00317990">
              <w:rPr>
                <w:rFonts w:eastAsia="Times New Roman" w:cs="Arial"/>
                <w:b/>
                <w:sz w:val="18"/>
                <w:szCs w:val="18"/>
              </w:rPr>
              <w:t>Final Data Product</w:t>
            </w: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C0D4AC8" w14:textId="77777777" w:rsidR="008B327F" w:rsidRPr="00404D71" w:rsidRDefault="008B327F" w:rsidP="00F41B19">
            <w:pPr>
              <w:spacing w:after="0" w:line="240" w:lineRule="auto"/>
              <w:jc w:val="center"/>
              <w:rPr>
                <w:rFonts w:eastAsia="Times New Roman" w:cs="Arial"/>
                <w:sz w:val="18"/>
                <w:szCs w:val="18"/>
              </w:rPr>
            </w:pPr>
            <w:r w:rsidRPr="00317990">
              <w:rPr>
                <w:rFonts w:eastAsia="Times New Roman" w:cs="Arial"/>
                <w:b/>
                <w:bCs/>
                <w:color w:val="000000"/>
                <w:sz w:val="18"/>
                <w:szCs w:val="18"/>
              </w:rPr>
              <w:t>Timeframe</w:t>
            </w:r>
            <w:r>
              <w:rPr>
                <w:rFonts w:eastAsia="Times New Roman" w:cs="Arial"/>
                <w:b/>
                <w:bCs/>
                <w:color w:val="000000"/>
                <w:sz w:val="18"/>
                <w:szCs w:val="18"/>
              </w:rPr>
              <w:t>**</w:t>
            </w:r>
          </w:p>
        </w:tc>
        <w:tc>
          <w:tcPr>
            <w:tcW w:w="1612" w:type="dxa"/>
            <w:tcBorders>
              <w:top w:val="single" w:sz="6" w:space="0" w:color="000000"/>
              <w:left w:val="single" w:sz="6" w:space="0" w:color="000000"/>
              <w:bottom w:val="single" w:sz="6" w:space="0" w:color="000000"/>
              <w:right w:val="single" w:sz="6" w:space="0" w:color="000000"/>
            </w:tcBorders>
            <w:vAlign w:val="center"/>
          </w:tcPr>
          <w:p w14:paraId="64FABCCF" w14:textId="77777777" w:rsidR="008B327F" w:rsidRPr="00317990" w:rsidRDefault="008B327F"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During Collection</w:t>
            </w:r>
          </w:p>
        </w:tc>
        <w:tc>
          <w:tcPr>
            <w:tcW w:w="1500" w:type="dxa"/>
            <w:tcBorders>
              <w:top w:val="single" w:sz="6" w:space="0" w:color="000000"/>
              <w:left w:val="single" w:sz="6" w:space="0" w:color="000000"/>
              <w:bottom w:val="single" w:sz="6" w:space="0" w:color="000000"/>
              <w:right w:val="single" w:sz="6" w:space="0" w:color="000000"/>
            </w:tcBorders>
          </w:tcPr>
          <w:p w14:paraId="022A4F75" w14:textId="77777777" w:rsidR="008B327F" w:rsidRPr="00317990" w:rsidRDefault="008B327F" w:rsidP="00F41B19">
            <w:pPr>
              <w:spacing w:after="0" w:line="240" w:lineRule="auto"/>
              <w:jc w:val="center"/>
              <w:rPr>
                <w:rFonts w:eastAsia="Times New Roman" w:cs="Arial"/>
                <w:b/>
                <w:bCs/>
                <w:color w:val="000000"/>
                <w:sz w:val="18"/>
                <w:szCs w:val="18"/>
              </w:rPr>
            </w:pPr>
            <w:r w:rsidRPr="00317990">
              <w:rPr>
                <w:rFonts w:eastAsia="Times New Roman" w:cs="Arial"/>
                <w:b/>
                <w:bCs/>
                <w:color w:val="000000"/>
                <w:sz w:val="18"/>
                <w:szCs w:val="18"/>
              </w:rPr>
              <w:t>Access After Completion</w:t>
            </w:r>
          </w:p>
        </w:tc>
        <w:tc>
          <w:tcPr>
            <w:tcW w:w="1276" w:type="dxa"/>
            <w:tcBorders>
              <w:top w:val="single" w:sz="6" w:space="0" w:color="000000"/>
              <w:left w:val="single" w:sz="6" w:space="0" w:color="000000"/>
              <w:bottom w:val="single" w:sz="6" w:space="0" w:color="000000"/>
              <w:right w:val="single" w:sz="6" w:space="0" w:color="000000"/>
            </w:tcBorders>
          </w:tcPr>
          <w:p w14:paraId="2C36F174" w14:textId="77777777" w:rsidR="008B327F" w:rsidRPr="00317990" w:rsidRDefault="008B327F" w:rsidP="00F41B19">
            <w:pPr>
              <w:spacing w:after="0" w:line="240" w:lineRule="auto"/>
              <w:jc w:val="center"/>
              <w:rPr>
                <w:rFonts w:eastAsia="Times New Roman" w:cs="Arial"/>
                <w:b/>
                <w:bCs/>
                <w:color w:val="000000"/>
                <w:sz w:val="18"/>
                <w:szCs w:val="18"/>
              </w:rPr>
            </w:pPr>
            <w:r>
              <w:rPr>
                <w:rFonts w:eastAsia="Times New Roman" w:cs="Arial"/>
                <w:b/>
                <w:bCs/>
                <w:color w:val="000000"/>
                <w:sz w:val="18"/>
                <w:szCs w:val="18"/>
              </w:rPr>
              <w:t>Anonymization for IRB</w:t>
            </w:r>
          </w:p>
        </w:tc>
      </w:tr>
      <w:tr w:rsidR="008B327F" w:rsidRPr="00317990" w14:paraId="2879F9FB" w14:textId="77777777" w:rsidTr="004A1DA7">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BE3C59" w14:textId="4E951070" w:rsidR="008B327F" w:rsidRPr="00404D71" w:rsidRDefault="008B327F" w:rsidP="00F41B19">
            <w:pPr>
              <w:spacing w:after="0" w:line="0" w:lineRule="atLeast"/>
              <w:rPr>
                <w:rFonts w:eastAsia="Times New Roman" w:cs="Arial"/>
                <w:sz w:val="18"/>
                <w:szCs w:val="18"/>
              </w:rPr>
            </w:pP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1DCD7E" w14:textId="620AACD3" w:rsidR="008B327F" w:rsidRPr="00404D71" w:rsidRDefault="008B327F" w:rsidP="00F41B19">
            <w:pPr>
              <w:spacing w:after="0" w:line="0" w:lineRule="atLeast"/>
              <w:rPr>
                <w:rFonts w:eastAsia="Times New Roman" w:cs="Arial"/>
                <w:sz w:val="18"/>
                <w:szCs w:val="18"/>
              </w:rPr>
            </w:pP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61263A" w14:textId="6882191F" w:rsidR="008B327F" w:rsidRPr="00404D71" w:rsidRDefault="008B327F" w:rsidP="00F41B19">
            <w:pPr>
              <w:spacing w:after="0" w:line="0" w:lineRule="atLeast"/>
              <w:rPr>
                <w:rFonts w:eastAsia="Times New Roman" w:cs="Arial"/>
                <w:sz w:val="18"/>
                <w:szCs w:val="18"/>
              </w:rPr>
            </w:pPr>
          </w:p>
        </w:tc>
        <w:tc>
          <w:tcPr>
            <w:tcW w:w="1255" w:type="dxa"/>
            <w:tcBorders>
              <w:top w:val="single" w:sz="6" w:space="0" w:color="000000"/>
              <w:left w:val="single" w:sz="6" w:space="0" w:color="000000"/>
              <w:bottom w:val="single" w:sz="6" w:space="0" w:color="000000"/>
              <w:right w:val="single" w:sz="6" w:space="0" w:color="000000"/>
            </w:tcBorders>
          </w:tcPr>
          <w:p w14:paraId="1704558A" w14:textId="78E0F0C8" w:rsidR="008B327F" w:rsidRPr="00404D71" w:rsidRDefault="008B327F" w:rsidP="00F41B19">
            <w:pPr>
              <w:spacing w:after="0" w:line="0" w:lineRule="atLeast"/>
              <w:ind w:left="29"/>
              <w:rPr>
                <w:rFonts w:eastAsia="Times New Roman" w:cs="Arial"/>
                <w:sz w:val="18"/>
                <w:szCs w:val="18"/>
              </w:rPr>
            </w:pP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25A23" w14:textId="24EED152" w:rsidR="008B327F" w:rsidRPr="00404D71" w:rsidRDefault="008B327F" w:rsidP="00F41B19">
            <w:pPr>
              <w:spacing w:after="0" w:line="0" w:lineRule="atLeast"/>
              <w:rPr>
                <w:rFonts w:eastAsia="Times New Roman" w:cs="Arial"/>
                <w:sz w:val="18"/>
                <w:szCs w:val="18"/>
              </w:rPr>
            </w:pP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58C3BD" w14:textId="043CA0BB" w:rsidR="008B327F" w:rsidRPr="00404D71" w:rsidRDefault="008B327F" w:rsidP="00F41B19">
            <w:pPr>
              <w:spacing w:after="0" w:line="0" w:lineRule="atLeast"/>
              <w:rPr>
                <w:rFonts w:eastAsia="Times New Roman" w:cs="Arial"/>
                <w:sz w:val="18"/>
                <w:szCs w:val="18"/>
              </w:rPr>
            </w:pP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59E707" w14:textId="73183F2D" w:rsidR="008B327F" w:rsidRPr="00404D71" w:rsidRDefault="008B327F" w:rsidP="00F41B19">
            <w:pPr>
              <w:spacing w:after="0" w:line="0" w:lineRule="atLeast"/>
              <w:rPr>
                <w:rFonts w:eastAsia="Times New Roman" w:cs="Arial"/>
                <w:sz w:val="18"/>
                <w:szCs w:val="18"/>
              </w:rPr>
            </w:pPr>
          </w:p>
        </w:tc>
        <w:tc>
          <w:tcPr>
            <w:tcW w:w="1612" w:type="dxa"/>
            <w:tcBorders>
              <w:top w:val="single" w:sz="6" w:space="0" w:color="000000"/>
              <w:left w:val="single" w:sz="6" w:space="0" w:color="000000"/>
              <w:bottom w:val="single" w:sz="6" w:space="0" w:color="000000"/>
              <w:right w:val="single" w:sz="6" w:space="0" w:color="000000"/>
            </w:tcBorders>
          </w:tcPr>
          <w:p w14:paraId="6A00C850" w14:textId="55E952BF" w:rsidR="008B327F" w:rsidRPr="00317990" w:rsidRDefault="008B327F" w:rsidP="00F41B19">
            <w:pPr>
              <w:spacing w:after="0" w:line="0" w:lineRule="atLeast"/>
              <w:ind w:left="82"/>
              <w:rPr>
                <w:rFonts w:eastAsia="Times New Roman" w:cs="Arial"/>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3B119DEC" w14:textId="334AC160" w:rsidR="008B327F" w:rsidRPr="00317990" w:rsidRDefault="008B327F" w:rsidP="00F41B19">
            <w:pPr>
              <w:spacing w:after="0" w:line="0" w:lineRule="atLeast"/>
              <w:ind w:left="75"/>
              <w:rPr>
                <w:rFonts w:eastAsia="Times New Roman" w:cs="Arial"/>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2DE4400D" w14:textId="4127EA0D" w:rsidR="008B327F" w:rsidRPr="00317990" w:rsidRDefault="008B327F" w:rsidP="00F41B19">
            <w:pPr>
              <w:spacing w:after="0" w:line="0" w:lineRule="atLeast"/>
              <w:ind w:left="75"/>
              <w:rPr>
                <w:rFonts w:eastAsia="Times New Roman" w:cs="Arial"/>
                <w:sz w:val="18"/>
                <w:szCs w:val="18"/>
              </w:rPr>
            </w:pPr>
          </w:p>
        </w:tc>
      </w:tr>
      <w:tr w:rsidR="008B327F" w:rsidRPr="00317990" w14:paraId="15FB00EC" w14:textId="77777777" w:rsidTr="004A1DA7">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77E20E" w14:textId="2E7BC3BB" w:rsidR="008B327F" w:rsidRPr="00404D71" w:rsidRDefault="008B327F" w:rsidP="00F41B19">
            <w:pPr>
              <w:spacing w:after="0" w:line="0" w:lineRule="atLeast"/>
              <w:rPr>
                <w:rFonts w:eastAsia="Times New Roman" w:cs="Arial"/>
                <w:sz w:val="18"/>
                <w:szCs w:val="18"/>
              </w:rPr>
            </w:pP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8250E" w14:textId="37721426" w:rsidR="008B327F" w:rsidRPr="00404D71" w:rsidRDefault="008B327F" w:rsidP="00F41B19">
            <w:pPr>
              <w:spacing w:after="0" w:line="0" w:lineRule="atLeast"/>
              <w:rPr>
                <w:rFonts w:eastAsia="Times New Roman" w:cs="Arial"/>
                <w:sz w:val="18"/>
                <w:szCs w:val="18"/>
              </w:rPr>
            </w:pP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224820" w14:textId="0E74F1EF" w:rsidR="008B327F" w:rsidRPr="00404D71" w:rsidRDefault="008B327F" w:rsidP="00F41B19">
            <w:pPr>
              <w:spacing w:after="0" w:line="0" w:lineRule="atLeast"/>
              <w:rPr>
                <w:rFonts w:eastAsia="Times New Roman" w:cs="Arial"/>
                <w:sz w:val="18"/>
                <w:szCs w:val="18"/>
              </w:rPr>
            </w:pPr>
          </w:p>
        </w:tc>
        <w:tc>
          <w:tcPr>
            <w:tcW w:w="1255" w:type="dxa"/>
            <w:tcBorders>
              <w:top w:val="single" w:sz="6" w:space="0" w:color="000000"/>
              <w:left w:val="single" w:sz="6" w:space="0" w:color="000000"/>
              <w:bottom w:val="single" w:sz="6" w:space="0" w:color="000000"/>
              <w:right w:val="single" w:sz="6" w:space="0" w:color="000000"/>
            </w:tcBorders>
          </w:tcPr>
          <w:p w14:paraId="3535DCC0" w14:textId="21B7423D" w:rsidR="008B327F" w:rsidRPr="00404D71" w:rsidRDefault="008B327F" w:rsidP="00F41B19">
            <w:pPr>
              <w:spacing w:after="0" w:line="0" w:lineRule="atLeast"/>
              <w:ind w:left="29"/>
              <w:rPr>
                <w:rFonts w:eastAsia="Times New Roman" w:cs="Arial"/>
                <w:sz w:val="18"/>
                <w:szCs w:val="18"/>
              </w:rPr>
            </w:pP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628584" w14:textId="297251C2" w:rsidR="008B327F" w:rsidRPr="00404D71" w:rsidRDefault="008B327F" w:rsidP="00F41B19">
            <w:pPr>
              <w:spacing w:after="0" w:line="0" w:lineRule="atLeast"/>
              <w:rPr>
                <w:rFonts w:eastAsia="Times New Roman" w:cs="Arial"/>
                <w:sz w:val="18"/>
                <w:szCs w:val="18"/>
              </w:rPr>
            </w:pP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A91C00" w14:textId="7D686832" w:rsidR="008B327F" w:rsidRPr="00404D71" w:rsidRDefault="008B327F" w:rsidP="00F41B19">
            <w:pPr>
              <w:spacing w:after="0" w:line="0" w:lineRule="atLeast"/>
              <w:rPr>
                <w:rFonts w:eastAsia="Times New Roman" w:cs="Arial"/>
                <w:sz w:val="18"/>
                <w:szCs w:val="18"/>
              </w:rPr>
            </w:pP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4205C" w14:textId="78234DB1" w:rsidR="008B327F" w:rsidRPr="00404D71" w:rsidRDefault="008B327F" w:rsidP="008B327F">
            <w:pPr>
              <w:spacing w:after="0" w:line="0" w:lineRule="atLeast"/>
              <w:rPr>
                <w:rFonts w:eastAsia="Times New Roman" w:cs="Arial"/>
                <w:sz w:val="18"/>
                <w:szCs w:val="18"/>
              </w:rPr>
            </w:pPr>
          </w:p>
        </w:tc>
        <w:tc>
          <w:tcPr>
            <w:tcW w:w="1612" w:type="dxa"/>
            <w:tcBorders>
              <w:top w:val="single" w:sz="6" w:space="0" w:color="000000"/>
              <w:left w:val="single" w:sz="6" w:space="0" w:color="000000"/>
              <w:bottom w:val="single" w:sz="6" w:space="0" w:color="000000"/>
              <w:right w:val="single" w:sz="6" w:space="0" w:color="000000"/>
            </w:tcBorders>
          </w:tcPr>
          <w:p w14:paraId="3FAD3894" w14:textId="77777777" w:rsidR="008B327F" w:rsidRPr="00317990" w:rsidRDefault="008B327F" w:rsidP="00F41B19">
            <w:pPr>
              <w:spacing w:after="0" w:line="0" w:lineRule="atLeast"/>
              <w:rPr>
                <w:rFonts w:eastAsia="Times New Roman" w:cs="Arial"/>
                <w:color w:val="000000"/>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736064D9" w14:textId="0DE3D306" w:rsidR="008B327F" w:rsidRPr="00317990" w:rsidRDefault="008B327F" w:rsidP="00F41B19">
            <w:pPr>
              <w:spacing w:after="0" w:line="0" w:lineRule="atLeast"/>
              <w:ind w:left="75"/>
              <w:rPr>
                <w:rFonts w:eastAsia="Times New Roman" w:cs="Arial"/>
                <w:color w:val="000000"/>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5409C5ED" w14:textId="47A48735" w:rsidR="008B327F" w:rsidRPr="00317990" w:rsidRDefault="008B327F" w:rsidP="00F41B19">
            <w:pPr>
              <w:spacing w:after="0" w:line="0" w:lineRule="atLeast"/>
              <w:ind w:left="75"/>
              <w:rPr>
                <w:rFonts w:eastAsia="Times New Roman" w:cs="Arial"/>
                <w:color w:val="000000"/>
                <w:sz w:val="18"/>
                <w:szCs w:val="18"/>
              </w:rPr>
            </w:pPr>
          </w:p>
        </w:tc>
      </w:tr>
      <w:tr w:rsidR="008B327F" w:rsidRPr="00317990" w14:paraId="334537B7" w14:textId="77777777" w:rsidTr="008B327F">
        <w:tc>
          <w:tcPr>
            <w:tcW w:w="10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5F1FD2" w14:textId="032FB0A8" w:rsidR="008B327F" w:rsidRPr="00317990" w:rsidRDefault="008B327F" w:rsidP="00F41B19">
            <w:pPr>
              <w:spacing w:after="0" w:line="0" w:lineRule="atLeast"/>
              <w:rPr>
                <w:rFonts w:eastAsia="Times New Roman" w:cs="Arial"/>
                <w:color w:val="000000"/>
                <w:sz w:val="18"/>
                <w:szCs w:val="18"/>
              </w:rPr>
            </w:pPr>
          </w:p>
        </w:tc>
        <w:tc>
          <w:tcPr>
            <w:tcW w:w="71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49D12" w14:textId="2AC5D957" w:rsidR="008B327F" w:rsidRPr="00317990" w:rsidRDefault="008B327F" w:rsidP="00F41B19">
            <w:pPr>
              <w:spacing w:after="0" w:line="0" w:lineRule="atLeast"/>
              <w:rPr>
                <w:rFonts w:eastAsia="Times New Roman" w:cs="Arial"/>
                <w:color w:val="000000"/>
                <w:sz w:val="18"/>
                <w:szCs w:val="18"/>
              </w:rPr>
            </w:pPr>
          </w:p>
        </w:tc>
        <w:tc>
          <w:tcPr>
            <w:tcW w:w="140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A96F4" w14:textId="7FEFBA2A" w:rsidR="008B327F" w:rsidRPr="00317990" w:rsidRDefault="008B327F" w:rsidP="00F41B19">
            <w:pPr>
              <w:spacing w:after="0" w:line="0" w:lineRule="atLeast"/>
              <w:rPr>
                <w:rFonts w:eastAsia="Times New Roman" w:cs="Arial"/>
                <w:sz w:val="18"/>
                <w:szCs w:val="18"/>
              </w:rPr>
            </w:pPr>
          </w:p>
        </w:tc>
        <w:tc>
          <w:tcPr>
            <w:tcW w:w="1255" w:type="dxa"/>
            <w:tcBorders>
              <w:top w:val="single" w:sz="6" w:space="0" w:color="000000"/>
              <w:left w:val="single" w:sz="6" w:space="0" w:color="000000"/>
              <w:bottom w:val="single" w:sz="6" w:space="0" w:color="000000"/>
              <w:right w:val="single" w:sz="6" w:space="0" w:color="000000"/>
            </w:tcBorders>
          </w:tcPr>
          <w:p w14:paraId="151DD932" w14:textId="397606CD" w:rsidR="008B327F" w:rsidRPr="00317990" w:rsidRDefault="008B327F" w:rsidP="00F41B19">
            <w:pPr>
              <w:spacing w:after="0" w:line="0" w:lineRule="atLeast"/>
              <w:ind w:left="29"/>
              <w:rPr>
                <w:rFonts w:eastAsia="Times New Roman" w:cs="Arial"/>
                <w:color w:val="000000"/>
                <w:sz w:val="18"/>
                <w:szCs w:val="18"/>
              </w:rPr>
            </w:pPr>
          </w:p>
        </w:tc>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2222BD" w14:textId="621ACEA2" w:rsidR="008B327F" w:rsidRPr="00317990" w:rsidRDefault="008B327F" w:rsidP="00F41B19">
            <w:pPr>
              <w:spacing w:after="0" w:line="0" w:lineRule="atLeast"/>
              <w:rPr>
                <w:rFonts w:eastAsia="Times New Roman" w:cs="Arial"/>
                <w:color w:val="000000"/>
                <w:sz w:val="18"/>
                <w:szCs w:val="18"/>
              </w:rPr>
            </w:pPr>
          </w:p>
        </w:tc>
        <w:tc>
          <w:tcPr>
            <w:tcW w:w="11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9B82C0" w14:textId="052E73BD" w:rsidR="008B327F" w:rsidRPr="00317990" w:rsidRDefault="008B327F" w:rsidP="00F41B19">
            <w:pPr>
              <w:spacing w:after="0" w:line="0" w:lineRule="atLeast"/>
              <w:rPr>
                <w:rFonts w:eastAsia="Times New Roman" w:cs="Arial"/>
                <w:sz w:val="18"/>
                <w:szCs w:val="18"/>
              </w:rPr>
            </w:pPr>
          </w:p>
        </w:tc>
        <w:tc>
          <w:tcPr>
            <w:tcW w:w="22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FCF8D6" w14:textId="4D6A6195" w:rsidR="008B327F" w:rsidRPr="00317990" w:rsidRDefault="008B327F" w:rsidP="008B327F">
            <w:pPr>
              <w:spacing w:after="0" w:line="0" w:lineRule="atLeast"/>
              <w:rPr>
                <w:rFonts w:eastAsia="Times New Roman" w:cs="Arial"/>
                <w:color w:val="000000"/>
                <w:sz w:val="18"/>
                <w:szCs w:val="18"/>
              </w:rPr>
            </w:pPr>
          </w:p>
        </w:tc>
        <w:tc>
          <w:tcPr>
            <w:tcW w:w="1612" w:type="dxa"/>
            <w:tcBorders>
              <w:top w:val="single" w:sz="6" w:space="0" w:color="000000"/>
              <w:left w:val="single" w:sz="6" w:space="0" w:color="000000"/>
              <w:bottom w:val="single" w:sz="6" w:space="0" w:color="000000"/>
              <w:right w:val="single" w:sz="6" w:space="0" w:color="000000"/>
            </w:tcBorders>
          </w:tcPr>
          <w:p w14:paraId="702A27FF" w14:textId="77777777" w:rsidR="008B327F" w:rsidRPr="00317990" w:rsidRDefault="008B327F" w:rsidP="00F41B19">
            <w:pPr>
              <w:spacing w:after="0" w:line="0" w:lineRule="atLeast"/>
              <w:rPr>
                <w:rFonts w:eastAsia="Times New Roman" w:cs="Arial"/>
                <w:color w:val="000000"/>
                <w:sz w:val="18"/>
                <w:szCs w:val="18"/>
              </w:rPr>
            </w:pPr>
          </w:p>
        </w:tc>
        <w:tc>
          <w:tcPr>
            <w:tcW w:w="1500" w:type="dxa"/>
            <w:tcBorders>
              <w:top w:val="single" w:sz="6" w:space="0" w:color="000000"/>
              <w:left w:val="single" w:sz="6" w:space="0" w:color="000000"/>
              <w:bottom w:val="single" w:sz="6" w:space="0" w:color="000000"/>
              <w:right w:val="single" w:sz="6" w:space="0" w:color="000000"/>
            </w:tcBorders>
          </w:tcPr>
          <w:p w14:paraId="1C4D56AD" w14:textId="64B6A1CF" w:rsidR="008B327F" w:rsidRPr="00317990" w:rsidRDefault="008B327F" w:rsidP="00F41B19">
            <w:pPr>
              <w:spacing w:after="0" w:line="0" w:lineRule="atLeast"/>
              <w:ind w:left="75"/>
              <w:rPr>
                <w:rFonts w:eastAsia="Times New Roman" w:cs="Arial"/>
                <w:color w:val="000000"/>
                <w:sz w:val="18"/>
                <w:szCs w:val="18"/>
              </w:rPr>
            </w:pPr>
          </w:p>
        </w:tc>
        <w:tc>
          <w:tcPr>
            <w:tcW w:w="1276" w:type="dxa"/>
            <w:tcBorders>
              <w:top w:val="single" w:sz="6" w:space="0" w:color="000000"/>
              <w:left w:val="single" w:sz="6" w:space="0" w:color="000000"/>
              <w:bottom w:val="single" w:sz="6" w:space="0" w:color="000000"/>
              <w:right w:val="single" w:sz="6" w:space="0" w:color="000000"/>
            </w:tcBorders>
          </w:tcPr>
          <w:p w14:paraId="5E02FA32" w14:textId="5D10B32D" w:rsidR="008B327F" w:rsidRPr="00317990" w:rsidRDefault="008B327F" w:rsidP="00F41B19">
            <w:pPr>
              <w:spacing w:after="0" w:line="0" w:lineRule="atLeast"/>
              <w:ind w:left="75"/>
              <w:rPr>
                <w:rFonts w:eastAsia="Times New Roman" w:cs="Arial"/>
                <w:color w:val="000000"/>
                <w:sz w:val="18"/>
                <w:szCs w:val="18"/>
              </w:rPr>
            </w:pPr>
          </w:p>
        </w:tc>
      </w:tr>
    </w:tbl>
    <w:p w14:paraId="0177425F" w14:textId="77777777" w:rsidR="00317990" w:rsidRDefault="00317990" w:rsidP="00F41B19">
      <w:pPr>
        <w:spacing w:after="0" w:line="240" w:lineRule="auto"/>
        <w:rPr>
          <w:rFonts w:eastAsia="Times New Roman" w:cs="Arial"/>
          <w:sz w:val="18"/>
          <w:szCs w:val="18"/>
        </w:rPr>
      </w:pPr>
    </w:p>
    <w:p w14:paraId="5739F6A6" w14:textId="77777777" w:rsidR="00F41B19" w:rsidRPr="008B327F" w:rsidRDefault="00317990" w:rsidP="00F41B19">
      <w:pPr>
        <w:spacing w:after="0" w:line="240" w:lineRule="auto"/>
        <w:rPr>
          <w:rFonts w:eastAsia="Times New Roman" w:cs="Arial"/>
          <w:b/>
          <w:sz w:val="18"/>
          <w:szCs w:val="18"/>
        </w:rPr>
      </w:pPr>
      <w:r w:rsidRPr="008B327F">
        <w:rPr>
          <w:rFonts w:eastAsia="Times New Roman" w:cs="Arial"/>
          <w:b/>
          <w:sz w:val="18"/>
          <w:szCs w:val="18"/>
        </w:rPr>
        <w:t>*Data Typology:</w:t>
      </w:r>
    </w:p>
    <w:p w14:paraId="65B82AB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Primary iUTAH datasets or research products. These include raw and QA/QC calibrated sensor data from iUTAH facilities, baseline sampling datasets across iUTAH facilities and sites, and general datasets collected by iUTAH for the community of iUTAH participants.</w:t>
      </w:r>
    </w:p>
    <w:p w14:paraId="654C008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Datasets or other research products for which monetary or material support was provided by iUTAH, but that are created by a specific investigator, student, or iUTAH group to support a particular research question or goal.</w:t>
      </w:r>
    </w:p>
    <w:p w14:paraId="2FBC3406"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A and Type B datasets or products that include personally identifiable information or information about human subjects/participants and are subject to IRB restrictions.</w:t>
      </w:r>
    </w:p>
    <w:p w14:paraId="622497E1" w14:textId="77777777" w:rsidR="006F73A0" w:rsidRPr="008B327F" w:rsidRDefault="008B327F" w:rsidP="008B327F">
      <w:pPr>
        <w:pStyle w:val="NoSpacing"/>
        <w:rPr>
          <w:sz w:val="18"/>
          <w:szCs w:val="18"/>
        </w:rPr>
      </w:pPr>
      <w:r w:rsidRPr="008B327F">
        <w:rPr>
          <w:b/>
          <w:bCs/>
          <w:sz w:val="18"/>
          <w:szCs w:val="18"/>
        </w:rPr>
        <w:t>Type D</w:t>
      </w:r>
      <w:r w:rsidRPr="008B327F">
        <w:rPr>
          <w:sz w:val="18"/>
          <w:szCs w:val="18"/>
        </w:rPr>
        <w:t xml:space="preserve"> – Datasets or other research products procured by iUTAH or iUTAH participants supported by iUTAH that are subject to licensing, copyright, or use restrictions/agreements from the data source that may prohibit general distribution of the data.</w:t>
      </w:r>
    </w:p>
    <w:p w14:paraId="30E37A71" w14:textId="77777777" w:rsidR="008B327F" w:rsidRPr="008B327F" w:rsidRDefault="008B327F" w:rsidP="008B327F">
      <w:pPr>
        <w:pStyle w:val="NoSpacing"/>
        <w:rPr>
          <w:sz w:val="18"/>
          <w:szCs w:val="18"/>
        </w:rPr>
      </w:pPr>
    </w:p>
    <w:p w14:paraId="21DD0384" w14:textId="77777777" w:rsidR="008B327F" w:rsidRPr="008B327F" w:rsidRDefault="008B327F" w:rsidP="008B327F">
      <w:pPr>
        <w:pStyle w:val="NoSpacing"/>
        <w:rPr>
          <w:sz w:val="18"/>
          <w:szCs w:val="18"/>
        </w:rPr>
      </w:pPr>
      <w:r w:rsidRPr="0015725B">
        <w:rPr>
          <w:b/>
          <w:sz w:val="18"/>
          <w:szCs w:val="18"/>
        </w:rPr>
        <w:t>**Data Typology Timeframe</w:t>
      </w:r>
      <w:r w:rsidRPr="008B327F">
        <w:rPr>
          <w:sz w:val="18"/>
          <w:szCs w:val="18"/>
        </w:rPr>
        <w:t>:</w:t>
      </w:r>
    </w:p>
    <w:p w14:paraId="36DC96DA" w14:textId="77777777" w:rsidR="008B327F" w:rsidRPr="008B327F" w:rsidRDefault="008B327F" w:rsidP="008B327F">
      <w:pPr>
        <w:pStyle w:val="NoSpacing"/>
        <w:rPr>
          <w:sz w:val="18"/>
          <w:szCs w:val="18"/>
        </w:rPr>
      </w:pPr>
      <w:r w:rsidRPr="008B327F">
        <w:rPr>
          <w:b/>
          <w:bCs/>
          <w:sz w:val="18"/>
          <w:szCs w:val="18"/>
        </w:rPr>
        <w:t>Type A</w:t>
      </w:r>
      <w:r w:rsidRPr="008B327F">
        <w:rPr>
          <w:sz w:val="18"/>
          <w:szCs w:val="18"/>
        </w:rPr>
        <w:t xml:space="preserve"> - Automated data streams from iUTAH facilities will be streamed directly into live databases and will be made available online in near real time. Quality controlled and derived data products from iUTAH facilities will be published within six months of data collection. All other primary datasets will be published as they become available (e.g., as soon as results are created).</w:t>
      </w:r>
    </w:p>
    <w:p w14:paraId="4793F001" w14:textId="77777777" w:rsidR="008B327F" w:rsidRPr="008B327F" w:rsidRDefault="008B327F" w:rsidP="008B327F">
      <w:pPr>
        <w:pStyle w:val="NoSpacing"/>
        <w:rPr>
          <w:sz w:val="18"/>
          <w:szCs w:val="18"/>
        </w:rPr>
      </w:pPr>
      <w:r w:rsidRPr="008B327F">
        <w:rPr>
          <w:b/>
          <w:bCs/>
          <w:sz w:val="18"/>
          <w:szCs w:val="18"/>
        </w:rPr>
        <w:t>Type B</w:t>
      </w:r>
      <w:r w:rsidRPr="008B327F">
        <w:rPr>
          <w:sz w:val="18"/>
          <w:szCs w:val="18"/>
        </w:rPr>
        <w:t xml:space="preserve"> - Finalized data will be submitted to the iUTAH MDF within one year of the completion of data creation activities. Students collecting data must submit their finalized data as a condition of their thesis/dissertation defense. For long running data creation activities (i.e., efforts that last longer than one year), the following will be required:</w:t>
      </w:r>
    </w:p>
    <w:p w14:paraId="116B22CB" w14:textId="77777777" w:rsidR="008B327F" w:rsidRPr="008B327F" w:rsidRDefault="008B327F" w:rsidP="008B327F">
      <w:pPr>
        <w:pStyle w:val="NoSpacing"/>
        <w:numPr>
          <w:ilvl w:val="0"/>
          <w:numId w:val="5"/>
        </w:numPr>
        <w:rPr>
          <w:sz w:val="18"/>
          <w:szCs w:val="18"/>
        </w:rPr>
      </w:pPr>
      <w:r w:rsidRPr="008B327F">
        <w:rPr>
          <w:sz w:val="18"/>
          <w:szCs w:val="18"/>
        </w:rPr>
        <w:t>The initial metadata description will be reviewed and updated at least once per year.</w:t>
      </w:r>
    </w:p>
    <w:p w14:paraId="562283B6" w14:textId="77777777" w:rsidR="008B327F" w:rsidRPr="008B327F" w:rsidRDefault="008B327F" w:rsidP="008B327F">
      <w:pPr>
        <w:pStyle w:val="NoSpacing"/>
        <w:numPr>
          <w:ilvl w:val="0"/>
          <w:numId w:val="5"/>
        </w:numPr>
        <w:rPr>
          <w:sz w:val="18"/>
          <w:szCs w:val="18"/>
        </w:rPr>
      </w:pPr>
      <w:r w:rsidRPr="008B327F">
        <w:rPr>
          <w:sz w:val="18"/>
          <w:szCs w:val="18"/>
        </w:rPr>
        <w:t xml:space="preserve">Data will be submitted at least every 6 months. Data will not be released until the dataset is finalized by the data creator. </w:t>
      </w:r>
    </w:p>
    <w:p w14:paraId="0523BF47" w14:textId="77777777" w:rsidR="008B327F" w:rsidRPr="008B327F" w:rsidRDefault="008B327F" w:rsidP="008B327F">
      <w:pPr>
        <w:pStyle w:val="NoSpacing"/>
        <w:numPr>
          <w:ilvl w:val="0"/>
          <w:numId w:val="5"/>
        </w:numPr>
        <w:rPr>
          <w:sz w:val="18"/>
          <w:szCs w:val="18"/>
        </w:rPr>
      </w:pPr>
      <w:r w:rsidRPr="008B327F">
        <w:rPr>
          <w:sz w:val="18"/>
          <w:szCs w:val="18"/>
        </w:rPr>
        <w:t>Finalized data will be submitted within one year of collection or by the end of the project, whichever comes first.</w:t>
      </w:r>
    </w:p>
    <w:p w14:paraId="476DB852" w14:textId="77777777" w:rsidR="008B327F" w:rsidRPr="008B327F" w:rsidRDefault="008B327F" w:rsidP="008B327F">
      <w:pPr>
        <w:pStyle w:val="NoSpacing"/>
        <w:rPr>
          <w:sz w:val="18"/>
          <w:szCs w:val="18"/>
        </w:rPr>
      </w:pPr>
      <w:r w:rsidRPr="008B327F">
        <w:rPr>
          <w:b/>
          <w:bCs/>
          <w:sz w:val="18"/>
          <w:szCs w:val="18"/>
        </w:rPr>
        <w:t>Type C</w:t>
      </w:r>
      <w:r w:rsidRPr="008B327F">
        <w:rPr>
          <w:sz w:val="18"/>
          <w:szCs w:val="18"/>
        </w:rPr>
        <w:t xml:space="preserve"> - Type C datasets will be subject to time requirements described for Type A and Type B datasets. However, they may require the additional step of </w:t>
      </w:r>
      <w:proofErr w:type="spellStart"/>
      <w:r w:rsidRPr="008B327F">
        <w:rPr>
          <w:sz w:val="18"/>
          <w:szCs w:val="18"/>
        </w:rPr>
        <w:t>anonymization</w:t>
      </w:r>
      <w:proofErr w:type="spellEnd"/>
      <w:r w:rsidRPr="008B327F">
        <w:rPr>
          <w:sz w:val="18"/>
          <w:szCs w:val="18"/>
        </w:rPr>
        <w:t xml:space="preserve"> or aggregation with methods described in the Data Collection Plan.</w:t>
      </w:r>
    </w:p>
    <w:p w14:paraId="5744FE1A" w14:textId="77777777" w:rsidR="008B327F" w:rsidRPr="008B327F" w:rsidRDefault="008B327F" w:rsidP="008B327F">
      <w:pPr>
        <w:pStyle w:val="NoSpacing"/>
        <w:rPr>
          <w:sz w:val="18"/>
          <w:szCs w:val="18"/>
        </w:rPr>
      </w:pPr>
      <w:r w:rsidRPr="008B327F">
        <w:rPr>
          <w:b/>
          <w:bCs/>
          <w:sz w:val="18"/>
          <w:szCs w:val="18"/>
        </w:rPr>
        <w:t>Type D</w:t>
      </w:r>
      <w:r w:rsidRPr="008B327F">
        <w:rPr>
          <w:sz w:val="18"/>
          <w:szCs w:val="18"/>
        </w:rPr>
        <w:t xml:space="preserve"> - Type D datasets will be published as soon as possible (within one month) and to the greatest extent allowable by the licensing, copyright, and/or data use agreements under which they were created/procured.  Some Type D datasets may be permanently restricted.</w:t>
      </w:r>
    </w:p>
    <w:p w14:paraId="0CD4FCE5" w14:textId="77777777" w:rsidR="008B327F" w:rsidRPr="008B327F" w:rsidRDefault="008B327F" w:rsidP="008B327F">
      <w:pPr>
        <w:spacing w:line="240" w:lineRule="auto"/>
        <w:rPr>
          <w:rFonts w:cs="Arial"/>
          <w:sz w:val="18"/>
          <w:szCs w:val="18"/>
        </w:rPr>
      </w:pPr>
    </w:p>
    <w:sectPr w:rsidR="008B327F" w:rsidRPr="008B327F" w:rsidSect="00F41B1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B3708"/>
    <w:multiLevelType w:val="multilevel"/>
    <w:tmpl w:val="FE8E17C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925F42"/>
    <w:multiLevelType w:val="multilevel"/>
    <w:tmpl w:val="5B1EF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B06A72"/>
    <w:multiLevelType w:val="hybridMultilevel"/>
    <w:tmpl w:val="B58A03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CE74D7"/>
    <w:multiLevelType w:val="multilevel"/>
    <w:tmpl w:val="6F28D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1C18EA"/>
    <w:multiLevelType w:val="hybridMultilevel"/>
    <w:tmpl w:val="0FC08B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 w:ilvl="0">
        <w:numFmt w:val="lowerLetter"/>
        <w:lvlText w:val="%1."/>
        <w:lvlJc w:val="left"/>
      </w:lvl>
    </w:lvlOverride>
  </w:num>
  <w:num w:numId="2">
    <w:abstractNumId w:val="1"/>
    <w:lvlOverride w:ilvl="0">
      <w:lvl w:ilvl="0">
        <w:numFmt w:val="lowerLetter"/>
        <w:lvlText w:val="%1."/>
        <w:lvlJc w:val="left"/>
      </w:lvl>
    </w:lvlOverride>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D71"/>
    <w:rsid w:val="00017ED2"/>
    <w:rsid w:val="000F7F09"/>
    <w:rsid w:val="0015725B"/>
    <w:rsid w:val="0022498B"/>
    <w:rsid w:val="002936DA"/>
    <w:rsid w:val="00317990"/>
    <w:rsid w:val="00396B7E"/>
    <w:rsid w:val="00404D71"/>
    <w:rsid w:val="004A1DA7"/>
    <w:rsid w:val="005D47CE"/>
    <w:rsid w:val="00631AC8"/>
    <w:rsid w:val="006F73A0"/>
    <w:rsid w:val="00734500"/>
    <w:rsid w:val="008B327F"/>
    <w:rsid w:val="009854A8"/>
    <w:rsid w:val="00F41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5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4D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327F"/>
    <w:pPr>
      <w:spacing w:after="0" w:line="240" w:lineRule="auto"/>
      <w:ind w:left="720"/>
      <w:contextualSpacing/>
    </w:pPr>
    <w:rPr>
      <w:rFonts w:eastAsiaTheme="minorEastAsia"/>
      <w:sz w:val="24"/>
      <w:szCs w:val="24"/>
    </w:rPr>
  </w:style>
  <w:style w:type="paragraph" w:styleId="NoSpacing">
    <w:name w:val="No Spacing"/>
    <w:uiPriority w:val="1"/>
    <w:qFormat/>
    <w:rsid w:val="008B3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469504">
      <w:bodyDiv w:val="1"/>
      <w:marLeft w:val="0"/>
      <w:marRight w:val="0"/>
      <w:marTop w:val="0"/>
      <w:marBottom w:val="0"/>
      <w:divBdr>
        <w:top w:val="none" w:sz="0" w:space="0" w:color="auto"/>
        <w:left w:val="none" w:sz="0" w:space="0" w:color="auto"/>
        <w:bottom w:val="none" w:sz="0" w:space="0" w:color="auto"/>
        <w:right w:val="none" w:sz="0" w:space="0" w:color="auto"/>
      </w:divBdr>
    </w:div>
    <w:div w:id="773522376">
      <w:bodyDiv w:val="1"/>
      <w:marLeft w:val="0"/>
      <w:marRight w:val="0"/>
      <w:marTop w:val="0"/>
      <w:marBottom w:val="0"/>
      <w:divBdr>
        <w:top w:val="none" w:sz="0" w:space="0" w:color="auto"/>
        <w:left w:val="none" w:sz="0" w:space="0" w:color="auto"/>
        <w:bottom w:val="none" w:sz="0" w:space="0" w:color="auto"/>
        <w:right w:val="none" w:sz="0" w:space="0" w:color="auto"/>
      </w:divBdr>
    </w:div>
    <w:div w:id="1546942625">
      <w:bodyDiv w:val="1"/>
      <w:marLeft w:val="0"/>
      <w:marRight w:val="0"/>
      <w:marTop w:val="0"/>
      <w:marBottom w:val="0"/>
      <w:divBdr>
        <w:top w:val="none" w:sz="0" w:space="0" w:color="auto"/>
        <w:left w:val="none" w:sz="0" w:space="0" w:color="auto"/>
        <w:bottom w:val="none" w:sz="0" w:space="0" w:color="auto"/>
        <w:right w:val="none" w:sz="0" w:space="0" w:color="auto"/>
      </w:divBdr>
      <w:divsChild>
        <w:div w:id="59297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Amber</dc:creator>
  <cp:lastModifiedBy>Amber Jones</cp:lastModifiedBy>
  <cp:revision>3</cp:revision>
  <dcterms:created xsi:type="dcterms:W3CDTF">2014-06-06T12:34:00Z</dcterms:created>
  <dcterms:modified xsi:type="dcterms:W3CDTF">2014-06-06T12:34:00Z</dcterms:modified>
</cp:coreProperties>
</file>