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5" w:line="288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5" w:before="0" w:line="288" w:lineRule="auto"/>
        <w:jc w:val="center"/>
        <w:rPr>
          <w:sz w:val="40"/>
          <w:szCs w:val="40"/>
        </w:rPr>
      </w:pPr>
      <w:bookmarkStart w:colFirst="0" w:colLast="0" w:name="_iudo77ymat7" w:id="0"/>
      <w:bookmarkEnd w:id="0"/>
      <w:r w:rsidDel="00000000" w:rsidR="00000000" w:rsidRPr="00000000">
        <w:rPr>
          <w:sz w:val="40"/>
          <w:szCs w:val="40"/>
          <w:rtl w:val="0"/>
        </w:rPr>
        <w:t xml:space="preserve">IR PROCEDURE REFERENCE</w:t>
      </w:r>
    </w:p>
    <w:p w:rsidR="00000000" w:rsidDel="00000000" w:rsidP="00000000" w:rsidRDefault="00000000" w:rsidRPr="00000000" w14:paraId="00000005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ogjh06gogqvl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5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“security incident” = any unauthorized access (including company-owned devices, employee-owned registered devices, servers, proprietary and confidential data), unauthorized modifications of data, and unintended downtime traced to malicious activity</w:t>
      </w:r>
    </w:p>
    <w:p w:rsidR="00000000" w:rsidDel="00000000" w:rsidP="00000000" w:rsidRDefault="00000000" w:rsidRPr="00000000" w14:paraId="00000007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5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National Institute of Standards and Technology (NIST)’s Computer Security Incident Handling Guide, Section 3, “Handling an Incident”</w:t>
      </w:r>
    </w:p>
    <w:p w:rsidR="00000000" w:rsidDel="00000000" w:rsidP="00000000" w:rsidRDefault="00000000" w:rsidRPr="00000000" w14:paraId="00000009">
      <w:pPr>
        <w:spacing w:after="25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ep45tnmr4bh5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Scope</w:t>
      </w:r>
    </w:p>
    <w:p w:rsidR="00000000" w:rsidDel="00000000" w:rsidP="00000000" w:rsidRDefault="00000000" w:rsidRPr="00000000" w14:paraId="0000000B">
      <w:pPr>
        <w:spacing w:after="25" w:line="288" w:lineRule="auto"/>
        <w:rPr/>
      </w:pPr>
      <w:r w:rsidDel="00000000" w:rsidR="00000000" w:rsidRPr="00000000">
        <w:rPr>
          <w:rtl w:val="0"/>
        </w:rPr>
        <w:t xml:space="preserve">all employees, devices, infrastructure, and contracted third-party vendors </w:t>
      </w:r>
    </w:p>
    <w:p w:rsidR="00000000" w:rsidDel="00000000" w:rsidP="00000000" w:rsidRDefault="00000000" w:rsidRPr="00000000" w14:paraId="0000000C">
      <w:pPr>
        <w:spacing w:after="25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vdsu0drb8ntl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Preparation and Planning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Training, chain of command/management, routine education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R&amp;Rs for rapid-response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SIEM, prioritize critical and unpatchable stuff, specialized alerts (IDS portion)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countermeasures/defenses as needed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5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critical data and services regularly, no complete loss happening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5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c94gmbro5hgm" w:id="4"/>
      <w:bookmarkEnd w:id="4"/>
      <w:r w:rsidDel="00000000" w:rsidR="00000000" w:rsidRPr="00000000">
        <w:rPr>
          <w:color w:val="000000"/>
          <w:sz w:val="32"/>
          <w:szCs w:val="32"/>
          <w:rtl w:val="0"/>
        </w:rPr>
        <w:t xml:space="preserve">Detection and Analysis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tools, automated solutions; IDS/IPS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baseline to minimize false positives, manual review as needed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and preserve as possible in event of incident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methodology to guide targeted response (see MITRE ATT&amp;CK), aim for thorough post-mortem</w:t>
      </w:r>
    </w:p>
    <w:p w:rsidR="00000000" w:rsidDel="00000000" w:rsidP="00000000" w:rsidRDefault="00000000" w:rsidRPr="00000000" w14:paraId="00000019">
      <w:pPr>
        <w:spacing w:after="25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gq5i98nb0vys" w:id="5"/>
      <w:bookmarkEnd w:id="5"/>
      <w:r w:rsidDel="00000000" w:rsidR="00000000" w:rsidRPr="00000000">
        <w:rPr>
          <w:color w:val="000000"/>
          <w:sz w:val="32"/>
          <w:szCs w:val="32"/>
          <w:rtl w:val="0"/>
        </w:rPr>
        <w:t xml:space="preserve">Containment, Eradication, and Recovery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 threat to mitigate impact, minimize blast radius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root cause, eradicate from there (out malware, disable bad accs, identify vulns, disable service)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5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adversary eradication, work on restoring normal ops and secure as best as possible (restore from backup, patch, rotate, change perms + firewalls)</w:t>
      </w:r>
    </w:p>
    <w:p w:rsidR="00000000" w:rsidDel="00000000" w:rsidP="00000000" w:rsidRDefault="00000000" w:rsidRPr="00000000" w14:paraId="0000001E">
      <w:pPr>
        <w:spacing w:after="25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5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mcghyr71vpgq" w:id="6"/>
      <w:bookmarkEnd w:id="6"/>
      <w:r w:rsidDel="00000000" w:rsidR="00000000" w:rsidRPr="00000000">
        <w:rPr>
          <w:color w:val="000000"/>
          <w:sz w:val="32"/>
          <w:szCs w:val="32"/>
          <w:rtl w:val="0"/>
        </w:rPr>
        <w:t xml:space="preserve">Post-Incident Activity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report - technical details, evidence, impact on business, mitigations for future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 dev for preventative measures, remediate vulns, addl solutions and operational protocol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stakeholders + management, guidance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5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users and external stakeholders, guidance</w:t>
      </w:r>
    </w:p>
    <w:p w:rsidR="00000000" w:rsidDel="00000000" w:rsidP="00000000" w:rsidRDefault="00000000" w:rsidRPr="00000000" w14:paraId="00000025">
      <w:pPr>
        <w:spacing w:after="25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5fek18baqat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5" w:before="0" w:line="288" w:lineRule="auto"/>
        <w:rPr/>
      </w:pPr>
      <w:bookmarkStart w:colFirst="0" w:colLast="0" w:name="_fwgwyr1pwt69" w:id="8"/>
      <w:bookmarkEnd w:id="8"/>
      <w:r w:rsidDel="00000000" w:rsidR="00000000" w:rsidRPr="00000000">
        <w:rPr>
          <w:color w:val="000000"/>
          <w:sz w:val="32"/>
          <w:szCs w:val="32"/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="288" w:lineRule="auto"/>
        <w:ind w:left="720" w:hanging="360"/>
        <w:rPr/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https://frsecure.com/incident-response-policy-template/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="288" w:lineRule="auto"/>
        <w:ind w:left="720" w:hanging="36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https://www.cisecurity.org/insights/white-papers/incident-response-policy-template-for-cis-control-17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288" w:lineRule="auto"/>
        <w:ind w:left="720" w:hanging="36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https://nvlpubs.nist.gov/nistpubs/specialpublications/nist.sp.800-61r2.pdf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288" w:lineRule="auto"/>
        <w:ind w:left="720" w:hanging="360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https://www.fbi.gov/file-repository/incident-response-policy.pdf/view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88" w:lineRule="auto"/>
        <w:ind w:left="720" w:hanging="360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https://attack.mitre.org/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5" w:line="288" w:lineRule="auto"/>
        <w:ind w:left="720" w:hanging="360"/>
        <w:rPr>
          <w:i w:val="1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https://www.sans.org/media/score/504-incident-response-cycle.pdf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5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spacing w:after="240" w:line="360" w:lineRule="auto"/>
        <w:jc w:val="center"/>
        <w:rPr/>
      </w:pPr>
      <w:bookmarkStart w:colFirst="0" w:colLast="0" w:name="_qx1dqfrqoi4c" w:id="9"/>
      <w:bookmarkEnd w:id="9"/>
      <w:r w:rsidDel="00000000" w:rsidR="00000000" w:rsidRPr="00000000">
        <w:rPr>
          <w:rtl w:val="0"/>
        </w:rPr>
        <w:t xml:space="preserve">Incident Response Form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5115"/>
        <w:tblGridChange w:id="0">
          <w:tblGrid>
            <w:gridCol w:w="4245"/>
            <w:gridCol w:w="511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Breach Date and Time:</w:t>
            </w:r>
          </w:p>
          <w:p w:rsidR="00000000" w:rsidDel="00000000" w:rsidP="00000000" w:rsidRDefault="00000000" w:rsidRPr="00000000" w14:paraId="0000003F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MM/DD/20YY, H:M:S(:MS)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Affected IP/Hostname of Breached System(s): </w:t>
            </w:r>
          </w:p>
          <w:p w:rsidR="00000000" w:rsidDel="00000000" w:rsidP="00000000" w:rsidRDefault="00000000" w:rsidRPr="00000000" w14:paraId="00000042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 | Hostname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Source IP of Attacking System(s): </w:t>
            </w:r>
          </w:p>
          <w:p w:rsidR="00000000" w:rsidDel="00000000" w:rsidP="00000000" w:rsidRDefault="00000000" w:rsidRPr="00000000" w14:paraId="00000045">
            <w:pPr>
              <w:spacing w:after="240" w:before="240" w:line="288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(REQUIRED.)</w:t>
            </w:r>
          </w:p>
        </w:tc>
      </w:tr>
      <w:tr>
        <w:trPr>
          <w:cantSplit w:val="0"/>
          <w:trHeight w:val="50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Breach Narrative:</w:t>
            </w:r>
          </w:p>
          <w:p w:rsidR="00000000" w:rsidDel="00000000" w:rsidP="00000000" w:rsidRDefault="00000000" w:rsidRPr="00000000" w14:paraId="0000004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(Provide information about the breach in detail here, including the type of incident.)</w:t>
            </w:r>
          </w:p>
          <w:p w:rsidR="00000000" w:rsidDel="00000000" w:rsidP="00000000" w:rsidRDefault="00000000" w:rsidRPr="00000000" w14:paraId="0000004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Impact on Services:</w:t>
            </w:r>
          </w:p>
          <w:p w:rsidR="00000000" w:rsidDel="00000000" w:rsidP="00000000" w:rsidRDefault="00000000" w:rsidRPr="00000000" w14:paraId="0000005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highlight the designated impact below: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effect to the organization’s ability to provide all services to all users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Minimal effect; the organization can still provide all critical services to all users but has lost efficiency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Organization has lost the ability to provide a critical service to a subset of system users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Organization is no longer able to provide some critical services to any users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Impact on Information:</w:t>
            </w:r>
          </w:p>
          <w:p w:rsidR="00000000" w:rsidDel="00000000" w:rsidP="00000000" w:rsidRDefault="00000000" w:rsidRPr="00000000" w14:paraId="0000005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highlight the designated impact below: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information was exfiltrated, changed, deleted, or otherwise compromised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Privacy Breach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Sensitive PII of taxpayers, employees, beneficiaries, etc. was accessed or exfiltrated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Proprietary Breach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Unclassified proprietary information, such as protected critical infrastructure information (PCII), was accessed or exfiltrated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Integrity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Sensitive or proprietary information was changed or deleted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88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Please highlight the applicable metrics below: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Attack Vector:</w:t>
            </w:r>
          </w:p>
          <w:p w:rsidR="00000000" w:rsidDel="00000000" w:rsidP="00000000" w:rsidRDefault="00000000" w:rsidRPr="00000000" w14:paraId="0000006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Network </w:t>
              <w:tab/>
              <w:t xml:space="preserve">Adjacent</w:t>
            </w:r>
          </w:p>
          <w:p w:rsidR="00000000" w:rsidDel="00000000" w:rsidP="00000000" w:rsidRDefault="00000000" w:rsidRPr="00000000" w14:paraId="00000069">
            <w:pPr>
              <w:spacing w:after="240" w:before="240"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Local        </w:t>
              <w:tab/>
              <w:t xml:space="preserve">Physica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Attack Complexity:</w:t>
            </w:r>
          </w:p>
          <w:p w:rsidR="00000000" w:rsidDel="00000000" w:rsidP="00000000" w:rsidRDefault="00000000" w:rsidRPr="00000000" w14:paraId="0000006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    </w:t>
              <w:tab/>
              <w:t xml:space="preserve">High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Privileges Required:</w:t>
            </w:r>
          </w:p>
          <w:p w:rsidR="00000000" w:rsidDel="00000000" w:rsidP="00000000" w:rsidRDefault="00000000" w:rsidRPr="00000000" w14:paraId="0000006E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User Interaction:</w:t>
            </w:r>
          </w:p>
          <w:p w:rsidR="00000000" w:rsidDel="00000000" w:rsidP="00000000" w:rsidRDefault="00000000" w:rsidRPr="00000000" w14:paraId="0000007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Required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Scope:</w:t>
            </w:r>
          </w:p>
          <w:p w:rsidR="00000000" w:rsidDel="00000000" w:rsidP="00000000" w:rsidRDefault="00000000" w:rsidRPr="00000000" w14:paraId="00000072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Unchanged     </w:t>
              <w:tab/>
              <w:t xml:space="preserve">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Confidentiality:</w:t>
            </w:r>
          </w:p>
          <w:p w:rsidR="00000000" w:rsidDel="00000000" w:rsidP="00000000" w:rsidRDefault="00000000" w:rsidRPr="00000000" w14:paraId="0000007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Integrity:</w:t>
            </w:r>
          </w:p>
          <w:p w:rsidR="00000000" w:rsidDel="00000000" w:rsidP="00000000" w:rsidRDefault="00000000" w:rsidRPr="00000000" w14:paraId="00000076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Availability:</w:t>
            </w:r>
          </w:p>
          <w:p w:rsidR="00000000" w:rsidDel="00000000" w:rsidP="00000000" w:rsidRDefault="00000000" w:rsidRPr="00000000" w14:paraId="0000007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Remediation/Mitigation Steps:</w:t>
            </w:r>
          </w:p>
          <w:p w:rsidR="00000000" w:rsidDel="00000000" w:rsidP="00000000" w:rsidRDefault="00000000" w:rsidRPr="00000000" w14:paraId="0000007A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Steps to take in order to patch exploited machines and prevent further vulnerability.)</w:t>
            </w:r>
          </w:p>
          <w:p w:rsidR="00000000" w:rsidDel="00000000" w:rsidP="00000000" w:rsidRDefault="00000000" w:rsidRPr="00000000" w14:paraId="0000007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Extra Artifacts:</w:t>
            </w:r>
          </w:p>
          <w:p w:rsidR="00000000" w:rsidDel="00000000" w:rsidP="00000000" w:rsidRDefault="00000000" w:rsidRPr="00000000" w14:paraId="0000007F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Additional artifacts related to the incident should be listed in this section. This can be text, code, or pictures.)</w:t>
            </w:r>
          </w:p>
          <w:p w:rsidR="00000000" w:rsidDel="00000000" w:rsidP="00000000" w:rsidRDefault="00000000" w:rsidRPr="00000000" w14:paraId="0000008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form is modeled after the Forum of Incident Response and Security Teams (FIRST)’s Common Vulnerability Scoring System (CVSS) (</w:t>
      </w:r>
      <w:hyperlink r:id="rId12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https://www.first.org/cvss/calculator/3.1</w:t>
        </w:r>
      </w:hyperlink>
      <w:r w:rsidDel="00000000" w:rsidR="00000000" w:rsidRPr="00000000">
        <w:rPr>
          <w:sz w:val="20"/>
          <w:szCs w:val="20"/>
          <w:rtl w:val="0"/>
        </w:rPr>
        <w:t xml:space="preserve">). This template is also copied over from our team members’ past engagements as it was custom-developed to be applicable in all situations.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ns.org/media/score/504-incident-response-cycle.pdf" TargetMode="External"/><Relationship Id="rId10" Type="http://schemas.openxmlformats.org/officeDocument/2006/relationships/hyperlink" Target="https://attack.mitre.org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first.org/cvss/calculator/3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bi.gov/file-repository/incident-response-policy.pdf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frsecure.com/incident-response-policy-template/" TargetMode="External"/><Relationship Id="rId7" Type="http://schemas.openxmlformats.org/officeDocument/2006/relationships/hyperlink" Target="https://www.cisecurity.org/insights/white-papers/incident-response-policy-template-for-cis-control-17" TargetMode="External"/><Relationship Id="rId8" Type="http://schemas.openxmlformats.org/officeDocument/2006/relationships/hyperlink" Target="https://nvlpubs.nist.gov/nistpubs/specialpublications/nist.sp.800-61r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