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300"/>
        <w:jc w:val="center"/>
      </w:pPr>
      <w:r>
        <w:drawing>
          <wp:inline distT="0" distB="0" distL="0" distR="0">
            <wp:extent cx="36576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781050"/>
                    </a:xfrm>
                    <a:prstGeom prst="rect">
                      <a:avLst/>
                    </a:prstGeom>
                  </pic:spPr>
                </pic:pic>
              </a:graphicData>
            </a:graphic>
          </wp:inline>
        </w:drawing>
      </w:r>
    </w:p>
    <w:p>
      <w:pPr>
        <w:spacing w:after="0" w:before="120"/>
        <w:jc w:val="center"/>
      </w:pPr>
      <w:r>
        <w:rPr>
          <w:color w:val="2E75B6"/>
          <w:sz w:val="32"/>
          <w:szCs w:val="32"/>
        </w:rPr>
        <w:t xml:space="preserve">Modular Bulk RNA-seq Analysis Pipeline</w:t>
      </w:r>
    </w:p>
    <w:p>
      <w:pPr>
        <w:spacing w:after="0" w:before="480"/>
        <w:jc w:val="center"/>
      </w:pPr>
      <w:r>
        <w:rPr>
          <w:b/>
          <w:bCs/>
          <w:sz w:val="30"/>
          <w:szCs w:val="30"/>
        </w:rPr>
        <w:t xml:space="preserve">User Guide &amp; Output Interpretation</w:t>
      </w:r>
    </w:p>
    <w:p>
      <w:pPr>
        <w:spacing w:after="0" w:before="2400"/>
        <w:jc w:val="center"/>
      </w:pPr>
      <w:r>
        <w:rPr>
          <w:i/>
          <w:iCs/>
          <w:color w:val="595959"/>
          <w:sz w:val="24"/>
          <w:szCs w:val="24"/>
        </w:rPr>
        <w:t xml:space="preserve">Built with Nextflow DSL2</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About this pipeline</w:t>
      </w:r>
    </w:p>
    <w:p>
      <w:pPr>
        <w:spacing w:after="120"/>
      </w:pPr>
      <w:r>
        <w:rPr>
          <w:b w:val="false"/>
          <w:bCs w:val="false"/>
          <w:i w:val="false"/>
          <w:iCs w:val="false"/>
        </w:rPr>
        <w:t xml:space="preserve">rnaseq-flow is a modular bulk RNA-seq analysis pipeline implemented in Nextflow DSL2. It processes raw FASTQ files through quality control, read alignment or pseudo-alignment, gene quantification, differential expression, alternative splicing, gene-fusion detection and functional enrichment, and aggregates everything into interactive HTML reports.</w:t>
      </w:r>
    </w:p>
    <w:p>
      <w:pPr>
        <w:spacing w:after="120"/>
      </w:pPr>
      <w:r>
        <w:rPr>
          <w:b w:val="false"/>
          <w:bCs w:val="false"/>
          <w:i w:val="false"/>
          <w:iCs w:val="false"/>
        </w:rPr>
        <w:t xml:space="preserve">The pipeline is modular in three senses: you choose the aligner, you choose which analysis stages run, and you can supply references directly or generate them with built-in helper workflows.</w:t>
      </w:r>
    </w:p>
    <w:p>
      <w:pPr>
        <w:pStyle w:val="Heading2"/>
      </w:pPr>
      <w:r>
        <w:t xml:space="preserve">Analysis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shd w:fill="1F4E79" w:val="clear"/>
            <w:tcMar>
              <w:top w:type="dxa" w:w="60"/>
              <w:left w:type="dxa" w:w="110"/>
              <w:bottom w:type="dxa" w:w="60"/>
              <w:right w:type="dxa" w:w="110"/>
            </w:tcMar>
          </w:tcPr>
          <w:p>
            <w:r>
              <w:rPr>
                <w:b/>
                <w:bCs/>
                <w:color w:val="FFFFFF"/>
                <w:sz w:val="19"/>
                <w:szCs w:val="19"/>
              </w:rPr>
              <w:t xml:space="preserve">Stage</w:t>
            </w:r>
          </w:p>
        </w:tc>
        <w:tc>
          <w:tcPr>
            <w:tcW w:type="dxa" w:w="2400"/>
            <w:shd w:fill="1F4E79" w:val="clear"/>
            <w:tcMar>
              <w:top w:type="dxa" w:w="60"/>
              <w:left w:type="dxa" w:w="110"/>
              <w:bottom w:type="dxa" w:w="60"/>
              <w:right w:type="dxa" w:w="110"/>
            </w:tcMar>
          </w:tcPr>
          <w:p>
            <w:r>
              <w:rPr>
                <w:b/>
                <w:bCs/>
                <w:color w:val="FFFFFF"/>
                <w:sz w:val="19"/>
                <w:szCs w:val="19"/>
              </w:rPr>
              <w:t xml:space="preserve">Tools</w:t>
            </w:r>
          </w:p>
        </w:tc>
        <w:tc>
          <w:tcPr>
            <w:tcW w:type="dxa" w:w="4560"/>
            <w:shd w:fill="1F4E79" w:val="clear"/>
            <w:tcMar>
              <w:top w:type="dxa" w:w="60"/>
              <w:left w:type="dxa" w:w="110"/>
              <w:bottom w:type="dxa" w:w="60"/>
              <w:right w:type="dxa" w:w="110"/>
            </w:tcMar>
          </w:tcPr>
          <w:p>
            <w:r>
              <w:rPr>
                <w:b/>
                <w:bCs/>
                <w:color w:val="FFFFFF"/>
                <w:sz w:val="19"/>
                <w:szCs w:val="19"/>
              </w:rPr>
              <w:t xml:space="preserve">Purpose</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Read QC &amp; trimming</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FastQC, fastp</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Raw-read QC and adapter/quality trimming</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Genome alignment</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STAR, HISAT2</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Sorted, indexed BAM alignments</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Pseudo-alignment</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Salmon, Kallisto</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Fast transcript-level quantification</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Alignment QC</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RSeQC</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Strandedness (auto-fed to featureCounts), read distribution, gene-body coverage</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Coverage tracks</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deepTools</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CPM-normalised BigWig files for IGV/UCSC</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Gene quantification</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featureCounts</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Gene-level count matrix (STAR/HISAT2)</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Transcript-to-gene counts</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tximport</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Summarises Salmon/Kallisto to gene level for DE</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Differential expression</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DESeq2, edgeR</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Two methods run in parallel as a cross-check</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Alternative splicing</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rMATS</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SE, MXE, A3SS, A5SS, RI splicing events</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Fusion detection</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STAR-Fusion</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Gene fusions (requires a CTAT library)</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Isoform switching</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IsoformSwitchAnalyzeR</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Transcript-usage switches (Salmon)</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Transcript usage (DTU)</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DEXSeq</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Isoform-proportion shifts between conditions (Salmon/Kallisto, opt-in)</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Differential splicing</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edgeR diffSpliceDGE</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Exon-usage (STAR/HISAT2) and transcript-usage (Salmon/Kallisto) shifts (opt-in)</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Functional enrichment</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fgsea, gprofiler2</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GSEA and GO/pathway over-representation</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Reporting</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MultiQC, Quarto</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Aggregated HTML reports</w:t>
            </w:r>
          </w:p>
        </w:tc>
      </w:tr>
    </w:tbl>
    <w:p>
      <w:pPr>
        <w:spacing w:after="80"/>
      </w:pPr>
    </w:p>
    <w:p>
      <w:pPr>
        <w:pStyle w:val="Heading1"/>
      </w:pPr>
      <w:r>
        <w:t xml:space="preserve">2. Requirements &amp; installation</w:t>
      </w:r>
    </w:p>
    <w:p>
      <w:pPr>
        <w:pStyle w:val="ListParagraph"/>
        <w:numPr>
          <w:ilvl w:val="0"/>
          <w:numId w:val="2"/>
        </w:numPr>
        <w:spacing w:after="60"/>
      </w:pPr>
      <w:r>
        <w:rPr>
          <w:b/>
          <w:bCs/>
        </w:rPr>
        <w:t xml:space="preserve">Nextflow </w:t>
      </w:r>
      <w:r>
        <w:t xml:space="preserve">version 25.10.0 or newer (the pipeline uses the strict language, default from 25.10; verified on 26.04).</w:t>
      </w:r>
    </w:p>
    <w:p>
      <w:pPr>
        <w:pStyle w:val="ListParagraph"/>
        <w:numPr>
          <w:ilvl w:val="0"/>
          <w:numId w:val="2"/>
        </w:numPr>
        <w:spacing w:after="60"/>
      </w:pPr>
      <w:r>
        <w:rPr>
          <w:b/>
          <w:bCs/>
        </w:rPr>
        <w:t xml:space="preserve">Java </w:t>
      </w:r>
      <w:r>
        <w:t xml:space="preserve">11 to 21 (required by Nextflow).</w:t>
      </w:r>
    </w:p>
    <w:p>
      <w:pPr>
        <w:pStyle w:val="ListParagraph"/>
        <w:numPr>
          <w:ilvl w:val="0"/>
          <w:numId w:val="2"/>
        </w:numPr>
        <w:spacing w:after="60"/>
      </w:pPr>
      <w:r>
        <w:rPr>
          <w:b/>
          <w:bCs/>
        </w:rPr>
        <w:t xml:space="preserve">A container engine </w:t>
      </w:r>
      <w:r>
        <w:t xml:space="preserve">- Docker or Singularity/Apptainer - or Conda. Every process declares its own container, so no bioinformatics tools need to be installed manually.</w:t>
      </w:r>
    </w:p>
    <w:p>
      <w:pPr>
        <w:spacing w:after="120"/>
      </w:pPr>
      <w:r>
        <w:rPr>
          <w:b/>
          <w:bCs/>
        </w:rPr>
        <w:t xml:space="preserve">Install Nextflow:</w:t>
      </w:r>
    </w:p>
    <w:p>
      <w:pPr>
        <w:shd w:fill="F4F4F4" w:val="clear"/>
        <w:spacing w:after="0" w:before="60"/>
        <w:ind w:left="120"/>
      </w:pPr>
      <w:r>
        <w:rPr>
          <w:rFonts w:ascii="Consolas" w:cs="Consolas" w:eastAsia="Consolas" w:hAnsi="Consolas"/>
          <w:sz w:val="19"/>
          <w:szCs w:val="19"/>
        </w:rPr>
        <w:t xml:space="preserve">curl -s https://get.nextflow.io | bash</w:t>
      </w:r>
    </w:p>
    <w:p>
      <w:pPr>
        <w:shd w:fill="F4F4F4" w:val="clear"/>
        <w:spacing w:after="0" w:before="0"/>
        <w:ind w:left="120"/>
      </w:pPr>
      <w:r>
        <w:rPr>
          <w:rFonts w:ascii="Consolas" w:cs="Consolas" w:eastAsia="Consolas" w:hAnsi="Consolas"/>
          <w:sz w:val="19"/>
          <w:szCs w:val="19"/>
        </w:rPr>
        <w:t xml:space="preserve">sudo mv nextflow /usr/local/bin/</w:t>
      </w:r>
    </w:p>
    <w:p>
      <w:pPr>
        <w:shd w:fill="F4F4F4" w:val="clear"/>
        <w:spacing w:after="140" w:before="0"/>
        <w:ind w:left="120"/>
      </w:pPr>
      <w:r>
        <w:rPr>
          <w:rFonts w:ascii="Consolas" w:cs="Consolas" w:eastAsia="Consolas" w:hAnsi="Consolas"/>
          <w:sz w:val="19"/>
          <w:szCs w:val="19"/>
        </w:rPr>
        <w:t xml:space="preserve">nextflow -version</w:t>
      </w:r>
    </w:p>
    <w:p>
      <w:pPr>
        <w:spacing w:after="120"/>
      </w:pPr>
      <w:r>
        <w:rPr>
          <w:b/>
          <w:bCs/>
        </w:rPr>
        <w:t xml:space="preserve">Validate the pipeline without data. </w:t>
      </w:r>
      <w:r>
        <w:t xml:space="preserve">Every process ships a stub block, so the full workflow graph can be dry-run in seconds:</w:t>
      </w:r>
    </w:p>
    <w:p>
      <w:pPr>
        <w:shd w:fill="F4F4F4" w:val="clear"/>
        <w:spacing w:after="0" w:before="60"/>
        <w:ind w:left="120"/>
      </w:pPr>
      <w:r>
        <w:rPr>
          <w:rFonts w:ascii="Consolas" w:cs="Consolas" w:eastAsia="Consolas" w:hAnsi="Consolas"/>
          <w:sz w:val="19"/>
          <w:szCs w:val="19"/>
        </w:rPr>
        <w:t xml:space="preserve">nextflow run main.nf --input samplesheet_test.csv --aligner star \</w:t>
      </w:r>
    </w:p>
    <w:p>
      <w:pPr>
        <w:shd w:fill="F4F4F4" w:val="clear"/>
        <w:spacing w:after="140" w:before="0"/>
        <w:ind w:left="120"/>
      </w:pPr>
      <w:r>
        <w:rPr>
          <w:rFonts w:ascii="Consolas" w:cs="Consolas" w:eastAsia="Consolas" w:hAnsi="Consolas"/>
          <w:sz w:val="19"/>
          <w:szCs w:val="19"/>
        </w:rPr>
        <w:t xml:space="preserve">    --star_index fake --gtf fake.gtf -stub-run</w:t>
      </w:r>
    </w:p>
    <w:p>
      <w:pPr>
        <w:spacing w:after="120"/>
      </w:pPr>
      <w:r>
        <w:rPr>
          <w:b/>
          <w:bCs/>
        </w:rPr>
        <w:t xml:space="preserve">Discover parameters. </w:t>
      </w:r>
      <w:r>
        <w:t xml:space="preserve">Run 'nextflow run main.nf --help' to print every parameter, grouped with its default. Parameters are also validated on every run from nextflow_schema.json: an unrecognised --option (a typo) aborts the run immediately instead of being silently ignored.</w:t>
      </w:r>
    </w:p>
    <w:p>
      <w:pPr>
        <w:spacing w:after="120"/>
      </w:pPr>
      <w:r>
        <w:rPr>
          <w:b w:val="false"/>
          <w:bCs w:val="false"/>
          <w:i w:val="false"/>
          <w:iCs w:val="false"/>
        </w:rPr>
        <w:t xml:space="preserve">Run the real pipeline with one of the bundled profiles: -profile docker, -profile singularity or -profile conda.</w:t>
      </w:r>
    </w:p>
    <w:p>
      <w:pPr>
        <w:pStyle w:val="Heading1"/>
      </w:pPr>
      <w:r>
        <w:t xml:space="preserve">3. The three run modes</w:t>
      </w:r>
    </w:p>
    <w:p>
      <w:pPr>
        <w:spacing w:after="120"/>
      </w:pPr>
      <w:r>
        <w:rPr>
          <w:b w:val="false"/>
          <w:bCs w:val="false"/>
          <w:i w:val="false"/>
          <w:iCs w:val="false"/>
        </w:rPr>
        <w:t xml:space="preserve">main.nf has a single entry point that dispatches to one of three workflows based on the flags you pass. Only one mode runs per invocation.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shd w:fill="1F4E79" w:val="clear"/>
            <w:tcMar>
              <w:top w:type="dxa" w:w="60"/>
              <w:left w:type="dxa" w:w="110"/>
              <w:bottom w:type="dxa" w:w="60"/>
              <w:right w:type="dxa" w:w="110"/>
            </w:tcMar>
          </w:tcPr>
          <w:p>
            <w:r>
              <w:rPr>
                <w:b/>
                <w:bCs/>
                <w:color w:val="FFFFFF"/>
                <w:sz w:val="19"/>
                <w:szCs w:val="19"/>
              </w:rPr>
              <w:t xml:space="preserve">Flag</w:t>
            </w:r>
          </w:p>
        </w:tc>
        <w:tc>
          <w:tcPr>
            <w:tcW w:type="dxa" w:w="2200"/>
            <w:shd w:fill="1F4E79" w:val="clear"/>
            <w:tcMar>
              <w:top w:type="dxa" w:w="60"/>
              <w:left w:type="dxa" w:w="110"/>
              <w:bottom w:type="dxa" w:w="60"/>
              <w:right w:type="dxa" w:w="110"/>
            </w:tcMar>
          </w:tcPr>
          <w:p>
            <w:r>
              <w:rPr>
                <w:b/>
                <w:bCs/>
                <w:color w:val="FFFFFF"/>
                <w:sz w:val="19"/>
                <w:szCs w:val="19"/>
              </w:rPr>
              <w:t xml:space="preserve">Workflow</w:t>
            </w:r>
          </w:p>
        </w:tc>
        <w:tc>
          <w:tcPr>
            <w:tcW w:type="dxa" w:w="4760"/>
            <w:shd w:fill="1F4E79" w:val="clear"/>
            <w:tcMar>
              <w:top w:type="dxa" w:w="60"/>
              <w:left w:type="dxa" w:w="110"/>
              <w:bottom w:type="dxa" w:w="60"/>
              <w:right w:type="dxa" w:w="110"/>
            </w:tcMar>
          </w:tcPr>
          <w:p>
            <w:r>
              <w:rPr>
                <w:b/>
                <w:bCs/>
                <w:color w:val="FFFFFF"/>
                <w:sz w:val="19"/>
                <w:szCs w:val="19"/>
              </w:rPr>
              <w:t xml:space="preserve">Purpose</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--download_refs</w:t>
            </w:r>
          </w:p>
        </w:tc>
        <w:tc>
          <w:tcPr>
            <w:tcW w:type="dxa" w:w="2200"/>
            <w:shd w:fill="FFFFFF" w:val="clear"/>
            <w:tcMar>
              <w:top w:type="dxa" w:w="60"/>
              <w:left w:type="dxa" w:w="110"/>
              <w:bottom w:type="dxa" w:w="60"/>
              <w:right w:type="dxa" w:w="110"/>
            </w:tcMar>
          </w:tcPr>
          <w:p>
            <w:r>
              <w:rPr>
                <w:b w:val="false"/>
                <w:bCs w:val="false"/>
                <w:color w:val="000000"/>
                <w:sz w:val="19"/>
                <w:szCs w:val="19"/>
              </w:rPr>
              <w:t xml:space="preserve">DOWNLOAD</w:t>
            </w:r>
          </w:p>
        </w:tc>
        <w:tc>
          <w:tcPr>
            <w:tcW w:type="dxa" w:w="4760"/>
            <w:shd w:fill="FFFFFF" w:val="clear"/>
            <w:tcMar>
              <w:top w:type="dxa" w:w="60"/>
              <w:left w:type="dxa" w:w="110"/>
              <w:bottom w:type="dxa" w:w="60"/>
              <w:right w:type="dxa" w:w="110"/>
            </w:tcMar>
          </w:tcPr>
          <w:p>
            <w:r>
              <w:rPr>
                <w:b w:val="false"/>
                <w:bCs w:val="false"/>
                <w:color w:val="000000"/>
                <w:sz w:val="19"/>
                <w:szCs w:val="19"/>
              </w:rPr>
              <w:t xml:space="preserve">Fetch genome FASTA + GTF (and optional GMT gene sets) from Ensembl</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--build_indices</w:t>
            </w:r>
          </w:p>
        </w:tc>
        <w:tc>
          <w:tcPr>
            <w:tcW w:type="dxa" w:w="2200"/>
            <w:shd w:fill="FFFFFF" w:val="clear"/>
            <w:tcMar>
              <w:top w:type="dxa" w:w="60"/>
              <w:left w:type="dxa" w:w="110"/>
              <w:bottom w:type="dxa" w:w="60"/>
              <w:right w:type="dxa" w:w="110"/>
            </w:tcMar>
          </w:tcPr>
          <w:p>
            <w:r>
              <w:rPr>
                <w:b w:val="false"/>
                <w:bCs w:val="false"/>
                <w:color w:val="000000"/>
                <w:sz w:val="19"/>
                <w:szCs w:val="19"/>
              </w:rPr>
              <w:t xml:space="preserve">BUILD_INDICES</w:t>
            </w:r>
          </w:p>
        </w:tc>
        <w:tc>
          <w:tcPr>
            <w:tcW w:type="dxa" w:w="4760"/>
            <w:shd w:fill="FFFFFF" w:val="clear"/>
            <w:tcMar>
              <w:top w:type="dxa" w:w="60"/>
              <w:left w:type="dxa" w:w="110"/>
              <w:bottom w:type="dxa" w:w="60"/>
              <w:right w:type="dxa" w:w="110"/>
            </w:tcMar>
          </w:tcPr>
          <w:p>
            <w:r>
              <w:rPr>
                <w:b w:val="false"/>
                <w:bCs w:val="false"/>
                <w:color w:val="000000"/>
                <w:sz w:val="19"/>
                <w:szCs w:val="19"/>
              </w:rPr>
              <w:t xml:space="preserve">Build STAR / HISAT2 / Salmon / Kallisto indices</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(neither flag; --input given)</w:t>
            </w:r>
          </w:p>
        </w:tc>
        <w:tc>
          <w:tcPr>
            <w:tcW w:type="dxa" w:w="2200"/>
            <w:shd w:fill="FFFFFF" w:val="clear"/>
            <w:tcMar>
              <w:top w:type="dxa" w:w="60"/>
              <w:left w:type="dxa" w:w="110"/>
              <w:bottom w:type="dxa" w:w="60"/>
              <w:right w:type="dxa" w:w="110"/>
            </w:tcMar>
          </w:tcPr>
          <w:p>
            <w:r>
              <w:rPr>
                <w:b w:val="false"/>
                <w:bCs w:val="false"/>
                <w:color w:val="000000"/>
                <w:sz w:val="19"/>
                <w:szCs w:val="19"/>
              </w:rPr>
              <w:t xml:space="preserve">RNASEQ</w:t>
            </w:r>
          </w:p>
        </w:tc>
        <w:tc>
          <w:tcPr>
            <w:tcW w:type="dxa" w:w="4760"/>
            <w:shd w:fill="FFFFFF" w:val="clear"/>
            <w:tcMar>
              <w:top w:type="dxa" w:w="60"/>
              <w:left w:type="dxa" w:w="110"/>
              <w:bottom w:type="dxa" w:w="60"/>
              <w:right w:type="dxa" w:w="110"/>
            </w:tcMar>
          </w:tcPr>
          <w:p>
            <w:r>
              <w:rPr>
                <w:b w:val="false"/>
                <w:bCs w:val="false"/>
                <w:color w:val="000000"/>
                <w:sz w:val="19"/>
                <w:szCs w:val="19"/>
              </w:rPr>
              <w:t xml:space="preserve">The full analysis pipeline</w:t>
            </w:r>
          </w:p>
        </w:tc>
      </w:tr>
    </w:tbl>
    <w:p>
      <w:pPr>
        <w:spacing w:after="80"/>
      </w:pPr>
    </w:p>
    <w:p>
      <w:pPr>
        <w:pStyle w:val="Heading1"/>
      </w:pPr>
      <w:r>
        <w:t xml:space="preserve">4. Mode 1 - Download references</w:t>
      </w:r>
    </w:p>
    <w:p>
      <w:pPr>
        <w:spacing w:after="120"/>
      </w:pPr>
      <w:r>
        <w:rPr>
          <w:b w:val="false"/>
          <w:bCs w:val="false"/>
          <w:i w:val="false"/>
          <w:iCs w:val="false"/>
        </w:rPr>
        <w:t xml:space="preserve">Fetches the genome FASTA and GTF annotation for an Ensembl species, and optionally MSigDB gene sets for GSEA.</w:t>
      </w:r>
    </w:p>
    <w:p>
      <w:pPr>
        <w:shd w:fill="F4F4F4" w:val="clear"/>
        <w:spacing w:after="0" w:before="60"/>
        <w:ind w:left="120"/>
      </w:pPr>
      <w:r>
        <w:rPr>
          <w:rFonts w:ascii="Consolas" w:cs="Consolas" w:eastAsia="Consolas" w:hAnsi="Consolas"/>
          <w:sz w:val="19"/>
          <w:szCs w:val="19"/>
        </w:rPr>
        <w:t xml:space="preserve">nextflow run main.nf \</w:t>
      </w:r>
    </w:p>
    <w:p>
      <w:pPr>
        <w:shd w:fill="F4F4F4" w:val="clear"/>
        <w:spacing w:after="0" w:before="0"/>
        <w:ind w:left="120"/>
      </w:pPr>
      <w:r>
        <w:rPr>
          <w:rFonts w:ascii="Consolas" w:cs="Consolas" w:eastAsia="Consolas" w:hAnsi="Consolas"/>
          <w:sz w:val="19"/>
          <w:szCs w:val="19"/>
        </w:rPr>
        <w:t xml:space="preserve">    --download_refs \</w:t>
      </w:r>
    </w:p>
    <w:p>
      <w:pPr>
        <w:shd w:fill="F4F4F4" w:val="clear"/>
        <w:spacing w:after="0" w:before="0"/>
        <w:ind w:left="120"/>
      </w:pPr>
      <w:r>
        <w:rPr>
          <w:rFonts w:ascii="Consolas" w:cs="Consolas" w:eastAsia="Consolas" w:hAnsi="Consolas"/>
          <w:sz w:val="19"/>
          <w:szCs w:val="19"/>
        </w:rPr>
        <w:t xml:space="preserve">    --download_species homo_sapiens \</w:t>
      </w:r>
    </w:p>
    <w:p>
      <w:pPr>
        <w:shd w:fill="F4F4F4" w:val="clear"/>
        <w:spacing w:after="0" w:before="0"/>
        <w:ind w:left="120"/>
      </w:pPr>
      <w:r>
        <w:rPr>
          <w:rFonts w:ascii="Consolas" w:cs="Consolas" w:eastAsia="Consolas" w:hAnsi="Consolas"/>
          <w:sz w:val="19"/>
          <w:szCs w:val="19"/>
        </w:rPr>
        <w:t xml:space="preserve">    --download_source ensembl \</w:t>
      </w:r>
    </w:p>
    <w:p>
      <w:pPr>
        <w:shd w:fill="F4F4F4" w:val="clear"/>
        <w:spacing w:after="0" w:before="0"/>
        <w:ind w:left="120"/>
      </w:pPr>
      <w:r>
        <w:rPr>
          <w:rFonts w:ascii="Consolas" w:cs="Consolas" w:eastAsia="Consolas" w:hAnsi="Consolas"/>
          <w:sz w:val="19"/>
          <w:szCs w:val="19"/>
        </w:rPr>
        <w:t xml:space="preserve">    --download_release 102 \</w:t>
      </w:r>
    </w:p>
    <w:p>
      <w:pPr>
        <w:shd w:fill="F4F4F4" w:val="clear"/>
        <w:spacing w:after="0" w:before="0"/>
        <w:ind w:left="120"/>
      </w:pPr>
      <w:r>
        <w:rPr>
          <w:rFonts w:ascii="Consolas" w:cs="Consolas" w:eastAsia="Consolas" w:hAnsi="Consolas"/>
          <w:sz w:val="19"/>
          <w:szCs w:val="19"/>
        </w:rPr>
        <w:t xml:space="preserve">    --download_gmt \</w:t>
      </w:r>
    </w:p>
    <w:p>
      <w:pPr>
        <w:shd w:fill="F4F4F4" w:val="clear"/>
        <w:spacing w:after="0" w:before="0"/>
        <w:ind w:left="120"/>
      </w:pPr>
      <w:r>
        <w:rPr>
          <w:rFonts w:ascii="Consolas" w:cs="Consolas" w:eastAsia="Consolas" w:hAnsi="Consolas"/>
          <w:sz w:val="19"/>
          <w:szCs w:val="19"/>
        </w:rPr>
        <w:t xml:space="preserve">    --organism hsapiens \</w:t>
      </w:r>
    </w:p>
    <w:p>
      <w:pPr>
        <w:shd w:fill="F4F4F4" w:val="clear"/>
        <w:spacing w:after="0" w:before="0"/>
        <w:ind w:left="120"/>
      </w:pPr>
      <w:r>
        <w:rPr>
          <w:rFonts w:ascii="Consolas" w:cs="Consolas" w:eastAsia="Consolas" w:hAnsi="Consolas"/>
          <w:sz w:val="19"/>
          <w:szCs w:val="19"/>
        </w:rPr>
        <w:t xml:space="preserve">    --outdir references/human \</w:t>
      </w:r>
    </w:p>
    <w:p>
      <w:pPr>
        <w:shd w:fill="F4F4F4" w:val="clear"/>
        <w:spacing w:after="140" w:before="0"/>
        <w:ind w:left="120"/>
      </w:pPr>
      <w:r>
        <w:rPr>
          <w:rFonts w:ascii="Consolas" w:cs="Consolas" w:eastAsia="Consolas" w:hAnsi="Consolas"/>
          <w:sz w:val="19"/>
          <w:szCs w:val="19"/>
        </w:rPr>
        <w:t xml:space="preserve">    -profile docker</w:t>
      </w:r>
    </w:p>
    <w:p>
      <w:pPr>
        <w:spacing w:after="120"/>
      </w:pPr>
      <w:r>
        <w:rPr>
          <w:b/>
          <w:bCs/>
        </w:rPr>
        <w:t xml:space="preserve">Reproducibility. </w:t>
      </w:r>
      <w:r>
        <w:t xml:space="preserve">--download_release pins a specific Ensembl release (e.g. 102; a leading 'v' is accepted). The reference files are then written to a versioned subfolder under --outdir - the example above produces references/human/v102/. Omit --download_release to resolve and fetch the latest release straight into --outdir. The download_log.txt always records the resolved release, the assembly name, all three filenames, and the exact --download_release value that reproduces the set.</w:t>
      </w:r>
    </w:p>
    <w:p>
      <w:pPr>
        <w:spacing w:after="120"/>
      </w:pPr>
      <w:r>
        <w:rPr>
          <w:b/>
          <w:bCs/>
        </w:rPr>
        <w:t xml:space="preserve">Outputs </w:t>
      </w:r>
      <w:r>
        <w:t xml:space="preserve">(under the versioned subfolder): the genome FASTA (.dna.primary_assembly.fa.gz, or .dna.toplevel.fa.gz for species that publish no primary assembly), the annotation (.gtf.gz), the cDNA transcriptome (.cdna.all.fa.gz, which is what --transcript_fasta expects), and a download_log.txt provenance file. With --download_gmt, a gmt/ folder of Hallmark, C2 (KEGG/Reactome) and C5 (GO) gene sets is written under --outdir.</w:t>
      </w:r>
    </w:p>
    <w:p>
      <w:pPr>
        <w:pBdr>
          <w:left w:val="single" w:color="E0A800" w:sz="18" w:space="6"/>
        </w:pBdr>
        <w:shd w:fill="FFF4CE" w:val="clear"/>
        <w:spacing w:after="140" w:before="80"/>
        <w:ind w:left="160"/>
      </w:pPr>
      <w:r>
        <w:rPr>
          <w:b/>
          <w:bCs/>
        </w:rPr>
        <w:t xml:space="preserve">Note  </w:t>
      </w:r>
      <w:r>
        <w:t xml:space="preserve">Which GTF? Ensembl publishes several annotations per species (abinitio, chr, chr_patch_hapl_scaff, and the canonical one). Only the canonical GTF describes the primary-assembly genome; the others add patch scaffolds and alternative haplotypes that have no matching sequence. The pipeline selects the GTF and the transcriptome by the assembly named in the genome FASTA, and fails loudly rather than guessing. Reference sets downloaded with rnaseq-flow before v1.2.0 used the patch/haplotype GTF and should be re-downloaded.</w:t>
      </w:r>
    </w:p>
    <w:p>
      <w:pPr>
        <w:pBdr>
          <w:left w:val="single" w:color="E0A800" w:sz="18" w:space="6"/>
        </w:pBdr>
        <w:shd w:fill="FFF4CE" w:val="clear"/>
        <w:spacing w:after="140" w:before="80"/>
        <w:ind w:left="160"/>
      </w:pPr>
      <w:r>
        <w:rPr>
          <w:b/>
          <w:bCs/>
        </w:rPr>
        <w:t xml:space="preserve">Note  </w:t>
      </w:r>
      <w:r>
        <w:t xml:space="preserve">Only the cDNA transcriptome is fetched. If your library is rRNA-depleted rather than poly-A selected, also index Ensembl's ncrna.fa.gz for that species, or lncRNAs go unquantified.</w:t>
      </w:r>
    </w:p>
    <w:p>
      <w:pPr>
        <w:pStyle w:val="Heading1"/>
      </w:pPr>
      <w:r>
        <w:t xml:space="preserve">5. Mode 2 - Build indices</w:t>
      </w:r>
    </w:p>
    <w:p>
      <w:pPr>
        <w:spacing w:after="120"/>
      </w:pPr>
      <w:r>
        <w:rPr>
          <w:b w:val="false"/>
          <w:bCs w:val="false"/>
          <w:i w:val="false"/>
          <w:iCs w:val="false"/>
        </w:rPr>
        <w:t xml:space="preserve">Builds the index for one aligner, or all four at once with --aligner all. FASTA/GTF inputs may be gzipped or uncompressed.</w:t>
      </w:r>
    </w:p>
    <w:p>
      <w:pPr>
        <w:shd w:fill="F4F4F4" w:val="clear"/>
        <w:spacing w:after="0" w:before="60"/>
        <w:ind w:left="120"/>
      </w:pPr>
      <w:r>
        <w:rPr>
          <w:rFonts w:ascii="Consolas" w:cs="Consolas" w:eastAsia="Consolas" w:hAnsi="Consolas"/>
          <w:sz w:val="19"/>
          <w:szCs w:val="19"/>
        </w:rPr>
        <w:t xml:space="preserve">nextflow run main.nf --build_indices --aligner star \</w:t>
      </w:r>
    </w:p>
    <w:p>
      <w:pPr>
        <w:shd w:fill="F4F4F4" w:val="clear"/>
        <w:spacing w:after="0" w:before="0"/>
        <w:ind w:left="120"/>
      </w:pPr>
      <w:r>
        <w:rPr>
          <w:rFonts w:ascii="Consolas" w:cs="Consolas" w:eastAsia="Consolas" w:hAnsi="Consolas"/>
          <w:sz w:val="19"/>
          <w:szCs w:val="19"/>
        </w:rPr>
        <w:t xml:space="preserve">    --genome_fasta references/human/genome.fa.gz \</w:t>
      </w:r>
    </w:p>
    <w:p>
      <w:pPr>
        <w:shd w:fill="F4F4F4" w:val="clear"/>
        <w:spacing w:after="0" w:before="0"/>
        <w:ind w:left="120"/>
      </w:pPr>
      <w:r>
        <w:rPr>
          <w:rFonts w:ascii="Consolas" w:cs="Consolas" w:eastAsia="Consolas" w:hAnsi="Consolas"/>
          <w:sz w:val="19"/>
          <w:szCs w:val="19"/>
        </w:rPr>
        <w:t xml:space="preserve">    --gtf         references/human/annotation.gtf.gz \</w:t>
      </w:r>
    </w:p>
    <w:p>
      <w:pPr>
        <w:shd w:fill="F4F4F4" w:val="clear"/>
        <w:spacing w:after="140" w:before="0"/>
        <w:ind w:left="120"/>
      </w:pPr>
      <w:r>
        <w:rPr>
          <w:rFonts w:ascii="Consolas" w:cs="Consolas" w:eastAsia="Consolas" w:hAnsi="Consolas"/>
          <w:sz w:val="19"/>
          <w:szCs w:val="19"/>
        </w:rPr>
        <w:t xml:space="preserve">    --outdir indices/human -profile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shd w:fill="1F4E79" w:val="clear"/>
            <w:tcMar>
              <w:top w:type="dxa" w:w="60"/>
              <w:left w:type="dxa" w:w="110"/>
              <w:bottom w:type="dxa" w:w="60"/>
              <w:right w:type="dxa" w:w="110"/>
            </w:tcMar>
          </w:tcPr>
          <w:p>
            <w:r>
              <w:rPr>
                <w:b/>
                <w:bCs/>
                <w:color w:val="FFFFFF"/>
                <w:sz w:val="19"/>
                <w:szCs w:val="19"/>
              </w:rPr>
              <w:t xml:space="preserve">Aligner</w:t>
            </w:r>
          </w:p>
        </w:tc>
        <w:tc>
          <w:tcPr>
            <w:tcW w:type="dxa" w:w="3500"/>
            <w:shd w:fill="1F4E79" w:val="clear"/>
            <w:tcMar>
              <w:top w:type="dxa" w:w="60"/>
              <w:left w:type="dxa" w:w="110"/>
              <w:bottom w:type="dxa" w:w="60"/>
              <w:right w:type="dxa" w:w="110"/>
            </w:tcMar>
          </w:tcPr>
          <w:p>
            <w:r>
              <w:rPr>
                <w:b/>
                <w:bCs/>
                <w:color w:val="FFFFFF"/>
                <w:sz w:val="19"/>
                <w:szCs w:val="19"/>
              </w:rPr>
              <w:t xml:space="preserve">Requires</w:t>
            </w:r>
          </w:p>
        </w:tc>
        <w:tc>
          <w:tcPr>
            <w:tcW w:type="dxa" w:w="4160"/>
            <w:shd w:fill="1F4E79" w:val="clear"/>
            <w:tcMar>
              <w:top w:type="dxa" w:w="60"/>
              <w:left w:type="dxa" w:w="110"/>
              <w:bottom w:type="dxa" w:w="60"/>
              <w:right w:type="dxa" w:w="110"/>
            </w:tcMar>
          </w:tcPr>
          <w:p>
            <w:r>
              <w:rPr>
                <w:b/>
                <w:bCs/>
                <w:color w:val="FFFFFF"/>
                <w:sz w:val="19"/>
                <w:szCs w:val="19"/>
              </w:rPr>
              <w:t xml:space="preserve">Produces</w:t>
            </w:r>
          </w:p>
        </w:tc>
      </w:tr>
      <w:tr>
        <w:trPr>
          <w:tblHeader w:val="false"/>
        </w:trPr>
        <w:tc>
          <w:tcPr>
            <w:tcW w:type="dxa" w:w="1700"/>
            <w:shd w:fill="FFFFFF" w:val="clear"/>
            <w:tcMar>
              <w:top w:type="dxa" w:w="60"/>
              <w:left w:type="dxa" w:w="110"/>
              <w:bottom w:type="dxa" w:w="60"/>
              <w:right w:type="dxa" w:w="110"/>
            </w:tcMar>
          </w:tcPr>
          <w:p>
            <w:r>
              <w:rPr>
                <w:b w:val="false"/>
                <w:bCs w:val="false"/>
                <w:color w:val="000000"/>
                <w:sz w:val="19"/>
                <w:szCs w:val="19"/>
              </w:rPr>
              <w:t xml:space="preserve">star</w:t>
            </w:r>
          </w:p>
        </w:tc>
        <w:tc>
          <w:tcPr>
            <w:tcW w:type="dxa" w:w="3500"/>
            <w:shd w:fill="FFFFFF" w:val="clear"/>
            <w:tcMar>
              <w:top w:type="dxa" w:w="60"/>
              <w:left w:type="dxa" w:w="110"/>
              <w:bottom w:type="dxa" w:w="60"/>
              <w:right w:type="dxa" w:w="110"/>
            </w:tcMar>
          </w:tcPr>
          <w:p>
            <w:r>
              <w:rPr>
                <w:b w:val="false"/>
                <w:bCs w:val="false"/>
                <w:color w:val="000000"/>
                <w:sz w:val="19"/>
                <w:szCs w:val="19"/>
              </w:rPr>
              <w:t xml:space="preserve">--genome_fasta, --gtf</w:t>
            </w:r>
          </w:p>
        </w:tc>
        <w:tc>
          <w:tcPr>
            <w:tcW w:type="dxa" w:w="4160"/>
            <w:shd w:fill="FFFFFF" w:val="clear"/>
            <w:tcMar>
              <w:top w:type="dxa" w:w="60"/>
              <w:left w:type="dxa" w:w="110"/>
              <w:bottom w:type="dxa" w:w="60"/>
              <w:right w:type="dxa" w:w="110"/>
            </w:tcMar>
          </w:tcPr>
          <w:p>
            <w:r>
              <w:rPr>
                <w:b w:val="false"/>
                <w:bCs w:val="false"/>
                <w:color w:val="000000"/>
                <w:sz w:val="19"/>
                <w:szCs w:val="19"/>
              </w:rPr>
              <w:t xml:space="preserve">star_index/</w:t>
            </w:r>
          </w:p>
        </w:tc>
      </w:tr>
      <w:tr>
        <w:trPr>
          <w:tblHeader w:val="false"/>
        </w:trPr>
        <w:tc>
          <w:tcPr>
            <w:tcW w:type="dxa" w:w="1700"/>
            <w:shd w:fill="FFFFFF" w:val="clear"/>
            <w:tcMar>
              <w:top w:type="dxa" w:w="60"/>
              <w:left w:type="dxa" w:w="110"/>
              <w:bottom w:type="dxa" w:w="60"/>
              <w:right w:type="dxa" w:w="110"/>
            </w:tcMar>
          </w:tcPr>
          <w:p>
            <w:r>
              <w:rPr>
                <w:b w:val="false"/>
                <w:bCs w:val="false"/>
                <w:color w:val="000000"/>
                <w:sz w:val="19"/>
                <w:szCs w:val="19"/>
              </w:rPr>
              <w:t xml:space="preserve">hisat2</w:t>
            </w:r>
          </w:p>
        </w:tc>
        <w:tc>
          <w:tcPr>
            <w:tcW w:type="dxa" w:w="3500"/>
            <w:shd w:fill="FFFFFF" w:val="clear"/>
            <w:tcMar>
              <w:top w:type="dxa" w:w="60"/>
              <w:left w:type="dxa" w:w="110"/>
              <w:bottom w:type="dxa" w:w="60"/>
              <w:right w:type="dxa" w:w="110"/>
            </w:tcMar>
          </w:tcPr>
          <w:p>
            <w:r>
              <w:rPr>
                <w:b w:val="false"/>
                <w:bCs w:val="false"/>
                <w:color w:val="000000"/>
                <w:sz w:val="19"/>
                <w:szCs w:val="19"/>
              </w:rPr>
              <w:t xml:space="preserve">--genome_fasta (--gtf optional)</w:t>
            </w:r>
          </w:p>
        </w:tc>
        <w:tc>
          <w:tcPr>
            <w:tcW w:type="dxa" w:w="4160"/>
            <w:shd w:fill="FFFFFF" w:val="clear"/>
            <w:tcMar>
              <w:top w:type="dxa" w:w="60"/>
              <w:left w:type="dxa" w:w="110"/>
              <w:bottom w:type="dxa" w:w="60"/>
              <w:right w:type="dxa" w:w="110"/>
            </w:tcMar>
          </w:tcPr>
          <w:p>
            <w:r>
              <w:rPr>
                <w:b w:val="false"/>
                <w:bCs w:val="false"/>
                <w:color w:val="000000"/>
                <w:sz w:val="19"/>
                <w:szCs w:val="19"/>
              </w:rPr>
              <w:t xml:space="preserve">hisat2_index/</w:t>
            </w:r>
          </w:p>
        </w:tc>
      </w:tr>
      <w:tr>
        <w:trPr>
          <w:tblHeader w:val="false"/>
        </w:trPr>
        <w:tc>
          <w:tcPr>
            <w:tcW w:type="dxa" w:w="1700"/>
            <w:shd w:fill="FFFFFF" w:val="clear"/>
            <w:tcMar>
              <w:top w:type="dxa" w:w="60"/>
              <w:left w:type="dxa" w:w="110"/>
              <w:bottom w:type="dxa" w:w="60"/>
              <w:right w:type="dxa" w:w="110"/>
            </w:tcMar>
          </w:tcPr>
          <w:p>
            <w:r>
              <w:rPr>
                <w:b w:val="false"/>
                <w:bCs w:val="false"/>
                <w:color w:val="000000"/>
                <w:sz w:val="19"/>
                <w:szCs w:val="19"/>
              </w:rPr>
              <w:t xml:space="preserve">salmon</w:t>
            </w:r>
          </w:p>
        </w:tc>
        <w:tc>
          <w:tcPr>
            <w:tcW w:type="dxa" w:w="3500"/>
            <w:shd w:fill="FFFFFF" w:val="clear"/>
            <w:tcMar>
              <w:top w:type="dxa" w:w="60"/>
              <w:left w:type="dxa" w:w="110"/>
              <w:bottom w:type="dxa" w:w="60"/>
              <w:right w:type="dxa" w:w="110"/>
            </w:tcMar>
          </w:tcPr>
          <w:p>
            <w:r>
              <w:rPr>
                <w:b w:val="false"/>
                <w:bCs w:val="false"/>
                <w:color w:val="000000"/>
                <w:sz w:val="19"/>
                <w:szCs w:val="19"/>
              </w:rPr>
              <w:t xml:space="preserve">--transcript_fasta, --genome_fasta</w:t>
            </w:r>
          </w:p>
        </w:tc>
        <w:tc>
          <w:tcPr>
            <w:tcW w:type="dxa" w:w="4160"/>
            <w:shd w:fill="FFFFFF" w:val="clear"/>
            <w:tcMar>
              <w:top w:type="dxa" w:w="60"/>
              <w:left w:type="dxa" w:w="110"/>
              <w:bottom w:type="dxa" w:w="60"/>
              <w:right w:type="dxa" w:w="110"/>
            </w:tcMar>
          </w:tcPr>
          <w:p>
            <w:r>
              <w:rPr>
                <w:b w:val="false"/>
                <w:bCs w:val="false"/>
                <w:color w:val="000000"/>
                <w:sz w:val="19"/>
                <w:szCs w:val="19"/>
              </w:rPr>
              <w:t xml:space="preserve">salmon_index/</w:t>
            </w:r>
          </w:p>
        </w:tc>
      </w:tr>
      <w:tr>
        <w:trPr>
          <w:tblHeader w:val="false"/>
        </w:trPr>
        <w:tc>
          <w:tcPr>
            <w:tcW w:type="dxa" w:w="1700"/>
            <w:shd w:fill="FFFFFF" w:val="clear"/>
            <w:tcMar>
              <w:top w:type="dxa" w:w="60"/>
              <w:left w:type="dxa" w:w="110"/>
              <w:bottom w:type="dxa" w:w="60"/>
              <w:right w:type="dxa" w:w="110"/>
            </w:tcMar>
          </w:tcPr>
          <w:p>
            <w:r>
              <w:rPr>
                <w:b w:val="false"/>
                <w:bCs w:val="false"/>
                <w:color w:val="000000"/>
                <w:sz w:val="19"/>
                <w:szCs w:val="19"/>
              </w:rPr>
              <w:t xml:space="preserve">kallisto</w:t>
            </w:r>
          </w:p>
        </w:tc>
        <w:tc>
          <w:tcPr>
            <w:tcW w:type="dxa" w:w="3500"/>
            <w:shd w:fill="FFFFFF" w:val="clear"/>
            <w:tcMar>
              <w:top w:type="dxa" w:w="60"/>
              <w:left w:type="dxa" w:w="110"/>
              <w:bottom w:type="dxa" w:w="60"/>
              <w:right w:type="dxa" w:w="110"/>
            </w:tcMar>
          </w:tcPr>
          <w:p>
            <w:r>
              <w:rPr>
                <w:b w:val="false"/>
                <w:bCs w:val="false"/>
                <w:color w:val="000000"/>
                <w:sz w:val="19"/>
                <w:szCs w:val="19"/>
              </w:rPr>
              <w:t xml:space="preserve">--transcript_fasta</w:t>
            </w:r>
          </w:p>
        </w:tc>
        <w:tc>
          <w:tcPr>
            <w:tcW w:type="dxa" w:w="4160"/>
            <w:shd w:fill="FFFFFF" w:val="clear"/>
            <w:tcMar>
              <w:top w:type="dxa" w:w="60"/>
              <w:left w:type="dxa" w:w="110"/>
              <w:bottom w:type="dxa" w:w="60"/>
              <w:right w:type="dxa" w:w="110"/>
            </w:tcMar>
          </w:tcPr>
          <w:p>
            <w:r>
              <w:rPr>
                <w:b w:val="false"/>
                <w:bCs w:val="false"/>
                <w:color w:val="000000"/>
                <w:sz w:val="19"/>
                <w:szCs w:val="19"/>
              </w:rPr>
              <w:t xml:space="preserve">kallisto_index</w:t>
            </w:r>
          </w:p>
        </w:tc>
      </w:tr>
      <w:tr>
        <w:trPr>
          <w:tblHeader w:val="false"/>
        </w:trPr>
        <w:tc>
          <w:tcPr>
            <w:tcW w:type="dxa" w:w="1700"/>
            <w:shd w:fill="FFFFFF" w:val="clear"/>
            <w:tcMar>
              <w:top w:type="dxa" w:w="60"/>
              <w:left w:type="dxa" w:w="110"/>
              <w:bottom w:type="dxa" w:w="60"/>
              <w:right w:type="dxa" w:w="110"/>
            </w:tcMar>
          </w:tcPr>
          <w:p>
            <w:r>
              <w:rPr>
                <w:b w:val="false"/>
                <w:bCs w:val="false"/>
                <w:color w:val="000000"/>
                <w:sz w:val="19"/>
                <w:szCs w:val="19"/>
              </w:rPr>
              <w:t xml:space="preserve">all</w:t>
            </w:r>
          </w:p>
        </w:tc>
        <w:tc>
          <w:tcPr>
            <w:tcW w:type="dxa" w:w="3500"/>
            <w:shd w:fill="FFFFFF" w:val="clear"/>
            <w:tcMar>
              <w:top w:type="dxa" w:w="60"/>
              <w:left w:type="dxa" w:w="110"/>
              <w:bottom w:type="dxa" w:w="60"/>
              <w:right w:type="dxa" w:w="110"/>
            </w:tcMar>
          </w:tcPr>
          <w:p>
            <w:r>
              <w:rPr>
                <w:b w:val="false"/>
                <w:bCs w:val="false"/>
                <w:color w:val="000000"/>
                <w:sz w:val="19"/>
                <w:szCs w:val="19"/>
              </w:rPr>
              <w:t xml:space="preserve">all of the above</w:t>
            </w:r>
          </w:p>
        </w:tc>
        <w:tc>
          <w:tcPr>
            <w:tcW w:type="dxa" w:w="4160"/>
            <w:shd w:fill="FFFFFF" w:val="clear"/>
            <w:tcMar>
              <w:top w:type="dxa" w:w="60"/>
              <w:left w:type="dxa" w:w="110"/>
              <w:bottom w:type="dxa" w:w="60"/>
              <w:right w:type="dxa" w:w="110"/>
            </w:tcMar>
          </w:tcPr>
          <w:p>
            <w:r>
              <w:rPr>
                <w:b w:val="false"/>
                <w:bCs w:val="false"/>
                <w:color w:val="000000"/>
                <w:sz w:val="19"/>
                <w:szCs w:val="19"/>
              </w:rPr>
              <w:t xml:space="preserve">all four indices</w:t>
            </w:r>
          </w:p>
        </w:tc>
      </w:tr>
    </w:tbl>
    <w:p>
      <w:pPr>
        <w:spacing w:after="80"/>
      </w:pPr>
    </w:p>
    <w:p>
      <w:pPr>
        <w:pStyle w:val="Heading1"/>
      </w:pPr>
      <w:r>
        <w:t xml:space="preserve">6. Mode 3 - Running the analysis</w:t>
      </w:r>
    </w:p>
    <w:p>
      <w:pPr>
        <w:pStyle w:val="Heading2"/>
      </w:pPr>
      <w:r>
        <w:t xml:space="preserve">6.1 The samplesheet</w:t>
      </w:r>
    </w:p>
    <w:p>
      <w:pPr>
        <w:spacing w:after="120"/>
      </w:pPr>
      <w:r>
        <w:rPr>
          <w:b w:val="false"/>
          <w:bCs w:val="false"/>
          <w:i w:val="false"/>
          <w:iCs w:val="false"/>
        </w:rPr>
        <w:t xml:space="preserve">--input takes a CSV file with exactly these columns:</w:t>
      </w:r>
    </w:p>
    <w:p>
      <w:pPr>
        <w:shd w:fill="F4F4F4" w:val="clear"/>
        <w:spacing w:after="0" w:before="60"/>
        <w:ind w:left="120"/>
      </w:pPr>
      <w:r>
        <w:rPr>
          <w:rFonts w:ascii="Consolas" w:cs="Consolas" w:eastAsia="Consolas" w:hAnsi="Consolas"/>
          <w:sz w:val="19"/>
          <w:szCs w:val="19"/>
        </w:rPr>
        <w:t xml:space="preserve">sample,R1,R2,condition</w:t>
      </w:r>
    </w:p>
    <w:p>
      <w:pPr>
        <w:shd w:fill="F4F4F4" w:val="clear"/>
        <w:spacing w:after="0" w:before="0"/>
        <w:ind w:left="120"/>
      </w:pPr>
      <w:r>
        <w:rPr>
          <w:rFonts w:ascii="Consolas" w:cs="Consolas" w:eastAsia="Consolas" w:hAnsi="Consolas"/>
          <w:sz w:val="19"/>
          <w:szCs w:val="19"/>
        </w:rPr>
        <w:t xml:space="preserve">ctrl_1,/data/ctrl_1_R1.fastq.gz,/data/ctrl_1_R2.fastq.gz,REF</w:t>
      </w:r>
    </w:p>
    <w:p>
      <w:pPr>
        <w:shd w:fill="F4F4F4" w:val="clear"/>
        <w:spacing w:after="0" w:before="0"/>
        <w:ind w:left="120"/>
      </w:pPr>
      <w:r>
        <w:rPr>
          <w:rFonts w:ascii="Consolas" w:cs="Consolas" w:eastAsia="Consolas" w:hAnsi="Consolas"/>
          <w:sz w:val="19"/>
          <w:szCs w:val="19"/>
        </w:rPr>
        <w:t xml:space="preserve">ctrl_2,/data/ctrl_2_R1.fastq.gz,/data/ctrl_2_R2.fastq.gz,REF</w:t>
      </w:r>
    </w:p>
    <w:p>
      <w:pPr>
        <w:shd w:fill="F4F4F4" w:val="clear"/>
        <w:spacing w:after="0" w:before="0"/>
        <w:ind w:left="120"/>
      </w:pPr>
      <w:r>
        <w:rPr>
          <w:rFonts w:ascii="Consolas" w:cs="Consolas" w:eastAsia="Consolas" w:hAnsi="Consolas"/>
          <w:sz w:val="19"/>
          <w:szCs w:val="19"/>
        </w:rPr>
        <w:t xml:space="preserve">treat_1,/data/treat_1_R1.fastq.gz,/data/treat_1_R2.fastq.gz,treatment</w:t>
      </w:r>
    </w:p>
    <w:p>
      <w:pPr>
        <w:shd w:fill="F4F4F4" w:val="clear"/>
        <w:spacing w:after="140" w:before="0"/>
        <w:ind w:left="120"/>
      </w:pPr>
      <w:r>
        <w:rPr>
          <w:rFonts w:ascii="Consolas" w:cs="Consolas" w:eastAsia="Consolas" w:hAnsi="Consolas"/>
          <w:sz w:val="19"/>
          <w:szCs w:val="19"/>
        </w:rPr>
        <w:t xml:space="preserve">treat_2,/data/treat_2_R1.fastq.gz,/data/treat_2_R2.fastq.gz,treatment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1F4E79" w:val="clear"/>
            <w:tcMar>
              <w:top w:type="dxa" w:w="60"/>
              <w:left w:type="dxa" w:w="110"/>
              <w:bottom w:type="dxa" w:w="60"/>
              <w:right w:type="dxa" w:w="110"/>
            </w:tcMar>
          </w:tcPr>
          <w:p>
            <w:r>
              <w:rPr>
                <w:b/>
                <w:bCs/>
                <w:color w:val="FFFFFF"/>
                <w:sz w:val="19"/>
                <w:szCs w:val="19"/>
              </w:rPr>
              <w:t xml:space="preserve">Column</w:t>
            </w:r>
          </w:p>
        </w:tc>
        <w:tc>
          <w:tcPr>
            <w:tcW w:type="dxa" w:w="7860"/>
            <w:shd w:fill="1F4E79" w:val="clear"/>
            <w:tcMar>
              <w:top w:type="dxa" w:w="60"/>
              <w:left w:type="dxa" w:w="110"/>
              <w:bottom w:type="dxa" w:w="60"/>
              <w:right w:type="dxa" w:w="110"/>
            </w:tcMar>
          </w:tcPr>
          <w:p>
            <w:r>
              <w:rPr>
                <w:b/>
                <w:bCs/>
                <w:color w:val="FFFFFF"/>
                <w:sz w:val="19"/>
                <w:szCs w:val="19"/>
              </w:rPr>
              <w:t xml:space="preserve">Description</w:t>
            </w:r>
          </w:p>
        </w:tc>
      </w:tr>
      <w:tr>
        <w:trPr>
          <w:tblHeader w:val="false"/>
        </w:trPr>
        <w:tc>
          <w:tcPr>
            <w:tcW w:type="dxa" w:w="1500"/>
            <w:shd w:fill="FFFFFF" w:val="clear"/>
            <w:tcMar>
              <w:top w:type="dxa" w:w="60"/>
              <w:left w:type="dxa" w:w="110"/>
              <w:bottom w:type="dxa" w:w="60"/>
              <w:right w:type="dxa" w:w="110"/>
            </w:tcMar>
          </w:tcPr>
          <w:p>
            <w:r>
              <w:rPr>
                <w:b w:val="false"/>
                <w:bCs w:val="false"/>
                <w:color w:val="000000"/>
                <w:sz w:val="19"/>
                <w:szCs w:val="19"/>
              </w:rPr>
              <w:t xml:space="preserve">sample</w:t>
            </w:r>
          </w:p>
        </w:tc>
        <w:tc>
          <w:tcPr>
            <w:tcW w:type="dxa" w:w="7860"/>
            <w:shd w:fill="FFFFFF" w:val="clear"/>
            <w:tcMar>
              <w:top w:type="dxa" w:w="60"/>
              <w:left w:type="dxa" w:w="110"/>
              <w:bottom w:type="dxa" w:w="60"/>
              <w:right w:type="dxa" w:w="110"/>
            </w:tcMar>
          </w:tcPr>
          <w:p>
            <w:r>
              <w:rPr>
                <w:b w:val="false"/>
                <w:bCs w:val="false"/>
                <w:color w:val="000000"/>
                <w:sz w:val="19"/>
                <w:szCs w:val="19"/>
              </w:rPr>
              <w:t xml:space="preserve">Unique sample identifier; used to name all outputs</w:t>
            </w:r>
          </w:p>
        </w:tc>
      </w:tr>
      <w:tr>
        <w:trPr>
          <w:tblHeader w:val="false"/>
        </w:trPr>
        <w:tc>
          <w:tcPr>
            <w:tcW w:type="dxa" w:w="1500"/>
            <w:shd w:fill="FFFFFF" w:val="clear"/>
            <w:tcMar>
              <w:top w:type="dxa" w:w="60"/>
              <w:left w:type="dxa" w:w="110"/>
              <w:bottom w:type="dxa" w:w="60"/>
              <w:right w:type="dxa" w:w="110"/>
            </w:tcMar>
          </w:tcPr>
          <w:p>
            <w:r>
              <w:rPr>
                <w:b w:val="false"/>
                <w:bCs w:val="false"/>
                <w:color w:val="000000"/>
                <w:sz w:val="19"/>
                <w:szCs w:val="19"/>
              </w:rPr>
              <w:t xml:space="preserve">R1</w:t>
            </w:r>
          </w:p>
        </w:tc>
        <w:tc>
          <w:tcPr>
            <w:tcW w:type="dxa" w:w="7860"/>
            <w:shd w:fill="FFFFFF" w:val="clear"/>
            <w:tcMar>
              <w:top w:type="dxa" w:w="60"/>
              <w:left w:type="dxa" w:w="110"/>
              <w:bottom w:type="dxa" w:w="60"/>
              <w:right w:type="dxa" w:w="110"/>
            </w:tcMar>
          </w:tcPr>
          <w:p>
            <w:r>
              <w:rPr>
                <w:b w:val="false"/>
                <w:bCs w:val="false"/>
                <w:color w:val="000000"/>
                <w:sz w:val="19"/>
                <w:szCs w:val="19"/>
              </w:rPr>
              <w:t xml:space="preserve">Path to the R1 (or single-end) FASTQ file</w:t>
            </w:r>
          </w:p>
        </w:tc>
      </w:tr>
      <w:tr>
        <w:trPr>
          <w:tblHeader w:val="false"/>
        </w:trPr>
        <w:tc>
          <w:tcPr>
            <w:tcW w:type="dxa" w:w="1500"/>
            <w:shd w:fill="FFFFFF" w:val="clear"/>
            <w:tcMar>
              <w:top w:type="dxa" w:w="60"/>
              <w:left w:type="dxa" w:w="110"/>
              <w:bottom w:type="dxa" w:w="60"/>
              <w:right w:type="dxa" w:w="110"/>
            </w:tcMar>
          </w:tcPr>
          <w:p>
            <w:r>
              <w:rPr>
                <w:b w:val="false"/>
                <w:bCs w:val="false"/>
                <w:color w:val="000000"/>
                <w:sz w:val="19"/>
                <w:szCs w:val="19"/>
              </w:rPr>
              <w:t xml:space="preserve">R2</w:t>
            </w:r>
          </w:p>
        </w:tc>
        <w:tc>
          <w:tcPr>
            <w:tcW w:type="dxa" w:w="7860"/>
            <w:shd w:fill="FFFFFF" w:val="clear"/>
            <w:tcMar>
              <w:top w:type="dxa" w:w="60"/>
              <w:left w:type="dxa" w:w="110"/>
              <w:bottom w:type="dxa" w:w="60"/>
              <w:right w:type="dxa" w:w="110"/>
            </w:tcMar>
          </w:tcPr>
          <w:p>
            <w:r>
              <w:rPr>
                <w:b w:val="false"/>
                <w:bCs w:val="false"/>
                <w:color w:val="000000"/>
                <w:sz w:val="19"/>
                <w:szCs w:val="19"/>
              </w:rPr>
              <w:t xml:space="preserve">Path to the R2 FASTQ file; leave empty for single-end data</w:t>
            </w:r>
          </w:p>
        </w:tc>
      </w:tr>
      <w:tr>
        <w:trPr>
          <w:tblHeader w:val="false"/>
        </w:trPr>
        <w:tc>
          <w:tcPr>
            <w:tcW w:type="dxa" w:w="1500"/>
            <w:shd w:fill="FFFFFF" w:val="clear"/>
            <w:tcMar>
              <w:top w:type="dxa" w:w="60"/>
              <w:left w:type="dxa" w:w="110"/>
              <w:bottom w:type="dxa" w:w="60"/>
              <w:right w:type="dxa" w:w="110"/>
            </w:tcMar>
          </w:tcPr>
          <w:p>
            <w:r>
              <w:rPr>
                <w:b w:val="false"/>
                <w:bCs w:val="false"/>
                <w:color w:val="000000"/>
                <w:sz w:val="19"/>
                <w:szCs w:val="19"/>
              </w:rPr>
              <w:t xml:space="preserve">condition</w:t>
            </w:r>
          </w:p>
        </w:tc>
        <w:tc>
          <w:tcPr>
            <w:tcW w:type="dxa" w:w="7860"/>
            <w:shd w:fill="FFFFFF" w:val="clear"/>
            <w:tcMar>
              <w:top w:type="dxa" w:w="60"/>
              <w:left w:type="dxa" w:w="110"/>
              <w:bottom w:type="dxa" w:w="60"/>
              <w:right w:type="dxa" w:w="110"/>
            </w:tcMar>
          </w:tcPr>
          <w:p>
            <w:r>
              <w:rPr>
                <w:b w:val="false"/>
                <w:bCs w:val="false"/>
                <w:color w:val="000000"/>
                <w:sz w:val="19"/>
                <w:szCs w:val="19"/>
              </w:rPr>
              <w:t xml:space="preserve">Experimental group; drives the differential-expression design</w:t>
            </w:r>
          </w:p>
        </w:tc>
      </w:tr>
      <w:tr>
        <w:trPr>
          <w:tblHeader w:val="false"/>
        </w:trPr>
        <w:tc>
          <w:tcPr>
            <w:tcW w:type="dxa" w:w="1500"/>
            <w:shd w:fill="FFFFFF" w:val="clear"/>
            <w:tcMar>
              <w:top w:type="dxa" w:w="60"/>
              <w:left w:type="dxa" w:w="110"/>
              <w:bottom w:type="dxa" w:w="60"/>
              <w:right w:type="dxa" w:w="110"/>
            </w:tcMar>
          </w:tcPr>
          <w:p>
            <w:r>
              <w:rPr>
                <w:b w:val="false"/>
                <w:bCs w:val="false"/>
                <w:color w:val="000000"/>
                <w:sz w:val="19"/>
                <w:szCs w:val="19"/>
              </w:rPr>
              <w:t xml:space="preserve">batch (optional)</w:t>
            </w:r>
          </w:p>
        </w:tc>
        <w:tc>
          <w:tcPr>
            <w:tcW w:type="dxa" w:w="7860"/>
            <w:shd w:fill="FFFFFF" w:val="clear"/>
            <w:tcMar>
              <w:top w:type="dxa" w:w="60"/>
              <w:left w:type="dxa" w:w="110"/>
              <w:bottom w:type="dxa" w:w="60"/>
              <w:right w:type="dxa" w:w="110"/>
            </w:tcMar>
          </w:tcPr>
          <w:p>
            <w:r>
              <w:rPr>
                <w:b w:val="false"/>
                <w:bCs w:val="false"/>
                <w:color w:val="000000"/>
                <w:sz w:val="19"/>
                <w:szCs w:val="19"/>
              </w:rPr>
              <w:t xml:space="preserve">Batch / covariate label; if present, the DESeq2/edgeR model becomes ~ batch + condition automatically</w:t>
            </w:r>
          </w:p>
        </w:tc>
      </w:tr>
    </w:tbl>
    <w:p>
      <w:pPr>
        <w:spacing w:after="80"/>
      </w:pPr>
    </w:p>
    <w:p>
      <w:pPr>
        <w:pBdr>
          <w:left w:val="single" w:color="E0A800" w:sz="18" w:space="6"/>
        </w:pBdr>
        <w:shd w:fill="FFF4CE" w:val="clear"/>
        <w:spacing w:after="140" w:before="80"/>
        <w:ind w:left="160"/>
      </w:pPr>
      <w:r>
        <w:rPr>
          <w:b/>
          <w:bCs/>
        </w:rPr>
        <w:t xml:space="preserve">Note  </w:t>
      </w:r>
      <w:r>
        <w:t xml:space="preserve">The REF convention. The differential-expression scripts treat a condition literally named REF as the baseline (denominator) of every contrast, so a positive log2 fold change means up relative to REF. Name your control group REF for correctly-oriented results. If no group is called REF, conditions are ordered alphabetically and the comparison direction is arbitrary.</w:t>
      </w:r>
    </w:p>
    <w:p>
      <w:pPr>
        <w:spacing w:after="120"/>
      </w:pPr>
      <w:r>
        <w:rPr>
          <w:b w:val="false"/>
          <w:bCs w:val="false"/>
          <w:i w:val="false"/>
          <w:iCs w:val="false"/>
        </w:rPr>
        <w:t xml:space="preserve">Single-end versus paired-end is detected automatically from whether R2 is present.</w:t>
      </w:r>
    </w:p>
    <w:p>
      <w:pPr>
        <w:pBdr>
          <w:left w:val="single" w:color="E0A800" w:sz="18" w:space="6"/>
        </w:pBdr>
        <w:shd w:fill="FFF4CE" w:val="clear"/>
        <w:spacing w:after="140" w:before="80"/>
        <w:ind w:left="160"/>
      </w:pPr>
      <w:r>
        <w:rPr>
          <w:b/>
          <w:bCs/>
        </w:rPr>
        <w:t xml:space="preserve">Note  </w:t>
      </w:r>
      <w:r>
        <w:t xml:space="preserve">Validation. The samplesheet is checked before any work starts; the run aborts immediately, listing every problem found, if a required column is missing, a sample id is empty or duplicated, an R1/R2 FASTQ path does not exist, or there are fewer than 2 conditions or fewer than 2 replicates in any condition. DESeq2 and edgeR need at least 2 conditions and 2 replicates per condition. When --stop_at preQC/postQC skips differential expression, the condition/replicate rules are reported as warnings instead of errors.</w:t>
      </w:r>
    </w:p>
    <w:p>
      <w:pPr>
        <w:pBdr>
          <w:left w:val="single" w:color="E0A800" w:sz="18" w:space="6"/>
        </w:pBdr>
        <w:shd w:fill="FFF4CE" w:val="clear"/>
        <w:spacing w:after="140" w:before="80"/>
        <w:ind w:left="160"/>
      </w:pPr>
      <w:r>
        <w:rPr>
          <w:b/>
          <w:bCs/>
        </w:rPr>
        <w:t xml:space="preserve">Note  </w:t>
      </w:r>
      <w:r>
        <w:t xml:space="preserve">Batch effects &amp; covariates. Extra samplesheet columns are kept and may be used as model covariates. A batch column is auto-detected and turns the gene-level DESeq2/edgeR model into ~ batch + condition; for other confounders, add the column(s) and pass an explicit formula with --design (for example --design "~ sex + batch + condition"). condition must always be included, as it is the term being contrasted.</w:t>
      </w:r>
    </w:p>
    <w:p>
      <w:pPr>
        <w:pStyle w:val="Heading2"/>
      </w:pPr>
      <w:r>
        <w:t xml:space="preserve">6.2 Worked scenarios</w:t>
      </w:r>
    </w:p>
    <w:p>
      <w:pPr>
        <w:spacing w:after="120"/>
      </w:pPr>
      <w:r>
        <w:rPr>
          <w:b/>
          <w:bCs/>
        </w:rPr>
        <w:t xml:space="preserve">Scenario A - comprehensive STAR run </w:t>
      </w:r>
      <w:r>
        <w:t xml:space="preserve">(fusions, splicing, DE and enrichment):</w:t>
      </w:r>
    </w:p>
    <w:p>
      <w:pPr>
        <w:shd w:fill="F4F4F4" w:val="clear"/>
        <w:spacing w:after="0" w:before="60"/>
        <w:ind w:left="120"/>
      </w:pPr>
      <w:r>
        <w:rPr>
          <w:rFonts w:ascii="Consolas" w:cs="Consolas" w:eastAsia="Consolas" w:hAnsi="Consolas"/>
          <w:sz w:val="19"/>
          <w:szCs w:val="19"/>
        </w:rPr>
        <w:t xml:space="preserve">nextflow run main.nf \</w:t>
      </w:r>
    </w:p>
    <w:p>
      <w:pPr>
        <w:shd w:fill="F4F4F4" w:val="clear"/>
        <w:spacing w:after="0" w:before="0"/>
        <w:ind w:left="120"/>
      </w:pPr>
      <w:r>
        <w:rPr>
          <w:rFonts w:ascii="Consolas" w:cs="Consolas" w:eastAsia="Consolas" w:hAnsi="Consolas"/>
          <w:sz w:val="19"/>
          <w:szCs w:val="19"/>
        </w:rPr>
        <w:t xml:space="preserve">    --input samplesheet.csv \</w:t>
      </w:r>
    </w:p>
    <w:p>
      <w:pPr>
        <w:shd w:fill="F4F4F4" w:val="clear"/>
        <w:spacing w:after="0" w:before="0"/>
        <w:ind w:left="120"/>
      </w:pPr>
      <w:r>
        <w:rPr>
          <w:rFonts w:ascii="Consolas" w:cs="Consolas" w:eastAsia="Consolas" w:hAnsi="Consolas"/>
          <w:sz w:val="19"/>
          <w:szCs w:val="19"/>
        </w:rPr>
        <w:t xml:space="preserve">    --aligner star \</w:t>
      </w:r>
    </w:p>
    <w:p>
      <w:pPr>
        <w:shd w:fill="F4F4F4" w:val="clear"/>
        <w:spacing w:after="0" w:before="0"/>
        <w:ind w:left="120"/>
      </w:pPr>
      <w:r>
        <w:rPr>
          <w:rFonts w:ascii="Consolas" w:cs="Consolas" w:eastAsia="Consolas" w:hAnsi="Consolas"/>
          <w:sz w:val="19"/>
          <w:szCs w:val="19"/>
        </w:rPr>
        <w:t xml:space="preserve">    --star_index indices/human/star_index \</w:t>
      </w:r>
    </w:p>
    <w:p>
      <w:pPr>
        <w:shd w:fill="F4F4F4" w:val="clear"/>
        <w:spacing w:after="0" w:before="0"/>
        <w:ind w:left="120"/>
      </w:pPr>
      <w:r>
        <w:rPr>
          <w:rFonts w:ascii="Consolas" w:cs="Consolas" w:eastAsia="Consolas" w:hAnsi="Consolas"/>
          <w:sz w:val="19"/>
          <w:szCs w:val="19"/>
        </w:rPr>
        <w:t xml:space="preserve">    --gtf references/human/annotation.gtf.gz \</w:t>
      </w:r>
    </w:p>
    <w:p>
      <w:pPr>
        <w:shd w:fill="F4F4F4" w:val="clear"/>
        <w:spacing w:after="0" w:before="0"/>
        <w:ind w:left="120"/>
      </w:pPr>
      <w:r>
        <w:rPr>
          <w:rFonts w:ascii="Consolas" w:cs="Consolas" w:eastAsia="Consolas" w:hAnsi="Consolas"/>
          <w:sz w:val="19"/>
          <w:szCs w:val="19"/>
        </w:rPr>
        <w:t xml:space="preserve">    --strandedness reverse \</w:t>
      </w:r>
    </w:p>
    <w:p>
      <w:pPr>
        <w:shd w:fill="F4F4F4" w:val="clear"/>
        <w:spacing w:after="0" w:before="0"/>
        <w:ind w:left="120"/>
      </w:pPr>
      <w:r>
        <w:rPr>
          <w:rFonts w:ascii="Consolas" w:cs="Consolas" w:eastAsia="Consolas" w:hAnsi="Consolas"/>
          <w:sz w:val="19"/>
          <w:szCs w:val="19"/>
        </w:rPr>
        <w:t xml:space="preserve">    --ctat_lib /refs/CTAT_lib/ctat_genome_lib_build_dir \</w:t>
      </w:r>
    </w:p>
    <w:p>
      <w:pPr>
        <w:shd w:fill="F4F4F4" w:val="clear"/>
        <w:spacing w:after="0" w:before="0"/>
        <w:ind w:left="120"/>
      </w:pPr>
      <w:r>
        <w:rPr>
          <w:rFonts w:ascii="Consolas" w:cs="Consolas" w:eastAsia="Consolas" w:hAnsi="Consolas"/>
          <w:sz w:val="19"/>
          <w:szCs w:val="19"/>
        </w:rPr>
        <w:t xml:space="preserve">    --read_length 150 \</w:t>
      </w:r>
    </w:p>
    <w:p>
      <w:pPr>
        <w:shd w:fill="F4F4F4" w:val="clear"/>
        <w:spacing w:after="0" w:before="0"/>
        <w:ind w:left="120"/>
      </w:pPr>
      <w:r>
        <w:rPr>
          <w:rFonts w:ascii="Consolas" w:cs="Consolas" w:eastAsia="Consolas" w:hAnsi="Consolas"/>
          <w:sz w:val="19"/>
          <w:szCs w:val="19"/>
        </w:rPr>
        <w:t xml:space="preserve">    --diffsplice \</w:t>
      </w:r>
    </w:p>
    <w:p>
      <w:pPr>
        <w:shd w:fill="F4F4F4" w:val="clear"/>
        <w:spacing w:after="0" w:before="0"/>
        <w:ind w:left="120"/>
      </w:pPr>
      <w:r>
        <w:rPr>
          <w:rFonts w:ascii="Consolas" w:cs="Consolas" w:eastAsia="Consolas" w:hAnsi="Consolas"/>
          <w:sz w:val="19"/>
          <w:szCs w:val="19"/>
        </w:rPr>
        <w:t xml:space="preserve">    --gmt references/human/gmt/c2_kegg.gmt \</w:t>
      </w:r>
    </w:p>
    <w:p>
      <w:pPr>
        <w:shd w:fill="F4F4F4" w:val="clear"/>
        <w:spacing w:after="0" w:before="0"/>
        <w:ind w:left="120"/>
      </w:pPr>
      <w:r>
        <w:rPr>
          <w:rFonts w:ascii="Consolas" w:cs="Consolas" w:eastAsia="Consolas" w:hAnsi="Consolas"/>
          <w:sz w:val="19"/>
          <w:szCs w:val="19"/>
        </w:rPr>
        <w:t xml:space="preserve">    --organism hsapiens \</w:t>
      </w:r>
    </w:p>
    <w:p>
      <w:pPr>
        <w:shd w:fill="F4F4F4" w:val="clear"/>
        <w:spacing w:after="140" w:before="0"/>
        <w:ind w:left="120"/>
      </w:pPr>
      <w:r>
        <w:rPr>
          <w:rFonts w:ascii="Consolas" w:cs="Consolas" w:eastAsia="Consolas" w:hAnsi="Consolas"/>
          <w:sz w:val="19"/>
          <w:szCs w:val="19"/>
        </w:rPr>
        <w:t xml:space="preserve">    --outdir results -profile docker</w:t>
      </w:r>
    </w:p>
    <w:p>
      <w:pPr>
        <w:spacing w:after="120"/>
      </w:pPr>
      <w:r>
        <w:rPr>
          <w:b/>
          <w:bCs/>
        </w:rPr>
        <w:t xml:space="preserve">Scenario B - Salmon transcript-level analysis (isoform switching + DTU + diffSplice):</w:t>
      </w:r>
    </w:p>
    <w:p>
      <w:pPr>
        <w:shd w:fill="F4F4F4" w:val="clear"/>
        <w:spacing w:after="0" w:before="60"/>
        <w:ind w:left="120"/>
      </w:pPr>
      <w:r>
        <w:rPr>
          <w:rFonts w:ascii="Consolas" w:cs="Consolas" w:eastAsia="Consolas" w:hAnsi="Consolas"/>
          <w:sz w:val="19"/>
          <w:szCs w:val="19"/>
        </w:rPr>
        <w:t xml:space="preserve">nextflow run main.nf \</w:t>
      </w:r>
    </w:p>
    <w:p>
      <w:pPr>
        <w:shd w:fill="F4F4F4" w:val="clear"/>
        <w:spacing w:after="0" w:before="0"/>
        <w:ind w:left="120"/>
      </w:pPr>
      <w:r>
        <w:rPr>
          <w:rFonts w:ascii="Consolas" w:cs="Consolas" w:eastAsia="Consolas" w:hAnsi="Consolas"/>
          <w:sz w:val="19"/>
          <w:szCs w:val="19"/>
        </w:rPr>
        <w:t xml:space="preserve">    --input samplesheet.csv \</w:t>
      </w:r>
    </w:p>
    <w:p>
      <w:pPr>
        <w:shd w:fill="F4F4F4" w:val="clear"/>
        <w:spacing w:after="0" w:before="0"/>
        <w:ind w:left="120"/>
      </w:pPr>
      <w:r>
        <w:rPr>
          <w:rFonts w:ascii="Consolas" w:cs="Consolas" w:eastAsia="Consolas" w:hAnsi="Consolas"/>
          <w:sz w:val="19"/>
          <w:szCs w:val="19"/>
        </w:rPr>
        <w:t xml:space="preserve">    --aligner salmon \</w:t>
      </w:r>
    </w:p>
    <w:p>
      <w:pPr>
        <w:shd w:fill="F4F4F4" w:val="clear"/>
        <w:spacing w:after="0" w:before="0"/>
        <w:ind w:left="120"/>
      </w:pPr>
      <w:r>
        <w:rPr>
          <w:rFonts w:ascii="Consolas" w:cs="Consolas" w:eastAsia="Consolas" w:hAnsi="Consolas"/>
          <w:sz w:val="19"/>
          <w:szCs w:val="19"/>
        </w:rPr>
        <w:t xml:space="preserve">    --salmon_index indices/human/salmon_index \</w:t>
      </w:r>
    </w:p>
    <w:p>
      <w:pPr>
        <w:shd w:fill="F4F4F4" w:val="clear"/>
        <w:spacing w:after="0" w:before="0"/>
        <w:ind w:left="120"/>
      </w:pPr>
      <w:r>
        <w:rPr>
          <w:rFonts w:ascii="Consolas" w:cs="Consolas" w:eastAsia="Consolas" w:hAnsi="Consolas"/>
          <w:sz w:val="19"/>
          <w:szCs w:val="19"/>
        </w:rPr>
        <w:t xml:space="preserve">    --gtf references/human/annotation.gtf.gz \</w:t>
      </w:r>
    </w:p>
    <w:p>
      <w:pPr>
        <w:shd w:fill="F4F4F4" w:val="clear"/>
        <w:spacing w:after="0" w:before="0"/>
        <w:ind w:left="120"/>
      </w:pPr>
      <w:r>
        <w:rPr>
          <w:rFonts w:ascii="Consolas" w:cs="Consolas" w:eastAsia="Consolas" w:hAnsi="Consolas"/>
          <w:sz w:val="19"/>
          <w:szCs w:val="19"/>
        </w:rPr>
        <w:t xml:space="preserve">    --transcript_fasta references/human/transcripts.cdna.all.fa.gz \</w:t>
      </w:r>
    </w:p>
    <w:p>
      <w:pPr>
        <w:shd w:fill="F4F4F4" w:val="clear"/>
        <w:spacing w:after="0" w:before="0"/>
        <w:ind w:left="120"/>
      </w:pPr>
      <w:r>
        <w:rPr>
          <w:rFonts w:ascii="Consolas" w:cs="Consolas" w:eastAsia="Consolas" w:hAnsi="Consolas"/>
          <w:sz w:val="19"/>
          <w:szCs w:val="19"/>
        </w:rPr>
        <w:t xml:space="preserve">    --isoform_switch \</w:t>
      </w:r>
    </w:p>
    <w:p>
      <w:pPr>
        <w:shd w:fill="F4F4F4" w:val="clear"/>
        <w:spacing w:after="0" w:before="0"/>
        <w:ind w:left="120"/>
      </w:pPr>
      <w:r>
        <w:rPr>
          <w:rFonts w:ascii="Consolas" w:cs="Consolas" w:eastAsia="Consolas" w:hAnsi="Consolas"/>
          <w:sz w:val="19"/>
          <w:szCs w:val="19"/>
        </w:rPr>
        <w:t xml:space="preserve">    --dtu \</w:t>
      </w:r>
    </w:p>
    <w:p>
      <w:pPr>
        <w:shd w:fill="F4F4F4" w:val="clear"/>
        <w:spacing w:after="0" w:before="0"/>
        <w:ind w:left="120"/>
      </w:pPr>
      <w:r>
        <w:rPr>
          <w:rFonts w:ascii="Consolas" w:cs="Consolas" w:eastAsia="Consolas" w:hAnsi="Consolas"/>
          <w:sz w:val="19"/>
          <w:szCs w:val="19"/>
        </w:rPr>
        <w:t xml:space="preserve">    --diffsplice \</w:t>
      </w:r>
    </w:p>
    <w:p>
      <w:pPr>
        <w:shd w:fill="F4F4F4" w:val="clear"/>
        <w:spacing w:after="140" w:before="0"/>
        <w:ind w:left="120"/>
      </w:pPr>
      <w:r>
        <w:rPr>
          <w:rFonts w:ascii="Consolas" w:cs="Consolas" w:eastAsia="Consolas" w:hAnsi="Consolas"/>
          <w:sz w:val="19"/>
          <w:szCs w:val="19"/>
        </w:rPr>
        <w:t xml:space="preserve">    --outdir results -profile docker</w:t>
      </w:r>
    </w:p>
    <w:p>
      <w:pPr>
        <w:spacing w:after="120"/>
      </w:pPr>
      <w:r>
        <w:rPr>
          <w:b/>
          <w:bCs/>
        </w:rPr>
        <w:t xml:space="preserve">Scenario C - standard HISAT2 run:</w:t>
      </w:r>
    </w:p>
    <w:p>
      <w:pPr>
        <w:shd w:fill="F4F4F4" w:val="clear"/>
        <w:spacing w:after="0" w:before="60"/>
        <w:ind w:left="120"/>
      </w:pPr>
      <w:r>
        <w:rPr>
          <w:rFonts w:ascii="Consolas" w:cs="Consolas" w:eastAsia="Consolas" w:hAnsi="Consolas"/>
          <w:sz w:val="19"/>
          <w:szCs w:val="19"/>
        </w:rPr>
        <w:t xml:space="preserve">nextflow run main.nf \</w:t>
      </w:r>
    </w:p>
    <w:p>
      <w:pPr>
        <w:shd w:fill="F4F4F4" w:val="clear"/>
        <w:spacing w:after="0" w:before="0"/>
        <w:ind w:left="120"/>
      </w:pPr>
      <w:r>
        <w:rPr>
          <w:rFonts w:ascii="Consolas" w:cs="Consolas" w:eastAsia="Consolas" w:hAnsi="Consolas"/>
          <w:sz w:val="19"/>
          <w:szCs w:val="19"/>
        </w:rPr>
        <w:t xml:space="preserve">    --input samplesheet.csv \</w:t>
      </w:r>
    </w:p>
    <w:p>
      <w:pPr>
        <w:shd w:fill="F4F4F4" w:val="clear"/>
        <w:spacing w:after="0" w:before="0"/>
        <w:ind w:left="120"/>
      </w:pPr>
      <w:r>
        <w:rPr>
          <w:rFonts w:ascii="Consolas" w:cs="Consolas" w:eastAsia="Consolas" w:hAnsi="Consolas"/>
          <w:sz w:val="19"/>
          <w:szCs w:val="19"/>
        </w:rPr>
        <w:t xml:space="preserve">    --aligner hisat2 \</w:t>
      </w:r>
    </w:p>
    <w:p>
      <w:pPr>
        <w:shd w:fill="F4F4F4" w:val="clear"/>
        <w:spacing w:after="0" w:before="0"/>
        <w:ind w:left="120"/>
      </w:pPr>
      <w:r>
        <w:rPr>
          <w:rFonts w:ascii="Consolas" w:cs="Consolas" w:eastAsia="Consolas" w:hAnsi="Consolas"/>
          <w:sz w:val="19"/>
          <w:szCs w:val="19"/>
        </w:rPr>
        <w:t xml:space="preserve">    --hisat2_index indices/human/hisat2_index \</w:t>
      </w:r>
    </w:p>
    <w:p>
      <w:pPr>
        <w:shd w:fill="F4F4F4" w:val="clear"/>
        <w:spacing w:after="0" w:before="0"/>
        <w:ind w:left="120"/>
      </w:pPr>
      <w:r>
        <w:rPr>
          <w:rFonts w:ascii="Consolas" w:cs="Consolas" w:eastAsia="Consolas" w:hAnsi="Consolas"/>
          <w:sz w:val="19"/>
          <w:szCs w:val="19"/>
        </w:rPr>
        <w:t xml:space="preserve">    --gtf references/human/annotation.gtf.gz \</w:t>
      </w:r>
    </w:p>
    <w:p>
      <w:pPr>
        <w:shd w:fill="F4F4F4" w:val="clear"/>
        <w:spacing w:after="0" w:before="0"/>
        <w:ind w:left="120"/>
      </w:pPr>
      <w:r>
        <w:rPr>
          <w:rFonts w:ascii="Consolas" w:cs="Consolas" w:eastAsia="Consolas" w:hAnsi="Consolas"/>
          <w:sz w:val="19"/>
          <w:szCs w:val="19"/>
        </w:rPr>
        <w:t xml:space="preserve">    --strandedness reverse \</w:t>
      </w:r>
    </w:p>
    <w:p>
      <w:pPr>
        <w:shd w:fill="F4F4F4" w:val="clear"/>
        <w:spacing w:after="140" w:before="0"/>
        <w:ind w:left="120"/>
      </w:pPr>
      <w:r>
        <w:rPr>
          <w:rFonts w:ascii="Consolas" w:cs="Consolas" w:eastAsia="Consolas" w:hAnsi="Consolas"/>
          <w:sz w:val="19"/>
          <w:szCs w:val="19"/>
        </w:rPr>
        <w:t xml:space="preserve">    --outdir results -profile docker</w:t>
      </w:r>
    </w:p>
    <w:p>
      <w:pPr>
        <w:pBdr>
          <w:left w:val="single" w:color="E0A800" w:sz="18" w:space="6"/>
        </w:pBdr>
        <w:shd w:fill="FFF4CE" w:val="clear"/>
        <w:spacing w:after="140" w:before="80"/>
        <w:ind w:left="160"/>
      </w:pPr>
      <w:r>
        <w:rPr>
          <w:b/>
          <w:bCs/>
        </w:rPr>
        <w:t xml:space="preserve">Note  </w:t>
      </w:r>
      <w:r>
        <w:t xml:space="preserve">Differential expression runs with every aligner. STAR/HISAT2 feed DESeq2/edgeR from the featureCounts gene matrix; Salmon/Kallisto feed them via tximport, which summarises transcript-level quantification to gene level (it needs --gtf for the transcript-to-gene map). Salmon additionally supports isoform-switch analysis. The --dtu flag adds a DEXSeq differential transcript usage test on the Salmon/Kallisto route, flagging genes whose isoform proportions shift between conditions; it is opt-in because DEXSeq is compute-heavy. The --diffsplice flag adds an edgeR diffSpliceDGE test: exon-level usage for STAR/HISAT2 and transcript-level usage for Salmon/Kallisto, each against the gene-level fold change (it also needs --gtf).</w:t>
      </w:r>
    </w:p>
    <w:p>
      <w:pPr>
        <w:pStyle w:val="Heading2"/>
      </w:pPr>
      <w:r>
        <w:t xml:space="preserve">6.3 Strandedness</w:t>
      </w:r>
    </w:p>
    <w:p>
      <w:pPr>
        <w:spacing w:after="120"/>
      </w:pPr>
      <w:r>
        <w:rPr>
          <w:b w:val="false"/>
          <w:bCs w:val="false"/>
          <w:i w:val="false"/>
          <w:iCs w:val="false"/>
        </w:rPr>
        <w:t xml:space="preserve">--strandedness defaults to 'auto'. For the genome aligners, RSeQC infer_experiment measures the strandedness of every sample and the verdict is fed straight into that sample's featureCounts run - you do not need to know the library type in advance; each verdict is also written to results/rseqc/&lt;sample&gt;.strandedness.txt. Set --strandedness explicitly (unstranded, forward, or reverse) only to override the inference; a wrong setting roughly halves your gene counts. Salmon detects library type itself via --libType A, so it needs no strandedness setting. Kallisto produces no BAM for RSeQC to inspect and cannot auto-detect: with auto it runs library-type-agnostic, so for a stranded kallisto library pass --strandedness forward or reverse explicitly - the value maps to kallisto's --fr-stranded / --rf-stranded flag.</w:t>
      </w:r>
    </w:p>
    <w:p>
      <w:pPr>
        <w:pStyle w:val="Heading2"/>
      </w:pPr>
      <w:r>
        <w:t xml:space="preserve">6.4 Staging with --stop_at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1F4E79" w:val="clear"/>
            <w:tcMar>
              <w:top w:type="dxa" w:w="60"/>
              <w:left w:type="dxa" w:w="110"/>
              <w:bottom w:type="dxa" w:w="60"/>
              <w:right w:type="dxa" w:w="110"/>
            </w:tcMar>
          </w:tcPr>
          <w:p>
            <w:r>
              <w:rPr>
                <w:b/>
                <w:bCs/>
                <w:color w:val="FFFFFF"/>
                <w:sz w:val="19"/>
                <w:szCs w:val="19"/>
              </w:rPr>
              <w:t xml:space="preserve">Value</w:t>
            </w:r>
          </w:p>
        </w:tc>
        <w:tc>
          <w:tcPr>
            <w:tcW w:type="dxa" w:w="7660"/>
            <w:shd w:fill="1F4E79" w:val="clear"/>
            <w:tcMar>
              <w:top w:type="dxa" w:w="60"/>
              <w:left w:type="dxa" w:w="110"/>
              <w:bottom w:type="dxa" w:w="60"/>
              <w:right w:type="dxa" w:w="110"/>
            </w:tcMar>
          </w:tcPr>
          <w:p>
            <w:r>
              <w:rPr>
                <w:b/>
                <w:bCs/>
                <w:color w:val="FFFFFF"/>
                <w:sz w:val="19"/>
                <w:szCs w:val="19"/>
              </w:rPr>
              <w:t xml:space="preserve">Pipeline stops after</w:t>
            </w:r>
          </w:p>
        </w:tc>
      </w:tr>
      <w:tr>
        <w:trPr>
          <w:tblHeader w:val="false"/>
        </w:trPr>
        <w:tc>
          <w:tcPr>
            <w:tcW w:type="dxa" w:w="1700"/>
            <w:shd w:fill="FFFFFF" w:val="clear"/>
            <w:tcMar>
              <w:top w:type="dxa" w:w="60"/>
              <w:left w:type="dxa" w:w="110"/>
              <w:bottom w:type="dxa" w:w="60"/>
              <w:right w:type="dxa" w:w="110"/>
            </w:tcMar>
          </w:tcPr>
          <w:p>
            <w:r>
              <w:rPr>
                <w:b w:val="false"/>
                <w:bCs w:val="false"/>
                <w:color w:val="000000"/>
                <w:sz w:val="19"/>
                <w:szCs w:val="19"/>
              </w:rPr>
              <w:t xml:space="preserve">preQC</w:t>
            </w:r>
          </w:p>
        </w:tc>
        <w:tc>
          <w:tcPr>
            <w:tcW w:type="dxa" w:w="7660"/>
            <w:shd w:fill="FFFFFF" w:val="clear"/>
            <w:tcMar>
              <w:top w:type="dxa" w:w="60"/>
              <w:left w:type="dxa" w:w="110"/>
              <w:bottom w:type="dxa" w:w="60"/>
              <w:right w:type="dxa" w:w="110"/>
            </w:tcMar>
          </w:tcPr>
          <w:p>
            <w:r>
              <w:rPr>
                <w:b w:val="false"/>
                <w:bCs w:val="false"/>
                <w:color w:val="000000"/>
                <w:sz w:val="19"/>
                <w:szCs w:val="19"/>
              </w:rPr>
              <w:t xml:space="preserve">FastQC and fastp trimming</w:t>
            </w:r>
          </w:p>
        </w:tc>
      </w:tr>
      <w:tr>
        <w:trPr>
          <w:tblHeader w:val="false"/>
        </w:trPr>
        <w:tc>
          <w:tcPr>
            <w:tcW w:type="dxa" w:w="1700"/>
            <w:shd w:fill="FFFFFF" w:val="clear"/>
            <w:tcMar>
              <w:top w:type="dxa" w:w="60"/>
              <w:left w:type="dxa" w:w="110"/>
              <w:bottom w:type="dxa" w:w="60"/>
              <w:right w:type="dxa" w:w="110"/>
            </w:tcMar>
          </w:tcPr>
          <w:p>
            <w:r>
              <w:rPr>
                <w:b w:val="false"/>
                <w:bCs w:val="false"/>
                <w:color w:val="000000"/>
                <w:sz w:val="19"/>
                <w:szCs w:val="19"/>
              </w:rPr>
              <w:t xml:space="preserve">postQC</w:t>
            </w:r>
          </w:p>
        </w:tc>
        <w:tc>
          <w:tcPr>
            <w:tcW w:type="dxa" w:w="7660"/>
            <w:shd w:fill="FFFFFF" w:val="clear"/>
            <w:tcMar>
              <w:top w:type="dxa" w:w="60"/>
              <w:left w:type="dxa" w:w="110"/>
              <w:bottom w:type="dxa" w:w="60"/>
              <w:right w:type="dxa" w:w="110"/>
            </w:tcMar>
          </w:tcPr>
          <w:p>
            <w:r>
              <w:rPr>
                <w:b w:val="false"/>
                <w:bCs w:val="false"/>
                <w:color w:val="000000"/>
                <w:sz w:val="19"/>
                <w:szCs w:val="19"/>
              </w:rPr>
              <w:t xml:space="preserve">Alignment, BAM indexing, RSeQC, BigWig tracks</w:t>
            </w:r>
          </w:p>
        </w:tc>
      </w:tr>
      <w:tr>
        <w:trPr>
          <w:tblHeader w:val="false"/>
        </w:trPr>
        <w:tc>
          <w:tcPr>
            <w:tcW w:type="dxa" w:w="1700"/>
            <w:shd w:fill="FFFFFF" w:val="clear"/>
            <w:tcMar>
              <w:top w:type="dxa" w:w="60"/>
              <w:left w:type="dxa" w:w="110"/>
              <w:bottom w:type="dxa" w:w="60"/>
              <w:right w:type="dxa" w:w="110"/>
            </w:tcMar>
          </w:tcPr>
          <w:p>
            <w:r>
              <w:rPr>
                <w:b w:val="false"/>
                <w:bCs w:val="false"/>
                <w:color w:val="000000"/>
                <w:sz w:val="19"/>
                <w:szCs w:val="19"/>
              </w:rPr>
              <w:t xml:space="preserve">DE</w:t>
            </w:r>
          </w:p>
        </w:tc>
        <w:tc>
          <w:tcPr>
            <w:tcW w:type="dxa" w:w="7660"/>
            <w:shd w:fill="FFFFFF" w:val="clear"/>
            <w:tcMar>
              <w:top w:type="dxa" w:w="60"/>
              <w:left w:type="dxa" w:w="110"/>
              <w:bottom w:type="dxa" w:w="60"/>
              <w:right w:type="dxa" w:w="110"/>
            </w:tcMar>
          </w:tcPr>
          <w:p>
            <w:r>
              <w:rPr>
                <w:b w:val="false"/>
                <w:bCs w:val="false"/>
                <w:color w:val="000000"/>
                <w:sz w:val="19"/>
                <w:szCs w:val="19"/>
              </w:rPr>
              <w:t xml:space="preserve">featureCounts, DESeq2, edgeR</w:t>
            </w:r>
          </w:p>
        </w:tc>
      </w:tr>
      <w:tr>
        <w:trPr>
          <w:tblHeader w:val="false"/>
        </w:trPr>
        <w:tc>
          <w:tcPr>
            <w:tcW w:type="dxa" w:w="1700"/>
            <w:shd w:fill="FFFFFF" w:val="clear"/>
            <w:tcMar>
              <w:top w:type="dxa" w:w="60"/>
              <w:left w:type="dxa" w:w="110"/>
              <w:bottom w:type="dxa" w:w="60"/>
              <w:right w:type="dxa" w:w="110"/>
            </w:tcMar>
          </w:tcPr>
          <w:p>
            <w:r>
              <w:rPr>
                <w:b w:val="false"/>
                <w:bCs w:val="false"/>
                <w:color w:val="000000"/>
                <w:sz w:val="19"/>
                <w:szCs w:val="19"/>
              </w:rPr>
              <w:t xml:space="preserve">GSEA (or unset)</w:t>
            </w:r>
          </w:p>
        </w:tc>
        <w:tc>
          <w:tcPr>
            <w:tcW w:type="dxa" w:w="7660"/>
            <w:shd w:fill="FFFFFF" w:val="clear"/>
            <w:tcMar>
              <w:top w:type="dxa" w:w="60"/>
              <w:left w:type="dxa" w:w="110"/>
              <w:bottom w:type="dxa" w:w="60"/>
              <w:right w:type="dxa" w:w="110"/>
            </w:tcMar>
          </w:tcPr>
          <w:p>
            <w:r>
              <w:rPr>
                <w:b w:val="false"/>
                <w:bCs w:val="false"/>
                <w:color w:val="000000"/>
                <w:sz w:val="19"/>
                <w:szCs w:val="19"/>
              </w:rPr>
              <w:t xml:space="preserve">Everything, including enrichment, fusions and splicing</w:t>
            </w:r>
          </w:p>
        </w:tc>
      </w:tr>
    </w:tbl>
    <w:p>
      <w:pPr>
        <w:spacing w:after="80"/>
      </w:pPr>
    </w:p>
    <w:p>
      <w:pPr>
        <w:pStyle w:val="Heading1"/>
      </w:pPr>
      <w:r>
        <w:t xml:space="preserve">7. Parameter reference</w:t>
      </w:r>
    </w:p>
    <w:p>
      <w:pPr>
        <w:spacing w:after="120"/>
      </w:pPr>
      <w:r>
        <w:t xml:space="preserve">Every parameter is declared in nextflow_schema.json. Run </w:t>
      </w:r>
      <w:r>
        <w:rPr>
          <w:b/>
          <w:bCs/>
        </w:rPr>
        <w:t xml:space="preserve">nextflow run main.nf --help</w:t>
      </w:r>
      <w:r>
        <w:t xml:space="preserve"> to print the full list, grouped with defaults. The schema also powers parameter typo-detection (an unrecognised --option aborts the run) and is read by nf-core tooling.</w:t>
      </w:r>
    </w:p>
    <w:p>
      <w:pPr>
        <w:pStyle w:val="Heading2"/>
      </w:pPr>
      <w:r>
        <w:t xml:space="preserve">Input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shd w:fill="1F4E79" w:val="clear"/>
            <w:tcMar>
              <w:top w:type="dxa" w:w="60"/>
              <w:left w:type="dxa" w:w="110"/>
              <w:bottom w:type="dxa" w:w="60"/>
              <w:right w:type="dxa" w:w="110"/>
            </w:tcMar>
          </w:tcPr>
          <w:p>
            <w:r>
              <w:rPr>
                <w:b/>
                <w:bCs/>
                <w:color w:val="FFFFFF"/>
                <w:sz w:val="19"/>
                <w:szCs w:val="19"/>
              </w:rPr>
              <w:t xml:space="preserve">Parameter</w:t>
            </w:r>
          </w:p>
        </w:tc>
        <w:tc>
          <w:tcPr>
            <w:tcW w:type="dxa" w:w="1100"/>
            <w:shd w:fill="1F4E79" w:val="clear"/>
            <w:tcMar>
              <w:top w:type="dxa" w:w="60"/>
              <w:left w:type="dxa" w:w="110"/>
              <w:bottom w:type="dxa" w:w="60"/>
              <w:right w:type="dxa" w:w="110"/>
            </w:tcMar>
          </w:tcPr>
          <w:p>
            <w:r>
              <w:rPr>
                <w:b/>
                <w:bCs/>
                <w:color w:val="FFFFFF"/>
                <w:sz w:val="19"/>
                <w:szCs w:val="19"/>
              </w:rPr>
              <w:t xml:space="preserve">Default</w:t>
            </w:r>
          </w:p>
        </w:tc>
        <w:tc>
          <w:tcPr>
            <w:tcW w:type="dxa" w:w="6060"/>
            <w:shd w:fill="1F4E79" w:val="clear"/>
            <w:tcMar>
              <w:top w:type="dxa" w:w="60"/>
              <w:left w:type="dxa" w:w="110"/>
              <w:bottom w:type="dxa" w:w="60"/>
              <w:right w:type="dxa" w:w="110"/>
            </w:tcMar>
          </w:tcPr>
          <w:p>
            <w:r>
              <w:rPr>
                <w:b/>
                <w:bCs/>
                <w:color w:val="FFFFFF"/>
                <w:sz w:val="19"/>
                <w:szCs w:val="19"/>
              </w:rPr>
              <w:t xml:space="preserve">Description</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--input</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Path to the CSV samplesheet (RNASEQ mode)</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--outdir</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results</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Output directory</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--publish_dir_mode</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copy</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How results are published: copy, symlink or link</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--stop_at</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Stop after a stage: preQC, postQC, DE, GSEA</w:t>
            </w:r>
          </w:p>
        </w:tc>
      </w:tr>
    </w:tbl>
    <w:p>
      <w:pPr>
        <w:spacing w:after="80"/>
      </w:pPr>
    </w:p>
    <w:p>
      <w:pPr>
        <w:pStyle w:val="Heading2"/>
      </w:pPr>
      <w:r>
        <w:t xml:space="preserve">Alignment &amp;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shd w:fill="1F4E79" w:val="clear"/>
            <w:tcMar>
              <w:top w:type="dxa" w:w="60"/>
              <w:left w:type="dxa" w:w="110"/>
              <w:bottom w:type="dxa" w:w="60"/>
              <w:right w:type="dxa" w:w="110"/>
            </w:tcMar>
          </w:tcPr>
          <w:p>
            <w:r>
              <w:rPr>
                <w:b/>
                <w:bCs/>
                <w:color w:val="FFFFFF"/>
                <w:sz w:val="19"/>
                <w:szCs w:val="19"/>
              </w:rPr>
              <w:t xml:space="preserve">Parameter</w:t>
            </w:r>
          </w:p>
        </w:tc>
        <w:tc>
          <w:tcPr>
            <w:tcW w:type="dxa" w:w="1100"/>
            <w:shd w:fill="1F4E79" w:val="clear"/>
            <w:tcMar>
              <w:top w:type="dxa" w:w="60"/>
              <w:left w:type="dxa" w:w="110"/>
              <w:bottom w:type="dxa" w:w="60"/>
              <w:right w:type="dxa" w:w="110"/>
            </w:tcMar>
          </w:tcPr>
          <w:p>
            <w:r>
              <w:rPr>
                <w:b/>
                <w:bCs/>
                <w:color w:val="FFFFFF"/>
                <w:sz w:val="19"/>
                <w:szCs w:val="19"/>
              </w:rPr>
              <w:t xml:space="preserve">Default</w:t>
            </w:r>
          </w:p>
        </w:tc>
        <w:tc>
          <w:tcPr>
            <w:tcW w:type="dxa" w:w="6060"/>
            <w:shd w:fill="1F4E79" w:val="clear"/>
            <w:tcMar>
              <w:top w:type="dxa" w:w="60"/>
              <w:left w:type="dxa" w:w="110"/>
              <w:bottom w:type="dxa" w:w="60"/>
              <w:right w:type="dxa" w:w="110"/>
            </w:tcMar>
          </w:tcPr>
          <w:p>
            <w:r>
              <w:rPr>
                <w:b/>
                <w:bCs/>
                <w:color w:val="FFFFFF"/>
                <w:sz w:val="19"/>
                <w:szCs w:val="19"/>
              </w:rPr>
              <w:t xml:space="preserve">Description</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--aligner</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star</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star, hisat2, salmon or kallisto</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--strandedness</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auto</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auto (RSeQC infers it for STAR/HISAT2), unstranded, forward or reverse; forward/reverse also set kallisto --fr/--rf-stranded</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--gtf</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Gene annotation GTF (may be gzipped)</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--star_index</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STAR index directory</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--hisat2_index</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HISAT2 index directory</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--salmon_index</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Salmon index directory</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--kallisto_index</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Kallisto index file</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--transcript_fasta</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Transcript FASTA (isoform switching / pseudo-aligner build)</w:t>
            </w:r>
          </w:p>
        </w:tc>
      </w:tr>
    </w:tbl>
    <w:p>
      <w:pPr>
        <w:spacing w:after="80"/>
      </w:pPr>
    </w:p>
    <w:p>
      <w:pPr>
        <w:pStyle w:val="Heading2"/>
      </w:pPr>
      <w:r>
        <w:t xml:space="preserve">Analysis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shd w:fill="1F4E79" w:val="clear"/>
            <w:tcMar>
              <w:top w:type="dxa" w:w="60"/>
              <w:left w:type="dxa" w:w="110"/>
              <w:bottom w:type="dxa" w:w="60"/>
              <w:right w:type="dxa" w:w="110"/>
            </w:tcMar>
          </w:tcPr>
          <w:p>
            <w:r>
              <w:rPr>
                <w:b/>
                <w:bCs/>
                <w:color w:val="FFFFFF"/>
                <w:sz w:val="19"/>
                <w:szCs w:val="19"/>
              </w:rPr>
              <w:t xml:space="preserve">Parameter</w:t>
            </w:r>
          </w:p>
        </w:tc>
        <w:tc>
          <w:tcPr>
            <w:tcW w:type="dxa" w:w="1100"/>
            <w:shd w:fill="1F4E79" w:val="clear"/>
            <w:tcMar>
              <w:top w:type="dxa" w:w="60"/>
              <w:left w:type="dxa" w:w="110"/>
              <w:bottom w:type="dxa" w:w="60"/>
              <w:right w:type="dxa" w:w="110"/>
            </w:tcMar>
          </w:tcPr>
          <w:p>
            <w:r>
              <w:rPr>
                <w:b/>
                <w:bCs/>
                <w:color w:val="FFFFFF"/>
                <w:sz w:val="19"/>
                <w:szCs w:val="19"/>
              </w:rPr>
              <w:t xml:space="preserve">Default</w:t>
            </w:r>
          </w:p>
        </w:tc>
        <w:tc>
          <w:tcPr>
            <w:tcW w:type="dxa" w:w="6060"/>
            <w:shd w:fill="1F4E79" w:val="clear"/>
            <w:tcMar>
              <w:top w:type="dxa" w:w="60"/>
              <w:left w:type="dxa" w:w="110"/>
              <w:bottom w:type="dxa" w:w="60"/>
              <w:right w:type="dxa" w:w="110"/>
            </w:tcMar>
          </w:tcPr>
          <w:p>
            <w:r>
              <w:rPr>
                <w:b/>
                <w:bCs/>
                <w:color w:val="FFFFFF"/>
                <w:sz w:val="19"/>
                <w:szCs w:val="19"/>
              </w:rPr>
              <w:t xml:space="preserve">Description</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--read_length</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100</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Read length passed to rMATS</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--ctat_lib</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CTAT genome library directory; enables STAR-Fusion</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--isoform_switch</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false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Enable IsoformSwitchAnalyzeR (needs --aligner salmon)</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--dtu</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false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Enable DEXSeq differential transcript usage (--aligner salmon or kallisto)</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--diffsplice</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false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Enable edgeR diffSpliceDGE differential splicing (exon level: STAR/HISAT2; transcript level: Salmon/Kallisto)</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--design</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auto</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DESeq2/edgeR model formula, e.g. ~ batch + condition (default: ~ batch + condition if the samplesheet has a batch column, else ~ condition)</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--gmt</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GMT gene-set file; enables GSEA</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--organism</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hsapiens</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Organism ID for gProfiler / GMT download</w:t>
            </w:r>
          </w:p>
        </w:tc>
      </w:tr>
    </w:tbl>
    <w:p>
      <w:pPr>
        <w:spacing w:after="80"/>
      </w:pPr>
    </w:p>
    <w:p>
      <w:pPr>
        <w:pStyle w:val="Heading2"/>
      </w:pPr>
      <w:r>
        <w:t xml:space="preserve">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shd w:fill="1F4E79" w:val="clear"/>
            <w:tcMar>
              <w:top w:type="dxa" w:w="60"/>
              <w:left w:type="dxa" w:w="110"/>
              <w:bottom w:type="dxa" w:w="60"/>
              <w:right w:type="dxa" w:w="110"/>
            </w:tcMar>
          </w:tcPr>
          <w:p>
            <w:r>
              <w:rPr>
                <w:b/>
                <w:bCs/>
                <w:color w:val="FFFFFF"/>
                <w:sz w:val="19"/>
                <w:szCs w:val="19"/>
              </w:rPr>
              <w:t xml:space="preserve">Parameter</w:t>
            </w:r>
          </w:p>
        </w:tc>
        <w:tc>
          <w:tcPr>
            <w:tcW w:type="dxa" w:w="1100"/>
            <w:shd w:fill="1F4E79" w:val="clear"/>
            <w:tcMar>
              <w:top w:type="dxa" w:w="60"/>
              <w:left w:type="dxa" w:w="110"/>
              <w:bottom w:type="dxa" w:w="60"/>
              <w:right w:type="dxa" w:w="110"/>
            </w:tcMar>
          </w:tcPr>
          <w:p>
            <w:r>
              <w:rPr>
                <w:b/>
                <w:bCs/>
                <w:color w:val="FFFFFF"/>
                <w:sz w:val="19"/>
                <w:szCs w:val="19"/>
              </w:rPr>
              <w:t xml:space="preserve">Default</w:t>
            </w:r>
          </w:p>
        </w:tc>
        <w:tc>
          <w:tcPr>
            <w:tcW w:type="dxa" w:w="6060"/>
            <w:shd w:fill="1F4E79" w:val="clear"/>
            <w:tcMar>
              <w:top w:type="dxa" w:w="60"/>
              <w:left w:type="dxa" w:w="110"/>
              <w:bottom w:type="dxa" w:w="60"/>
              <w:right w:type="dxa" w:w="110"/>
            </w:tcMar>
          </w:tcPr>
          <w:p>
            <w:r>
              <w:rPr>
                <w:b/>
                <w:bCs/>
                <w:color w:val="FFFFFF"/>
                <w:sz w:val="19"/>
                <w:szCs w:val="19"/>
              </w:rPr>
              <w:t xml:space="preserve">Description</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--max_cpus</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16</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Per-process CPU ceiling</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--max_memory</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128.GB</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Per-process memory ceiling</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--max_time</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240.h</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Per-process wall-time ceiling</w:t>
            </w:r>
          </w:p>
        </w:tc>
      </w:tr>
    </w:tbl>
    <w:p>
      <w:pPr>
        <w:spacing w:after="80"/>
      </w:pPr>
    </w:p>
    <w:p>
      <w:pPr>
        <w:spacing w:after="120"/>
      </w:pPr>
      <w:r>
        <w:rPr>
          <w:b w:val="false"/>
          <w:bCs w:val="false"/>
          <w:i w:val="false"/>
          <w:iCs w:val="false"/>
        </w:rPr>
        <w:t xml:space="preserve">Per-process CPU/memory/time defaults live in conf/base.config and are automatically capped by the --max_* values. A failed task is retried once with doubled memory and time.</w:t>
      </w:r>
    </w:p>
    <w:p>
      <w:r>
        <w:br w:type="page"/>
      </w:r>
    </w:p>
    <w:p>
      <w:pPr>
        <w:pStyle w:val="Heading1"/>
      </w:pPr>
      <w:r>
        <w:t xml:space="preserve">8. Interpreting the outputs</w:t>
      </w:r>
    </w:p>
    <w:p>
      <w:pPr>
        <w:spacing w:after="120"/>
      </w:pPr>
      <w:r>
        <w:rPr>
          <w:b w:val="false"/>
          <w:bCs w:val="false"/>
          <w:i w:val="false"/>
          <w:iCs w:val="false"/>
        </w:rPr>
        <w:t xml:space="preserve">All paths below are relative to --outdir (default results/). Which directories appear depends on the aligner and options chosen. A good reading order: start with the MultiQC report, confirm alignment rates and strandedness, check the PCA plot, then move to the differential-expression tables and downstream analyses.</w:t>
      </w:r>
    </w:p>
    <w:p>
      <w:pPr>
        <w:pStyle w:val="Heading2"/>
      </w:pPr>
      <w:r>
        <w:t xml:space="preserve">8.1 Read QC - fastqc/ and fastp/</w:t>
      </w:r>
    </w:p>
    <w:p>
      <w:pPr>
        <w:spacing w:after="120"/>
      </w:pPr>
      <w:r>
        <w:rPr>
          <w:b w:val="false"/>
          <w:bCs w:val="false"/>
          <w:i w:val="false"/>
          <w:iCs w:val="false"/>
        </w:rPr>
        <w:t xml:space="preserve">fastqc/ holds a *_fastqc.html report per sample - check per-base quality, adapter content and duplication. fastp/ holds the trimmed FASTQ files plus *.fastp.html / .json trimming reports. A large drop in read count means aggressive filtering. All of these metrics are also aggregated in the MultiQC report, which is usually easier for cross-sample comparison.</w:t>
      </w:r>
    </w:p>
    <w:p>
      <w:pPr>
        <w:pStyle w:val="Heading2"/>
      </w:pPr>
      <w:r>
        <w:t xml:space="preserve">8.2 Alignment - star/ or hisat2/</w:t>
      </w:r>
    </w:p>
    <w:p>
      <w:pPr>
        <w:spacing w:after="120"/>
      </w:pPr>
      <w:r>
        <w:rPr>
          <w:b w:val="false"/>
          <w:bCs w:val="false"/>
          <w:i w:val="false"/>
          <w:iCs w:val="false"/>
        </w:rPr>
        <w:t xml:space="preserve">Contains coordinate-sorted BAM files, their .bai indices, and an alignment log per sample (STAR Log.final.out or the HISAT2 summary). The key metric is the uniquely-mapped read percentage: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10"/>
              <w:bottom w:type="dxa" w:w="60"/>
              <w:right w:type="dxa" w:w="110"/>
            </w:tcMar>
          </w:tcPr>
          <w:p>
            <w:r>
              <w:rPr>
                <w:b/>
                <w:bCs/>
                <w:color w:val="FFFFFF"/>
                <w:sz w:val="19"/>
                <w:szCs w:val="19"/>
              </w:rPr>
              <w:t xml:space="preserve">Uniquely mapped %</w:t>
            </w:r>
          </w:p>
        </w:tc>
        <w:tc>
          <w:tcPr>
            <w:tcW w:type="dxa" w:w="6360"/>
            <w:shd w:fill="1F4E79" w:val="clear"/>
            <w:tcMar>
              <w:top w:type="dxa" w:w="60"/>
              <w:left w:type="dxa" w:w="110"/>
              <w:bottom w:type="dxa" w:w="60"/>
              <w:right w:type="dxa" w:w="110"/>
            </w:tcMar>
          </w:tcPr>
          <w:p>
            <w:r>
              <w:rPr>
                <w:b/>
                <w:bCs/>
                <w:color w:val="FFFFFF"/>
                <w:sz w:val="19"/>
                <w:szCs w:val="19"/>
              </w:rPr>
              <w:t xml:space="preserve">Interpretation</w:t>
            </w:r>
          </w:p>
        </w:tc>
      </w:tr>
      <w:tr>
        <w:trPr>
          <w:tblHeader w:val="false"/>
        </w:trPr>
        <w:tc>
          <w:tcPr>
            <w:tcW w:type="dxa" w:w="3000"/>
            <w:shd w:fill="FFFFFF" w:val="clear"/>
            <w:tcMar>
              <w:top w:type="dxa" w:w="60"/>
              <w:left w:type="dxa" w:w="110"/>
              <w:bottom w:type="dxa" w:w="60"/>
              <w:right w:type="dxa" w:w="110"/>
            </w:tcMar>
          </w:tcPr>
          <w:p>
            <w:r>
              <w:rPr>
                <w:b w:val="false"/>
                <w:bCs w:val="false"/>
                <w:color w:val="000000"/>
                <w:sz w:val="19"/>
                <w:szCs w:val="19"/>
              </w:rPr>
              <w:t xml:space="preserve">Above 85%</w:t>
            </w:r>
          </w:p>
        </w:tc>
        <w:tc>
          <w:tcPr>
            <w:tcW w:type="dxa" w:w="6360"/>
            <w:shd w:fill="FFFFFF" w:val="clear"/>
            <w:tcMar>
              <w:top w:type="dxa" w:w="60"/>
              <w:left w:type="dxa" w:w="110"/>
              <w:bottom w:type="dxa" w:w="60"/>
              <w:right w:type="dxa" w:w="110"/>
            </w:tcMar>
          </w:tcPr>
          <w:p>
            <w:r>
              <w:rPr>
                <w:b w:val="false"/>
                <w:bCs w:val="false"/>
                <w:color w:val="000000"/>
                <w:sz w:val="19"/>
                <w:szCs w:val="19"/>
              </w:rPr>
              <w:t xml:space="preserve">Excellent</w:t>
            </w:r>
          </w:p>
        </w:tc>
      </w:tr>
      <w:tr>
        <w:trPr>
          <w:tblHeader w:val="false"/>
        </w:trPr>
        <w:tc>
          <w:tcPr>
            <w:tcW w:type="dxa" w:w="3000"/>
            <w:shd w:fill="FFFFFF" w:val="clear"/>
            <w:tcMar>
              <w:top w:type="dxa" w:w="60"/>
              <w:left w:type="dxa" w:w="110"/>
              <w:bottom w:type="dxa" w:w="60"/>
              <w:right w:type="dxa" w:w="110"/>
            </w:tcMar>
          </w:tcPr>
          <w:p>
            <w:r>
              <w:rPr>
                <w:b w:val="false"/>
                <w:bCs w:val="false"/>
                <w:color w:val="000000"/>
                <w:sz w:val="19"/>
                <w:szCs w:val="19"/>
              </w:rPr>
              <w:t xml:space="preserve">70-85%</w:t>
            </w:r>
          </w:p>
        </w:tc>
        <w:tc>
          <w:tcPr>
            <w:tcW w:type="dxa" w:w="6360"/>
            <w:shd w:fill="FFFFFF" w:val="clear"/>
            <w:tcMar>
              <w:top w:type="dxa" w:w="60"/>
              <w:left w:type="dxa" w:w="110"/>
              <w:bottom w:type="dxa" w:w="60"/>
              <w:right w:type="dxa" w:w="110"/>
            </w:tcMar>
          </w:tcPr>
          <w:p>
            <w:r>
              <w:rPr>
                <w:b w:val="false"/>
                <w:bCs w:val="false"/>
                <w:color w:val="000000"/>
                <w:sz w:val="19"/>
                <w:szCs w:val="19"/>
              </w:rPr>
              <w:t xml:space="preserve">Acceptable</w:t>
            </w:r>
          </w:p>
        </w:tc>
      </w:tr>
      <w:tr>
        <w:trPr>
          <w:tblHeader w:val="false"/>
        </w:trPr>
        <w:tc>
          <w:tcPr>
            <w:tcW w:type="dxa" w:w="3000"/>
            <w:shd w:fill="FFFFFF" w:val="clear"/>
            <w:tcMar>
              <w:top w:type="dxa" w:w="60"/>
              <w:left w:type="dxa" w:w="110"/>
              <w:bottom w:type="dxa" w:w="60"/>
              <w:right w:type="dxa" w:w="110"/>
            </w:tcMar>
          </w:tcPr>
          <w:p>
            <w:r>
              <w:rPr>
                <w:b w:val="false"/>
                <w:bCs w:val="false"/>
                <w:color w:val="000000"/>
                <w:sz w:val="19"/>
                <w:szCs w:val="19"/>
              </w:rPr>
              <w:t xml:space="preserve">Below 70%</w:t>
            </w:r>
          </w:p>
        </w:tc>
        <w:tc>
          <w:tcPr>
            <w:tcW w:type="dxa" w:w="6360"/>
            <w:shd w:fill="FFFFFF" w:val="clear"/>
            <w:tcMar>
              <w:top w:type="dxa" w:w="60"/>
              <w:left w:type="dxa" w:w="110"/>
              <w:bottom w:type="dxa" w:w="60"/>
              <w:right w:type="dxa" w:w="110"/>
            </w:tcMar>
          </w:tcPr>
          <w:p>
            <w:r>
              <w:rPr>
                <w:b w:val="false"/>
                <w:bCs w:val="false"/>
                <w:color w:val="000000"/>
                <w:sz w:val="19"/>
                <w:szCs w:val="19"/>
              </w:rPr>
              <w:t xml:space="preserve">Investigate - contamination, wrong genome, or poor read quality</w:t>
            </w:r>
          </w:p>
        </w:tc>
      </w:tr>
    </w:tbl>
    <w:p>
      <w:pPr>
        <w:spacing w:after="80"/>
      </w:pPr>
    </w:p>
    <w:p>
      <w:pPr>
        <w:pStyle w:val="Heading2"/>
      </w:pPr>
      <w:r>
        <w:t xml:space="preserve">8.3 Transcript quantification - salmon/ or kallisto/</w:t>
      </w:r>
    </w:p>
    <w:p>
      <w:pPr>
        <w:spacing w:after="120"/>
      </w:pPr>
      <w:r>
        <w:rPr>
          <w:b w:val="false"/>
          <w:bCs w:val="false"/>
          <w:i w:val="false"/>
          <w:iCs w:val="false"/>
        </w:rPr>
        <w:t xml:space="preserve">One sub-directory per sample. Salmon writes quant.sf; Kallisto writes abundance.tsv. Both report a TPM column (Transcripts Per Million - a normalised abundance comparable across samples) and an estimated read-count column (NumReads / est_counts). The pipeline's tximport step summarises these counts to gene level and feeds them straight into DESeq2/edgeR (see section 8.6).</w:t>
      </w:r>
    </w:p>
    <w:p>
      <w:pPr>
        <w:pStyle w:val="Heading2"/>
      </w:pPr>
      <w:r>
        <w:t xml:space="preserve">8.4 Alignment QC - rseqc/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10"/>
              <w:bottom w:type="dxa" w:w="60"/>
              <w:right w:type="dxa" w:w="110"/>
            </w:tcMar>
          </w:tcPr>
          <w:p>
            <w:r>
              <w:rPr>
                <w:b/>
                <w:bCs/>
                <w:color w:val="FFFFFF"/>
                <w:sz w:val="19"/>
                <w:szCs w:val="19"/>
              </w:rPr>
              <w:t xml:space="preserve">File</w:t>
            </w:r>
          </w:p>
        </w:tc>
        <w:tc>
          <w:tcPr>
            <w:tcW w:type="dxa" w:w="6360"/>
            <w:shd w:fill="1F4E79" w:val="clear"/>
            <w:tcMar>
              <w:top w:type="dxa" w:w="60"/>
              <w:left w:type="dxa" w:w="110"/>
              <w:bottom w:type="dxa" w:w="60"/>
              <w:right w:type="dxa" w:w="110"/>
            </w:tcMar>
          </w:tcPr>
          <w:p>
            <w:r>
              <w:rPr>
                <w:b/>
                <w:bCs/>
                <w:color w:val="FFFFFF"/>
                <w:sz w:val="19"/>
                <w:szCs w:val="19"/>
              </w:rPr>
              <w:t xml:space="preserve">What it tells you</w:t>
            </w:r>
          </w:p>
        </w:tc>
      </w:tr>
      <w:tr>
        <w:trPr>
          <w:tblHeader w:val="false"/>
        </w:trPr>
        <w:tc>
          <w:tcPr>
            <w:tcW w:type="dxa" w:w="3000"/>
            <w:shd w:fill="FFFFFF" w:val="clear"/>
            <w:tcMar>
              <w:top w:type="dxa" w:w="60"/>
              <w:left w:type="dxa" w:w="110"/>
              <w:bottom w:type="dxa" w:w="60"/>
              <w:right w:type="dxa" w:w="110"/>
            </w:tcMar>
          </w:tcPr>
          <w:p>
            <w:r>
              <w:rPr>
                <w:b w:val="false"/>
                <w:bCs w:val="false"/>
                <w:color w:val="000000"/>
                <w:sz w:val="19"/>
                <w:szCs w:val="19"/>
              </w:rPr>
              <w:t xml:space="preserve">*.infer_experiment.txt</w:t>
            </w:r>
          </w:p>
        </w:tc>
        <w:tc>
          <w:tcPr>
            <w:tcW w:type="dxa" w:w="6360"/>
            <w:shd w:fill="FFFFFF" w:val="clear"/>
            <w:tcMar>
              <w:top w:type="dxa" w:w="60"/>
              <w:left w:type="dxa" w:w="110"/>
              <w:bottom w:type="dxa" w:w="60"/>
              <w:right w:type="dxa" w:w="110"/>
            </w:tcMar>
          </w:tcPr>
          <w:p>
            <w:r>
              <w:rPr>
                <w:b w:val="false"/>
                <w:bCs w:val="false"/>
                <w:color w:val="000000"/>
                <w:sz w:val="19"/>
                <w:szCs w:val="19"/>
              </w:rPr>
              <w:t xml:space="preserve">Library strandedness, measured empirically</w:t>
            </w:r>
          </w:p>
        </w:tc>
      </w:tr>
      <w:tr>
        <w:trPr>
          <w:tblHeader w:val="false"/>
        </w:trPr>
        <w:tc>
          <w:tcPr>
            <w:tcW w:type="dxa" w:w="3000"/>
            <w:shd w:fill="FFFFFF" w:val="clear"/>
            <w:tcMar>
              <w:top w:type="dxa" w:w="60"/>
              <w:left w:type="dxa" w:w="110"/>
              <w:bottom w:type="dxa" w:w="60"/>
              <w:right w:type="dxa" w:w="110"/>
            </w:tcMar>
          </w:tcPr>
          <w:p>
            <w:r>
              <w:rPr>
                <w:b w:val="false"/>
                <w:bCs w:val="false"/>
                <w:color w:val="000000"/>
                <w:sz w:val="19"/>
                <w:szCs w:val="19"/>
              </w:rPr>
              <w:t xml:space="preserve">*.strandedness.txt</w:t>
            </w:r>
          </w:p>
        </w:tc>
        <w:tc>
          <w:tcPr>
            <w:tcW w:type="dxa" w:w="6360"/>
            <w:shd w:fill="FFFFFF" w:val="clear"/>
            <w:tcMar>
              <w:top w:type="dxa" w:w="60"/>
              <w:left w:type="dxa" w:w="110"/>
              <w:bottom w:type="dxa" w:w="60"/>
              <w:right w:type="dxa" w:w="110"/>
            </w:tcMar>
          </w:tcPr>
          <w:p>
            <w:r>
              <w:rPr>
                <w:b w:val="false"/>
                <w:bCs w:val="false"/>
                <w:color w:val="000000"/>
                <w:sz w:val="19"/>
                <w:szCs w:val="19"/>
              </w:rPr>
              <w:t xml:space="preserve">One-word verdict (forward/reverse/unstranded) derived from the above</w:t>
            </w:r>
          </w:p>
        </w:tc>
      </w:tr>
      <w:tr>
        <w:trPr>
          <w:tblHeader w:val="false"/>
        </w:trPr>
        <w:tc>
          <w:tcPr>
            <w:tcW w:type="dxa" w:w="3000"/>
            <w:shd w:fill="FFFFFF" w:val="clear"/>
            <w:tcMar>
              <w:top w:type="dxa" w:w="60"/>
              <w:left w:type="dxa" w:w="110"/>
              <w:bottom w:type="dxa" w:w="60"/>
              <w:right w:type="dxa" w:w="110"/>
            </w:tcMar>
          </w:tcPr>
          <w:p>
            <w:r>
              <w:rPr>
                <w:b w:val="false"/>
                <w:bCs w:val="false"/>
                <w:color w:val="000000"/>
                <w:sz w:val="19"/>
                <w:szCs w:val="19"/>
              </w:rPr>
              <w:t xml:space="preserve">*.read_distribution.txt</w:t>
            </w:r>
          </w:p>
        </w:tc>
        <w:tc>
          <w:tcPr>
            <w:tcW w:type="dxa" w:w="6360"/>
            <w:shd w:fill="FFFFFF" w:val="clear"/>
            <w:tcMar>
              <w:top w:type="dxa" w:w="60"/>
              <w:left w:type="dxa" w:w="110"/>
              <w:bottom w:type="dxa" w:w="60"/>
              <w:right w:type="dxa" w:w="110"/>
            </w:tcMar>
          </w:tcPr>
          <w:p>
            <w:r>
              <w:rPr>
                <w:b w:val="false"/>
                <w:bCs w:val="false"/>
                <w:color w:val="000000"/>
                <w:sz w:val="19"/>
                <w:szCs w:val="19"/>
              </w:rPr>
              <w:t xml:space="preserve">Fraction of reads in CDS / UTR / intron / intergenic regions</w:t>
            </w:r>
          </w:p>
        </w:tc>
      </w:tr>
      <w:tr>
        <w:trPr>
          <w:tblHeader w:val="false"/>
        </w:trPr>
        <w:tc>
          <w:tcPr>
            <w:tcW w:type="dxa" w:w="3000"/>
            <w:shd w:fill="FFFFFF" w:val="clear"/>
            <w:tcMar>
              <w:top w:type="dxa" w:w="60"/>
              <w:left w:type="dxa" w:w="110"/>
              <w:bottom w:type="dxa" w:w="60"/>
              <w:right w:type="dxa" w:w="110"/>
            </w:tcMar>
          </w:tcPr>
          <w:p>
            <w:r>
              <w:rPr>
                <w:b w:val="false"/>
                <w:bCs w:val="false"/>
                <w:color w:val="000000"/>
                <w:sz w:val="19"/>
                <w:szCs w:val="19"/>
              </w:rPr>
              <w:t xml:space="preserve">*.geneBodyCoverage.txt + .pdf</w:t>
            </w:r>
          </w:p>
        </w:tc>
        <w:tc>
          <w:tcPr>
            <w:tcW w:type="dxa" w:w="6360"/>
            <w:shd w:fill="FFFFFF" w:val="clear"/>
            <w:tcMar>
              <w:top w:type="dxa" w:w="60"/>
              <w:left w:type="dxa" w:w="110"/>
              <w:bottom w:type="dxa" w:w="60"/>
              <w:right w:type="dxa" w:w="110"/>
            </w:tcMar>
          </w:tcPr>
          <w:p>
            <w:r>
              <w:rPr>
                <w:b w:val="false"/>
                <w:bCs w:val="false"/>
                <w:color w:val="000000"/>
                <w:sz w:val="19"/>
                <w:szCs w:val="19"/>
              </w:rPr>
              <w:t xml:space="preserve">5'-3' coverage evenness (flat is good; 3' skew = degradation)</w:t>
            </w:r>
          </w:p>
        </w:tc>
      </w:tr>
    </w:tbl>
    <w:p>
      <w:pPr>
        <w:spacing w:after="80"/>
      </w:pPr>
    </w:p>
    <w:p>
      <w:pPr>
        <w:spacing w:after="120"/>
      </w:pPr>
      <w:r>
        <w:rPr>
          <w:b w:val="false"/>
          <w:bCs w:val="false"/>
          <w:i w:val="false"/>
          <w:iCs w:val="false"/>
        </w:rPr>
        <w:t xml:space="preserve">With --strandedness auto (the default) this inference is fed straight into featureCounts: each sample's verdict in strandedness.txt sets that sample's featureCounts -s flag, so the correct strand setting is used automatically. Setting --strandedness explicitly overrides it; check any explicit value against strandedness.txt, since a wrong strand setting roughly halves your gene counts.</w:t>
      </w:r>
    </w:p>
    <w:p>
      <w:pPr>
        <w:pStyle w:val="Heading2"/>
      </w:pPr>
      <w:r>
        <w:t xml:space="preserve">8.5 Coverage tracks - bam_to_bigwig/</w:t>
      </w:r>
    </w:p>
    <w:p>
      <w:pPr>
        <w:spacing w:after="120"/>
      </w:pPr>
      <w:r>
        <w:rPr>
          <w:b w:val="false"/>
          <w:bCs w:val="false"/>
          <w:i w:val="false"/>
          <w:iCs w:val="false"/>
        </w:rPr>
        <w:t xml:space="preserve">CPM-normalised .bw coverage files. Load them into IGV or the UCSC Genome Browser to inspect coverage at specific loci; CPM normalisation makes tracks comparable across samples of different sequencing depth.</w:t>
      </w:r>
    </w:p>
    <w:p>
      <w:pPr>
        <w:pStyle w:val="Heading2"/>
      </w:pPr>
      <w:r>
        <w:t xml:space="preserve">8.6 Gene counts - featurecounts/ and tximport/</w:t>
      </w:r>
    </w:p>
    <w:p>
      <w:pPr>
        <w:spacing w:after="120"/>
      </w:pPr>
      <w:r>
        <w:rPr>
          <w:b w:val="false"/>
          <w:bCs w:val="false"/>
          <w:i w:val="false"/>
          <w:iCs w:val="false"/>
        </w:rPr>
        <w:t xml:space="preserve">Gene-level counts are the input to DESeq2 and edgeR. With STAR/HISAT2 they come from featureCounts: a per-sample table (Geneid plus a raw read-count column) and a .summary file breaking down assigned versus unassigned reads. With Salmon/Kallisto they come from tximport, which summarises transcript quantification to gene level - tximport_gene_counts.csv is the gene-by-sample matrix and txi.rds is the full object (counts, abundances and transcript lengths) that DESeq2/edgeR import with proper length-aware normalisation. Either way the counts are not library-size normalised and should not be compared directly between samples. When --diffsplice is set on a genome aligner, a parallel exon-level run (featureCounts -f) writes per-exon tables to featurecounts_exon/.</w:t>
      </w:r>
    </w:p>
    <w:p>
      <w:pPr>
        <w:pStyle w:val="Heading2"/>
      </w:pPr>
      <w:r>
        <w:t xml:space="preserve">8.7 Differential expression - deseq2_output/</w:t>
      </w:r>
    </w:p>
    <w:p>
      <w:pPr>
        <w:spacing w:after="120"/>
      </w:pPr>
      <w:r>
        <w:rPr>
          <w:b w:val="false"/>
          <w:bCs w:val="false"/>
          <w:i w:val="false"/>
          <w:iCs w:val="false"/>
        </w:rPr>
        <w:t xml:space="preserve">One results CSV per pairwise contrast, named deseq2_results_&lt;A&gt;_vs_&lt;B&gt;.csv (fold change is A relative to B). Each table is annotated with gene_name and gene_biotype columns parsed from the GTF.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1F4E79" w:val="clear"/>
            <w:tcMar>
              <w:top w:type="dxa" w:w="60"/>
              <w:left w:type="dxa" w:w="110"/>
              <w:bottom w:type="dxa" w:w="60"/>
              <w:right w:type="dxa" w:w="110"/>
            </w:tcMar>
          </w:tcPr>
          <w:p>
            <w:r>
              <w:rPr>
                <w:b/>
                <w:bCs/>
                <w:color w:val="FFFFFF"/>
                <w:sz w:val="19"/>
                <w:szCs w:val="19"/>
              </w:rPr>
              <w:t xml:space="preserve">Column</w:t>
            </w:r>
          </w:p>
        </w:tc>
        <w:tc>
          <w:tcPr>
            <w:tcW w:type="dxa" w:w="7060"/>
            <w:shd w:fill="1F4E79" w:val="clear"/>
            <w:tcMar>
              <w:top w:type="dxa" w:w="60"/>
              <w:left w:type="dxa" w:w="110"/>
              <w:bottom w:type="dxa" w:w="60"/>
              <w:right w:type="dxa" w:w="110"/>
            </w:tcMar>
          </w:tcPr>
          <w:p>
            <w:r>
              <w:rPr>
                <w:b/>
                <w:bCs/>
                <w:color w:val="FFFFFF"/>
                <w:sz w:val="19"/>
                <w:szCs w:val="19"/>
              </w:rPr>
              <w:t xml:space="preserve">Meaning</w:t>
            </w:r>
          </w:p>
        </w:tc>
      </w:tr>
      <w:tr>
        <w:trPr>
          <w:tblHeader w:val="false"/>
        </w:trPr>
        <w:tc>
          <w:tcPr>
            <w:tcW w:type="dxa" w:w="2300"/>
            <w:shd w:fill="FFFFFF" w:val="clear"/>
            <w:tcMar>
              <w:top w:type="dxa" w:w="60"/>
              <w:left w:type="dxa" w:w="110"/>
              <w:bottom w:type="dxa" w:w="60"/>
              <w:right w:type="dxa" w:w="110"/>
            </w:tcMar>
          </w:tcPr>
          <w:p>
            <w:r>
              <w:rPr>
                <w:b w:val="false"/>
                <w:bCs w:val="false"/>
                <w:color w:val="000000"/>
                <w:sz w:val="19"/>
                <w:szCs w:val="19"/>
              </w:rPr>
              <w:t xml:space="preserve">gene_name</w:t>
            </w:r>
          </w:p>
        </w:tc>
        <w:tc>
          <w:tcPr>
            <w:tcW w:type="dxa" w:w="7060"/>
            <w:shd w:fill="FFFFFF" w:val="clear"/>
            <w:tcMar>
              <w:top w:type="dxa" w:w="60"/>
              <w:left w:type="dxa" w:w="110"/>
              <w:bottom w:type="dxa" w:w="60"/>
              <w:right w:type="dxa" w:w="110"/>
            </w:tcMar>
          </w:tcPr>
          <w:p>
            <w:r>
              <w:rPr>
                <w:b w:val="false"/>
                <w:bCs w:val="false"/>
                <w:color w:val="000000"/>
                <w:sz w:val="19"/>
                <w:szCs w:val="19"/>
              </w:rPr>
              <w:t xml:space="preserve">Gene symbol, parsed from the GTF</w:t>
            </w:r>
          </w:p>
        </w:tc>
      </w:tr>
      <w:tr>
        <w:trPr>
          <w:tblHeader w:val="false"/>
        </w:trPr>
        <w:tc>
          <w:tcPr>
            <w:tcW w:type="dxa" w:w="2300"/>
            <w:shd w:fill="FFFFFF" w:val="clear"/>
            <w:tcMar>
              <w:top w:type="dxa" w:w="60"/>
              <w:left w:type="dxa" w:w="110"/>
              <w:bottom w:type="dxa" w:w="60"/>
              <w:right w:type="dxa" w:w="110"/>
            </w:tcMar>
          </w:tcPr>
          <w:p>
            <w:r>
              <w:rPr>
                <w:b w:val="false"/>
                <w:bCs w:val="false"/>
                <w:color w:val="000000"/>
                <w:sz w:val="19"/>
                <w:szCs w:val="19"/>
              </w:rPr>
              <w:t xml:space="preserve">gene_biotype</w:t>
            </w:r>
          </w:p>
        </w:tc>
        <w:tc>
          <w:tcPr>
            <w:tcW w:type="dxa" w:w="7060"/>
            <w:shd w:fill="FFFFFF" w:val="clear"/>
            <w:tcMar>
              <w:top w:type="dxa" w:w="60"/>
              <w:left w:type="dxa" w:w="110"/>
              <w:bottom w:type="dxa" w:w="60"/>
              <w:right w:type="dxa" w:w="110"/>
            </w:tcMar>
          </w:tcPr>
          <w:p>
            <w:r>
              <w:rPr>
                <w:b w:val="false"/>
                <w:bCs w:val="false"/>
                <w:color w:val="000000"/>
                <w:sz w:val="19"/>
                <w:szCs w:val="19"/>
              </w:rPr>
              <w:t xml:space="preserve">Gene biotype (e.g. protein_coding, lncRNA)</w:t>
            </w:r>
          </w:p>
        </w:tc>
      </w:tr>
      <w:tr>
        <w:trPr>
          <w:tblHeader w:val="false"/>
        </w:trPr>
        <w:tc>
          <w:tcPr>
            <w:tcW w:type="dxa" w:w="2300"/>
            <w:shd w:fill="FFFFFF" w:val="clear"/>
            <w:tcMar>
              <w:top w:type="dxa" w:w="60"/>
              <w:left w:type="dxa" w:w="110"/>
              <w:bottom w:type="dxa" w:w="60"/>
              <w:right w:type="dxa" w:w="110"/>
            </w:tcMar>
          </w:tcPr>
          <w:p>
            <w:r>
              <w:rPr>
                <w:b w:val="false"/>
                <w:bCs w:val="false"/>
                <w:color w:val="000000"/>
                <w:sz w:val="19"/>
                <w:szCs w:val="19"/>
              </w:rPr>
              <w:t xml:space="preserve">baseMean</w:t>
            </w:r>
          </w:p>
        </w:tc>
        <w:tc>
          <w:tcPr>
            <w:tcW w:type="dxa" w:w="7060"/>
            <w:shd w:fill="FFFFFF" w:val="clear"/>
            <w:tcMar>
              <w:top w:type="dxa" w:w="60"/>
              <w:left w:type="dxa" w:w="110"/>
              <w:bottom w:type="dxa" w:w="60"/>
              <w:right w:type="dxa" w:w="110"/>
            </w:tcMar>
          </w:tcPr>
          <w:p>
            <w:r>
              <w:rPr>
                <w:b w:val="false"/>
                <w:bCs w:val="false"/>
                <w:color w:val="000000"/>
                <w:sz w:val="19"/>
                <w:szCs w:val="19"/>
              </w:rPr>
              <w:t xml:space="preserve">Mean normalised count across all samples</w:t>
            </w:r>
          </w:p>
        </w:tc>
      </w:tr>
      <w:tr>
        <w:trPr>
          <w:tblHeader w:val="false"/>
        </w:trPr>
        <w:tc>
          <w:tcPr>
            <w:tcW w:type="dxa" w:w="2300"/>
            <w:shd w:fill="FFFFFF" w:val="clear"/>
            <w:tcMar>
              <w:top w:type="dxa" w:w="60"/>
              <w:left w:type="dxa" w:w="110"/>
              <w:bottom w:type="dxa" w:w="60"/>
              <w:right w:type="dxa" w:w="110"/>
            </w:tcMar>
          </w:tcPr>
          <w:p>
            <w:r>
              <w:rPr>
                <w:b w:val="false"/>
                <w:bCs w:val="false"/>
                <w:color w:val="000000"/>
                <w:sz w:val="19"/>
                <w:szCs w:val="19"/>
              </w:rPr>
              <w:t xml:space="preserve">log2FoldChange</w:t>
            </w:r>
          </w:p>
        </w:tc>
        <w:tc>
          <w:tcPr>
            <w:tcW w:type="dxa" w:w="7060"/>
            <w:shd w:fill="FFFFFF" w:val="clear"/>
            <w:tcMar>
              <w:top w:type="dxa" w:w="60"/>
              <w:left w:type="dxa" w:w="110"/>
              <w:bottom w:type="dxa" w:w="60"/>
              <w:right w:type="dxa" w:w="110"/>
            </w:tcMar>
          </w:tcPr>
          <w:p>
            <w:r>
              <w:rPr>
                <w:b w:val="false"/>
                <w:bCs w:val="false"/>
                <w:color w:val="000000"/>
                <w:sz w:val="19"/>
                <w:szCs w:val="19"/>
              </w:rPr>
              <w:t xml:space="preserve">Effect size - log2(A / B), apeglm-shrunken</w:t>
            </w:r>
          </w:p>
        </w:tc>
      </w:tr>
      <w:tr>
        <w:trPr>
          <w:tblHeader w:val="false"/>
        </w:trPr>
        <w:tc>
          <w:tcPr>
            <w:tcW w:type="dxa" w:w="2300"/>
            <w:shd w:fill="FFFFFF" w:val="clear"/>
            <w:tcMar>
              <w:top w:type="dxa" w:w="60"/>
              <w:left w:type="dxa" w:w="110"/>
              <w:bottom w:type="dxa" w:w="60"/>
              <w:right w:type="dxa" w:w="110"/>
            </w:tcMar>
          </w:tcPr>
          <w:p>
            <w:r>
              <w:rPr>
                <w:b w:val="false"/>
                <w:bCs w:val="false"/>
                <w:color w:val="000000"/>
                <w:sz w:val="19"/>
                <w:szCs w:val="19"/>
              </w:rPr>
              <w:t xml:space="preserve">lfcSE</w:t>
            </w:r>
          </w:p>
        </w:tc>
        <w:tc>
          <w:tcPr>
            <w:tcW w:type="dxa" w:w="7060"/>
            <w:shd w:fill="FFFFFF" w:val="clear"/>
            <w:tcMar>
              <w:top w:type="dxa" w:w="60"/>
              <w:left w:type="dxa" w:w="110"/>
              <w:bottom w:type="dxa" w:w="60"/>
              <w:right w:type="dxa" w:w="110"/>
            </w:tcMar>
          </w:tcPr>
          <w:p>
            <w:r>
              <w:rPr>
                <w:b w:val="false"/>
                <w:bCs w:val="false"/>
                <w:color w:val="000000"/>
                <w:sz w:val="19"/>
                <w:szCs w:val="19"/>
              </w:rPr>
              <w:t xml:space="preserve">Posterior SD of the shrunken log2 fold change (apeglm)</w:t>
            </w:r>
          </w:p>
        </w:tc>
      </w:tr>
      <w:tr>
        <w:trPr>
          <w:tblHeader w:val="false"/>
        </w:trPr>
        <w:tc>
          <w:tcPr>
            <w:tcW w:type="dxa" w:w="2300"/>
            <w:shd w:fill="FFFFFF" w:val="clear"/>
            <w:tcMar>
              <w:top w:type="dxa" w:w="60"/>
              <w:left w:type="dxa" w:w="110"/>
              <w:bottom w:type="dxa" w:w="60"/>
              <w:right w:type="dxa" w:w="110"/>
            </w:tcMar>
          </w:tcPr>
          <w:p>
            <w:r>
              <w:rPr>
                <w:b w:val="false"/>
                <w:bCs w:val="false"/>
                <w:color w:val="000000"/>
                <w:sz w:val="19"/>
                <w:szCs w:val="19"/>
              </w:rPr>
              <w:t xml:space="preserve">stat</w:t>
            </w:r>
          </w:p>
        </w:tc>
        <w:tc>
          <w:tcPr>
            <w:tcW w:type="dxa" w:w="7060"/>
            <w:shd w:fill="FFFFFF" w:val="clear"/>
            <w:tcMar>
              <w:top w:type="dxa" w:w="60"/>
              <w:left w:type="dxa" w:w="110"/>
              <w:bottom w:type="dxa" w:w="60"/>
              <w:right w:type="dxa" w:w="110"/>
            </w:tcMar>
          </w:tcPr>
          <w:p>
            <w:r>
              <w:rPr>
                <w:b w:val="false"/>
                <w:bCs w:val="false"/>
                <w:color w:val="000000"/>
                <w:sz w:val="19"/>
                <w:szCs w:val="19"/>
              </w:rPr>
              <w:t xml:space="preserve">Wald test statistic (from the unshrunken fit)</w:t>
            </w:r>
          </w:p>
        </w:tc>
      </w:tr>
      <w:tr>
        <w:trPr>
          <w:tblHeader w:val="false"/>
        </w:trPr>
        <w:tc>
          <w:tcPr>
            <w:tcW w:type="dxa" w:w="2300"/>
            <w:shd w:fill="FFFFFF" w:val="clear"/>
            <w:tcMar>
              <w:top w:type="dxa" w:w="60"/>
              <w:left w:type="dxa" w:w="110"/>
              <w:bottom w:type="dxa" w:w="60"/>
              <w:right w:type="dxa" w:w="110"/>
            </w:tcMar>
          </w:tcPr>
          <w:p>
            <w:r>
              <w:rPr>
                <w:b w:val="false"/>
                <w:bCs w:val="false"/>
                <w:color w:val="000000"/>
                <w:sz w:val="19"/>
                <w:szCs w:val="19"/>
              </w:rPr>
              <w:t xml:space="preserve">pvalue</w:t>
            </w:r>
          </w:p>
        </w:tc>
        <w:tc>
          <w:tcPr>
            <w:tcW w:type="dxa" w:w="7060"/>
            <w:shd w:fill="FFFFFF" w:val="clear"/>
            <w:tcMar>
              <w:top w:type="dxa" w:w="60"/>
              <w:left w:type="dxa" w:w="110"/>
              <w:bottom w:type="dxa" w:w="60"/>
              <w:right w:type="dxa" w:w="110"/>
            </w:tcMar>
          </w:tcPr>
          <w:p>
            <w:r>
              <w:rPr>
                <w:b w:val="false"/>
                <w:bCs w:val="false"/>
                <w:color w:val="000000"/>
                <w:sz w:val="19"/>
                <w:szCs w:val="19"/>
              </w:rPr>
              <w:t xml:space="preserve">Raw p-value</w:t>
            </w:r>
          </w:p>
        </w:tc>
      </w:tr>
      <w:tr>
        <w:trPr>
          <w:tblHeader w:val="false"/>
        </w:trPr>
        <w:tc>
          <w:tcPr>
            <w:tcW w:type="dxa" w:w="2300"/>
            <w:shd w:fill="FFFFFF" w:val="clear"/>
            <w:tcMar>
              <w:top w:type="dxa" w:w="60"/>
              <w:left w:type="dxa" w:w="110"/>
              <w:bottom w:type="dxa" w:w="60"/>
              <w:right w:type="dxa" w:w="110"/>
            </w:tcMar>
          </w:tcPr>
          <w:p>
            <w:r>
              <w:rPr>
                <w:b w:val="false"/>
                <w:bCs w:val="false"/>
                <w:color w:val="000000"/>
                <w:sz w:val="19"/>
                <w:szCs w:val="19"/>
              </w:rPr>
              <w:t xml:space="preserve">padj</w:t>
            </w:r>
          </w:p>
        </w:tc>
        <w:tc>
          <w:tcPr>
            <w:tcW w:type="dxa" w:w="7060"/>
            <w:shd w:fill="FFFFFF" w:val="clear"/>
            <w:tcMar>
              <w:top w:type="dxa" w:w="60"/>
              <w:left w:type="dxa" w:w="110"/>
              <w:bottom w:type="dxa" w:w="60"/>
              <w:right w:type="dxa" w:w="110"/>
            </w:tcMar>
          </w:tcPr>
          <w:p>
            <w:r>
              <w:rPr>
                <w:b w:val="false"/>
                <w:bCs w:val="false"/>
                <w:color w:val="000000"/>
                <w:sz w:val="19"/>
                <w:szCs w:val="19"/>
              </w:rPr>
              <w:t xml:space="preserve">Benjamini-Hochberg adjusted p-value (FDR) - use this for significance</w:t>
            </w:r>
          </w:p>
        </w:tc>
      </w:tr>
    </w:tbl>
    <w:p>
      <w:pPr>
        <w:spacing w:after="80"/>
      </w:pPr>
    </w:p>
    <w:p>
      <w:pPr>
        <w:spacing w:after="120"/>
      </w:pPr>
      <w:r>
        <w:rPr>
          <w:b w:val="false"/>
          <w:bCs w:val="false"/>
          <w:i w:val="false"/>
          <w:iCs w:val="false"/>
        </w:rPr>
        <w:t xml:space="preserve">The log2FoldChange is shrunk with the apeglm estimator (DESeq2 lfcShrink): low-count, high-variance genes are pulled toward zero, giving more reliable effect sizes and cleaner MA / volcano plots. Shrinkage changes only the effect-size estimate - stat, pvalue and padj come from the unshrunken Wald test, so significance calling is unaffected.</w:t>
      </w:r>
    </w:p>
    <w:p>
      <w:pPr>
        <w:spacing w:after="120"/>
      </w:pPr>
      <w:r>
        <w:rPr>
          <w:b w:val="false"/>
          <w:bCs w:val="false"/>
          <w:i w:val="false"/>
          <w:iCs w:val="false"/>
        </w:rPr>
        <w:t xml:space="preserve">A common significance threshold is padj &lt; 0.05 with |log2FoldChange| &gt; 1 (a 2-fold change). A padj of NA is normal - DESeq2 assigns it to genes filtered for low counts or flagged as outliers. The folder also contains pca_plot.png (sample clustering - replicates should group together), MA and volcano plots per contrast, and a heatmap of the 20 most variable genes. The volcano plot (volcano_&lt;A&gt;_vs_&lt;B&gt;.png) shows log2 fold change against -log10 p-value, colouring genes that pass padj &lt; 0.05 and |log2FC| &gt; 1.</w:t>
      </w:r>
    </w:p>
    <w:p>
      <w:pPr>
        <w:pStyle w:val="Heading2"/>
      </w:pPr>
      <w:r>
        <w:t xml:space="preserve">8.8 Differential expression - edger_output/</w:t>
      </w:r>
    </w:p>
    <w:p>
      <w:pPr>
        <w:spacing w:after="120"/>
      </w:pPr>
      <w:r>
        <w:rPr>
          <w:b w:val="false"/>
          <w:bCs w:val="false"/>
          <w:i w:val="false"/>
          <w:iCs w:val="false"/>
        </w:rPr>
        <w:t xml:space="preserve">edgeR runs alongside DESeq2 as an independent cross-check. Results CSVs (edger_results_&lt;A&gt;_vs_&lt;B&gt;.csv) carry gene_name and gene_biotype annotation columns and use logFC, logCPM, a test statistic, PValue and FDR (the adjusted p-value). Genes called significant by both DESeq2 and edgeR are the most robust hits. The folder also has an MDS plot and per-contrast smear and volcano plots (the volcano colouring genes with FDR &lt; 0.05 and |logFC| &gt; 1).</w:t>
      </w:r>
    </w:p>
    <w:p>
      <w:pPr>
        <w:pStyle w:val="Heading2"/>
      </w:pPr>
      <w:r>
        <w:t xml:space="preserve">8.9 Functional enrichment - gsea_output/ and gprofiler_output/</w:t>
      </w:r>
    </w:p>
    <w:p>
      <w:pPr>
        <w:spacing w:after="120"/>
      </w:pPr>
      <w:r>
        <w:rPr>
          <w:b w:val="false"/>
          <w:bCs w:val="false"/>
          <w:i w:val="false"/>
          <w:iCs w:val="false"/>
        </w:rPr>
        <w:t xml:space="preserve">GSEA (fgsea) runs on the whole ranked DESeq2 gene list. gsea_stats_&lt;contrast&gt;.csv reports pathway, pval/padj, ES, NES (normalised enrichment score - its sign gives direction) and size. A positive NES means the pathway is up in condition A.</w:t>
      </w:r>
    </w:p>
    <w:p>
      <w:pPr>
        <w:spacing w:after="120"/>
      </w:pPr>
      <w:r>
        <w:rPr>
          <w:b w:val="false"/>
          <w:bCs w:val="false"/>
          <w:i w:val="false"/>
          <w:iCs w:val="false"/>
        </w:rPr>
        <w:t xml:space="preserve">gProfiler tests the thresholded significant gene lists for enriched GO terms and pathways, separately for up- and down-regulated genes (gprofiler_UP/DOWN_&lt;contrast&gt;.csv plus gostplot images). GSEA uses the whole ranked list and gProfiler a thresholded list - agreement between them strengthens a conclusion.</w:t>
      </w:r>
    </w:p>
    <w:p>
      <w:pPr>
        <w:pStyle w:val="Heading2"/>
      </w:pPr>
      <w:r>
        <w:t xml:space="preserve">8.10 Alternative splicing - rmats_output/</w:t>
      </w:r>
    </w:p>
    <w:p>
      <w:pPr>
        <w:spacing w:after="120"/>
      </w:pPr>
      <w:r>
        <w:rPr>
          <w:b w:val="false"/>
          <w:bCs w:val="false"/>
          <w:i w:val="false"/>
          <w:iCs w:val="false"/>
        </w:rPr>
        <w:t xml:space="preserve">One sub-directory per condition pair. rMATS reports five event types: SE (skipped exon), MXE (mutually exclusive exons), A3SS / A5SS (alternative 3' / 5' splice sites) and RI (retained intron). For each there is a JC file (junction counts only) and a JCEC file (junction plus exon-body counts). The key columns are IncLevelDifference (the change in inclusion level / PSI) and FDR. A common cutoff is FDR &lt; 0.05 with |IncLevelDifference| &gt; 0.1.</w:t>
      </w:r>
    </w:p>
    <w:p>
      <w:pPr>
        <w:pStyle w:val="Heading2"/>
      </w:pPr>
      <w:r>
        <w:t xml:space="preserve">8.11 Gene fusions - star_fusion/</w:t>
      </w:r>
    </w:p>
    <w:p>
      <w:pPr>
        <w:spacing w:after="120"/>
      </w:pPr>
      <w:r>
        <w:rPr>
          <w:b w:val="false"/>
          <w:bCs w:val="false"/>
          <w:i w:val="false"/>
          <w:iCs w:val="false"/>
        </w:rPr>
        <w:t xml:space="preserve">Per-sample fusion_predictions.tsv (full) and .abridged.tsv (summary). Each row is a candidate fusion (GENE1--GENE2) with JunctionReadCount and SpanningFragCount support, breakpoint coordinates, large-anchor support and an FFPM normalised support value. Higher read support plus YES large-anchor support indicates a more confident call; always validate candidates against known biology.</w:t>
      </w:r>
    </w:p>
    <w:p>
      <w:pPr>
        <w:pStyle w:val="Heading2"/>
      </w:pPr>
      <w:r>
        <w:t xml:space="preserve">8.12 Isoform switching - isoform_switch/</w:t>
      </w:r>
    </w:p>
    <w:p>
      <w:pPr>
        <w:spacing w:after="120"/>
      </w:pPr>
      <w:r>
        <w:rPr>
          <w:b w:val="false"/>
          <w:bCs w:val="false"/>
          <w:i w:val="false"/>
          <w:iCs w:val="false"/>
        </w:rPr>
        <w:t xml:space="preserve">isoform_switches.csv lists genes whose dominant transcript isoform changes between conditions even when total gene expression does not - biologically important and invisible to gene-level DE. Per-gene switch plots and the full analysis R object (switchList_analyzed.rds) are also written.</w:t>
      </w:r>
    </w:p>
    <w:p>
      <w:pPr>
        <w:pStyle w:val="Heading2"/>
      </w:pPr>
      <w:r>
        <w:t xml:space="preserve">8.13 Differential transcript usage - dtu_output/</w:t>
      </w:r>
    </w:p>
    <w:p>
      <w:pPr>
        <w:spacing w:after="120"/>
      </w:pPr>
      <w:r>
        <w:rPr>
          <w:b w:val="false"/>
          <w:bCs w:val="false"/>
          <w:i w:val="false"/>
          <w:iCs w:val="false"/>
        </w:rPr>
        <w:t xml:space="preserve">Written only when --dtu is set (Salmon or Kallisto route). DEXSeq tests whether the relative usage of a gene's transcript isoforms shifts between conditions, independent of any change in total gene expression.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10"/>
              <w:bottom w:type="dxa" w:w="60"/>
              <w:right w:type="dxa" w:w="110"/>
            </w:tcMar>
          </w:tcPr>
          <w:p>
            <w:r>
              <w:rPr>
                <w:b/>
                <w:bCs/>
                <w:color w:val="FFFFFF"/>
                <w:sz w:val="19"/>
                <w:szCs w:val="19"/>
              </w:rPr>
              <w:t xml:space="preserve">File</w:t>
            </w:r>
          </w:p>
        </w:tc>
        <w:tc>
          <w:tcPr>
            <w:tcW w:type="dxa" w:w="6360"/>
            <w:shd w:fill="1F4E79" w:val="clear"/>
            <w:tcMar>
              <w:top w:type="dxa" w:w="60"/>
              <w:left w:type="dxa" w:w="110"/>
              <w:bottom w:type="dxa" w:w="60"/>
              <w:right w:type="dxa" w:w="110"/>
            </w:tcMar>
          </w:tcPr>
          <w:p>
            <w:r>
              <w:rPr>
                <w:b/>
                <w:bCs/>
                <w:color w:val="FFFFFF"/>
                <w:sz w:val="19"/>
                <w:szCs w:val="19"/>
              </w:rPr>
              <w:t xml:space="preserve">Contents</w:t>
            </w:r>
          </w:p>
        </w:tc>
      </w:tr>
      <w:tr>
        <w:trPr>
          <w:tblHeader w:val="false"/>
        </w:trPr>
        <w:tc>
          <w:tcPr>
            <w:tcW w:type="dxa" w:w="3000"/>
            <w:shd w:fill="FFFFFF" w:val="clear"/>
            <w:tcMar>
              <w:top w:type="dxa" w:w="60"/>
              <w:left w:type="dxa" w:w="110"/>
              <w:bottom w:type="dxa" w:w="60"/>
              <w:right w:type="dxa" w:w="110"/>
            </w:tcMar>
          </w:tcPr>
          <w:p>
            <w:r>
              <w:rPr>
                <w:b w:val="false"/>
                <w:bCs w:val="false"/>
                <w:color w:val="000000"/>
                <w:sz w:val="19"/>
                <w:szCs w:val="19"/>
              </w:rPr>
              <w:t xml:space="preserve">dtu_transcript_results.csv</w:t>
            </w:r>
          </w:p>
        </w:tc>
        <w:tc>
          <w:tcPr>
            <w:tcW w:type="dxa" w:w="6360"/>
            <w:shd w:fill="FFFFFF" w:val="clear"/>
            <w:tcMar>
              <w:top w:type="dxa" w:w="60"/>
              <w:left w:type="dxa" w:w="110"/>
              <w:bottom w:type="dxa" w:w="60"/>
              <w:right w:type="dxa" w:w="110"/>
            </w:tcMar>
          </w:tcPr>
          <w:p>
            <w:r>
              <w:rPr>
                <w:b w:val="false"/>
                <w:bCs w:val="false"/>
                <w:color w:val="000000"/>
                <w:sz w:val="19"/>
                <w:szCs w:val="19"/>
              </w:rPr>
              <w:t xml:space="preserve">Per-transcript test: groupID (gene), gene_name, gene_biotype, featureID (transcript), exonBaseMean, dispersion, stat, pvalue, padj</w:t>
            </w:r>
          </w:p>
        </w:tc>
      </w:tr>
      <w:tr>
        <w:trPr>
          <w:tblHeader w:val="false"/>
        </w:trPr>
        <w:tc>
          <w:tcPr>
            <w:tcW w:type="dxa" w:w="3000"/>
            <w:shd w:fill="FFFFFF" w:val="clear"/>
            <w:tcMar>
              <w:top w:type="dxa" w:w="60"/>
              <w:left w:type="dxa" w:w="110"/>
              <w:bottom w:type="dxa" w:w="60"/>
              <w:right w:type="dxa" w:w="110"/>
            </w:tcMar>
          </w:tcPr>
          <w:p>
            <w:r>
              <w:rPr>
                <w:b w:val="false"/>
                <w:bCs w:val="false"/>
                <w:color w:val="000000"/>
                <w:sz w:val="19"/>
                <w:szCs w:val="19"/>
              </w:rPr>
              <w:t xml:space="preserve">dtu_gene_qvalues.csv</w:t>
            </w:r>
          </w:p>
        </w:tc>
        <w:tc>
          <w:tcPr>
            <w:tcW w:type="dxa" w:w="6360"/>
            <w:shd w:fill="FFFFFF" w:val="clear"/>
            <w:tcMar>
              <w:top w:type="dxa" w:w="60"/>
              <w:left w:type="dxa" w:w="110"/>
              <w:bottom w:type="dxa" w:w="60"/>
              <w:right w:type="dxa" w:w="110"/>
            </w:tcMar>
          </w:tcPr>
          <w:p>
            <w:r>
              <w:rPr>
                <w:b w:val="false"/>
                <w:bCs w:val="false"/>
                <w:color w:val="000000"/>
                <w:sz w:val="19"/>
                <w:szCs w:val="19"/>
              </w:rPr>
              <w:t xml:space="preserve">Per-gene q-value: columns gene, gene_name, gene_biotype, gene_qvalue (one value per gene, aggregating its transcripts)</w:t>
            </w:r>
          </w:p>
        </w:tc>
      </w:tr>
    </w:tbl>
    <w:p>
      <w:pPr>
        <w:spacing w:after="80"/>
      </w:pPr>
    </w:p>
    <w:p>
      <w:pPr>
        <w:spacing w:after="120"/>
      </w:pPr>
      <w:r>
        <w:rPr>
          <w:b w:val="false"/>
          <w:bCs w:val="false"/>
          <w:i w:val="false"/>
          <w:iCs w:val="false"/>
        </w:rPr>
        <w:t xml:space="preserve">Use dtu_gene_qvalues.csv (gene_qvalue &lt; 0.05) to call genes with a significant usage change, then dtu_transcript_results.csv to see which transcripts of that gene drive the switch. Only multi-transcript, expressed genes are tested. DTU complements isoform switching and gene-level DE - a gene can show significant DTU while its total expression is unchanged.</w:t>
      </w:r>
    </w:p>
    <w:p>
      <w:pPr>
        <w:pStyle w:val="Heading2"/>
      </w:pPr>
      <w:r>
        <w:t xml:space="preserve">8.14 Differential splicing - diffsplice_output/</w:t>
      </w:r>
    </w:p>
    <w:p>
      <w:pPr>
        <w:spacing w:after="120"/>
      </w:pPr>
      <w:r>
        <w:rPr>
          <w:b w:val="false"/>
          <w:bCs w:val="false"/>
          <w:i w:val="false"/>
          <w:iCs w:val="false"/>
        </w:rPr>
        <w:t xml:space="preserve">Written only when --diffsplice is set. edgeR's diffSpliceDGE tests, for each feature, whether its log fold change between conditions departs from the gene's overall log fold change - i.e. differential usage. The feature is an exon for STAR/HISAT2 and a transcript for Salmon/Kallisto.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4E79" w:val="clear"/>
            <w:tcMar>
              <w:top w:type="dxa" w:w="60"/>
              <w:left w:type="dxa" w:w="110"/>
              <w:bottom w:type="dxa" w:w="60"/>
              <w:right w:type="dxa" w:w="110"/>
            </w:tcMar>
          </w:tcPr>
          <w:p>
            <w:r>
              <w:rPr>
                <w:b/>
                <w:bCs/>
                <w:color w:val="FFFFFF"/>
                <w:sz w:val="19"/>
                <w:szCs w:val="19"/>
              </w:rPr>
              <w:t xml:space="preserve">File</w:t>
            </w:r>
          </w:p>
        </w:tc>
        <w:tc>
          <w:tcPr>
            <w:tcW w:type="dxa" w:w="5960"/>
            <w:shd w:fill="1F4E79" w:val="clear"/>
            <w:tcMar>
              <w:top w:type="dxa" w:w="60"/>
              <w:left w:type="dxa" w:w="110"/>
              <w:bottom w:type="dxa" w:w="60"/>
              <w:right w:type="dxa" w:w="110"/>
            </w:tcMar>
          </w:tcPr>
          <w:p>
            <w:r>
              <w:rPr>
                <w:b/>
                <w:bCs/>
                <w:color w:val="FFFFFF"/>
                <w:sz w:val="19"/>
                <w:szCs w:val="19"/>
              </w:rPr>
              <w:t xml:space="preserve">Contents</w:t>
            </w:r>
          </w:p>
        </w:tc>
      </w:tr>
      <w:tr>
        <w:trPr>
          <w:tblHeader w:val="false"/>
        </w:trPr>
        <w:tc>
          <w:tcPr>
            <w:tcW w:type="dxa" w:w="3400"/>
            <w:shd w:fill="FFFFFF" w:val="clear"/>
            <w:tcMar>
              <w:top w:type="dxa" w:w="60"/>
              <w:left w:type="dxa" w:w="110"/>
              <w:bottom w:type="dxa" w:w="60"/>
              <w:right w:type="dxa" w:w="110"/>
            </w:tcMar>
          </w:tcPr>
          <w:p>
            <w:r>
              <w:rPr>
                <w:b w:val="false"/>
                <w:bCs w:val="false"/>
                <w:color w:val="000000"/>
                <w:sz w:val="19"/>
                <w:szCs w:val="19"/>
              </w:rPr>
              <w:t xml:space="preserve">diffsplice_exon_results.csv  or  diffsplice_transcript_results.csv</w:t>
            </w:r>
          </w:p>
        </w:tc>
        <w:tc>
          <w:tcPr>
            <w:tcW w:type="dxa" w:w="5960"/>
            <w:shd w:fill="FFFFFF" w:val="clear"/>
            <w:tcMar>
              <w:top w:type="dxa" w:w="60"/>
              <w:left w:type="dxa" w:w="110"/>
              <w:bottom w:type="dxa" w:w="60"/>
              <w:right w:type="dxa" w:w="110"/>
            </w:tcMar>
          </w:tcPr>
          <w:p>
            <w:r>
              <w:rPr>
                <w:b w:val="false"/>
                <w:bCs w:val="false"/>
                <w:color w:val="000000"/>
                <w:sz w:val="19"/>
                <w:szCs w:val="19"/>
              </w:rPr>
              <w:t xml:space="preserve">Per-feature test: GeneID, gene_name, gene_biotype, FeatureID, logFC, an exon-level statistic, P.Value, FDR, comparison</w:t>
            </w:r>
          </w:p>
        </w:tc>
      </w:tr>
      <w:tr>
        <w:trPr>
          <w:tblHeader w:val="false"/>
        </w:trPr>
        <w:tc>
          <w:tcPr>
            <w:tcW w:type="dxa" w:w="3400"/>
            <w:shd w:fill="FFFFFF" w:val="clear"/>
            <w:tcMar>
              <w:top w:type="dxa" w:w="60"/>
              <w:left w:type="dxa" w:w="110"/>
              <w:bottom w:type="dxa" w:w="60"/>
              <w:right w:type="dxa" w:w="110"/>
            </w:tcMar>
          </w:tcPr>
          <w:p>
            <w:r>
              <w:rPr>
                <w:b w:val="false"/>
                <w:bCs w:val="false"/>
                <w:color w:val="000000"/>
                <w:sz w:val="19"/>
                <w:szCs w:val="19"/>
              </w:rPr>
              <w:t xml:space="preserve">diffsplice_gene_results.csv</w:t>
            </w:r>
          </w:p>
        </w:tc>
        <w:tc>
          <w:tcPr>
            <w:tcW w:type="dxa" w:w="5960"/>
            <w:shd w:fill="FFFFFF" w:val="clear"/>
            <w:tcMar>
              <w:top w:type="dxa" w:w="60"/>
              <w:left w:type="dxa" w:w="110"/>
              <w:bottom w:type="dxa" w:w="60"/>
              <w:right w:type="dxa" w:w="110"/>
            </w:tcMar>
          </w:tcPr>
          <w:p>
            <w:r>
              <w:rPr>
                <w:b w:val="false"/>
                <w:bCs w:val="false"/>
                <w:color w:val="000000"/>
                <w:sz w:val="19"/>
                <w:szCs w:val="19"/>
              </w:rPr>
              <w:t xml:space="preserve">Per-gene test (Simes' method across a gene's features): GeneID, gene_name, gene_biotype, NExons, P.Value, FDR, comparison</w:t>
            </w:r>
          </w:p>
        </w:tc>
      </w:tr>
    </w:tbl>
    <w:p>
      <w:pPr>
        <w:spacing w:after="80"/>
      </w:pPr>
    </w:p>
    <w:p>
      <w:pPr>
        <w:spacing w:after="120"/>
      </w:pPr>
      <w:r>
        <w:rPr>
          <w:b w:val="false"/>
          <w:bCs w:val="false"/>
          <w:i w:val="false"/>
          <w:iCs w:val="false"/>
        </w:rPr>
        <w:t xml:space="preserve">Use diffsplice_gene_results.csv (FDR &lt; 0.05) to find genes with a splicing change, then the per-feature table to see which exon or transcript drives it. The comparison column names the condition contrast; only multi-feature genes are tested. It complements rMATS (event-based) and DEXSeq DTU (transcript proportions) as a third, independent view of alternative splicing.</w:t>
      </w:r>
    </w:p>
    <w:p>
      <w:pPr>
        <w:pStyle w:val="Heading2"/>
      </w:pPr>
      <w:r>
        <w:t xml:space="preserve">8.15 Reports - multiqc/ and quarto_report/</w:t>
      </w:r>
    </w:p>
    <w:p>
      <w:pPr>
        <w:spacing w:after="120"/>
      </w:pPr>
      <w:r>
        <w:rPr>
          <w:b w:val="false"/>
          <w:bCs w:val="false"/>
          <w:i w:val="false"/>
          <w:iCs w:val="false"/>
        </w:rPr>
        <w:t xml:space="preserve">multiqc/multiqc_report.html is a single interactive page combining FastQC, fastp, alignment, RSeQC and featureCounts metrics for every sample - the best starting point for run-wide QC and for spotting outlier samples. quarto_report/analysis_report.html is an interactive Quarto report that brings the run's results together in one place: a MultiQC general-statistics summary, per-contrast significant-gene counts, interactive plotly volcano plots for DESeq2 and edgeR, the PCA / MDS / heatmap panels, a DESeq2-vs-edgeR agreement table, and searchable DESeq2 / edgeR / GSEA / gProfiler result tables - sections for stages that did not run are simply omitted. pipeline_info/ holds the Nextflow execution timeline, trace and resource report, plus a record of every tool version used; it also holds run_summary.html, an end-of-run summary written automatically on completion or failure - run status and duration, links to the MultiQC report and key result directories, and a per-process table of job time, peak memory and CPU usage, with a concise version also printed to the console.</w:t>
      </w:r>
    </w:p>
    <w:p>
      <w:pPr>
        <w:pStyle w:val="Heading1"/>
      </w:pPr>
      <w:r>
        <w:t xml:space="preserve">9. Choosing an aligner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6460"/>
      </w:tblGrid>
      <w:tr>
        <w:trPr>
          <w:tblHeader/>
        </w:trPr>
        <w:tc>
          <w:tcPr>
            <w:tcW w:type="dxa" w:w="1500"/>
            <w:shd w:fill="1F4E79" w:val="clear"/>
            <w:tcMar>
              <w:top w:type="dxa" w:w="60"/>
              <w:left w:type="dxa" w:w="110"/>
              <w:bottom w:type="dxa" w:w="60"/>
              <w:right w:type="dxa" w:w="110"/>
            </w:tcMar>
          </w:tcPr>
          <w:p>
            <w:r>
              <w:rPr>
                <w:b/>
                <w:bCs/>
                <w:color w:val="FFFFFF"/>
                <w:sz w:val="19"/>
                <w:szCs w:val="19"/>
              </w:rPr>
              <w:t xml:space="preserve">Aligner</w:t>
            </w:r>
          </w:p>
        </w:tc>
        <w:tc>
          <w:tcPr>
            <w:tcW w:type="dxa" w:w="1400"/>
            <w:shd w:fill="1F4E79" w:val="clear"/>
            <w:tcMar>
              <w:top w:type="dxa" w:w="60"/>
              <w:left w:type="dxa" w:w="110"/>
              <w:bottom w:type="dxa" w:w="60"/>
              <w:right w:type="dxa" w:w="110"/>
            </w:tcMar>
          </w:tcPr>
          <w:p>
            <w:r>
              <w:rPr>
                <w:b/>
                <w:bCs/>
                <w:color w:val="FFFFFF"/>
                <w:sz w:val="19"/>
                <w:szCs w:val="19"/>
              </w:rPr>
              <w:t xml:space="preserve">Type</w:t>
            </w:r>
          </w:p>
        </w:tc>
        <w:tc>
          <w:tcPr>
            <w:tcW w:type="dxa" w:w="6460"/>
            <w:shd w:fill="1F4E79" w:val="clear"/>
            <w:tcMar>
              <w:top w:type="dxa" w:w="60"/>
              <w:left w:type="dxa" w:w="110"/>
              <w:bottom w:type="dxa" w:w="60"/>
              <w:right w:type="dxa" w:w="110"/>
            </w:tcMar>
          </w:tcPr>
          <w:p>
            <w:r>
              <w:rPr>
                <w:b/>
                <w:bCs/>
                <w:color w:val="FFFFFF"/>
                <w:sz w:val="19"/>
                <w:szCs w:val="19"/>
              </w:rPr>
              <w:t xml:space="preserve">Best for / downstream stages</w:t>
            </w:r>
          </w:p>
        </w:tc>
      </w:tr>
      <w:tr>
        <w:trPr>
          <w:tblHeader w:val="false"/>
        </w:trPr>
        <w:tc>
          <w:tcPr>
            <w:tcW w:type="dxa" w:w="1500"/>
            <w:shd w:fill="FFFFFF" w:val="clear"/>
            <w:tcMar>
              <w:top w:type="dxa" w:w="60"/>
              <w:left w:type="dxa" w:w="110"/>
              <w:bottom w:type="dxa" w:w="60"/>
              <w:right w:type="dxa" w:w="110"/>
            </w:tcMar>
          </w:tcPr>
          <w:p>
            <w:r>
              <w:rPr>
                <w:b w:val="false"/>
                <w:bCs w:val="false"/>
                <w:color w:val="000000"/>
                <w:sz w:val="19"/>
                <w:szCs w:val="19"/>
              </w:rPr>
              <w:t xml:space="preserve">STAR</w:t>
            </w:r>
          </w:p>
        </w:tc>
        <w:tc>
          <w:tcPr>
            <w:tcW w:type="dxa" w:w="1400"/>
            <w:shd w:fill="FFFFFF" w:val="clear"/>
            <w:tcMar>
              <w:top w:type="dxa" w:w="60"/>
              <w:left w:type="dxa" w:w="110"/>
              <w:bottom w:type="dxa" w:w="60"/>
              <w:right w:type="dxa" w:w="110"/>
            </w:tcMar>
          </w:tcPr>
          <w:p>
            <w:r>
              <w:rPr>
                <w:b w:val="false"/>
                <w:bCs w:val="false"/>
                <w:color w:val="000000"/>
                <w:sz w:val="19"/>
                <w:szCs w:val="19"/>
              </w:rPr>
              <w:t xml:space="preserve">Genome</w:t>
            </w:r>
          </w:p>
        </w:tc>
        <w:tc>
          <w:tcPr>
            <w:tcW w:type="dxa" w:w="6460"/>
            <w:shd w:fill="FFFFFF" w:val="clear"/>
            <w:tcMar>
              <w:top w:type="dxa" w:w="60"/>
              <w:left w:type="dxa" w:w="110"/>
              <w:bottom w:type="dxa" w:w="60"/>
              <w:right w:type="dxa" w:w="110"/>
            </w:tcMar>
          </w:tcPr>
          <w:p>
            <w:r>
              <w:rPr>
                <w:b w:val="false"/>
                <w:bCs w:val="false"/>
                <w:color w:val="000000"/>
                <w:sz w:val="19"/>
                <w:szCs w:val="19"/>
              </w:rPr>
              <w:t xml:space="preserve">Default. Full analysis: QC, featureCounts, DESeq2/edgeR, rMATS, STAR-Fusion, diffSplice, enrichment</w:t>
            </w:r>
          </w:p>
        </w:tc>
      </w:tr>
      <w:tr>
        <w:trPr>
          <w:tblHeader w:val="false"/>
        </w:trPr>
        <w:tc>
          <w:tcPr>
            <w:tcW w:type="dxa" w:w="1500"/>
            <w:shd w:fill="FFFFFF" w:val="clear"/>
            <w:tcMar>
              <w:top w:type="dxa" w:w="60"/>
              <w:left w:type="dxa" w:w="110"/>
              <w:bottom w:type="dxa" w:w="60"/>
              <w:right w:type="dxa" w:w="110"/>
            </w:tcMar>
          </w:tcPr>
          <w:p>
            <w:r>
              <w:rPr>
                <w:b w:val="false"/>
                <w:bCs w:val="false"/>
                <w:color w:val="000000"/>
                <w:sz w:val="19"/>
                <w:szCs w:val="19"/>
              </w:rPr>
              <w:t xml:space="preserve">HISAT2</w:t>
            </w:r>
          </w:p>
        </w:tc>
        <w:tc>
          <w:tcPr>
            <w:tcW w:type="dxa" w:w="1400"/>
            <w:shd w:fill="FFFFFF" w:val="clear"/>
            <w:tcMar>
              <w:top w:type="dxa" w:w="60"/>
              <w:left w:type="dxa" w:w="110"/>
              <w:bottom w:type="dxa" w:w="60"/>
              <w:right w:type="dxa" w:w="110"/>
            </w:tcMar>
          </w:tcPr>
          <w:p>
            <w:r>
              <w:rPr>
                <w:b w:val="false"/>
                <w:bCs w:val="false"/>
                <w:color w:val="000000"/>
                <w:sz w:val="19"/>
                <w:szCs w:val="19"/>
              </w:rPr>
              <w:t xml:space="preserve">Genome</w:t>
            </w:r>
          </w:p>
        </w:tc>
        <w:tc>
          <w:tcPr>
            <w:tcW w:type="dxa" w:w="6460"/>
            <w:shd w:fill="FFFFFF" w:val="clear"/>
            <w:tcMar>
              <w:top w:type="dxa" w:w="60"/>
              <w:left w:type="dxa" w:w="110"/>
              <w:bottom w:type="dxa" w:w="60"/>
              <w:right w:type="dxa" w:w="110"/>
            </w:tcMar>
          </w:tcPr>
          <w:p>
            <w:r>
              <w:rPr>
                <w:b w:val="false"/>
                <w:bCs w:val="false"/>
                <w:color w:val="000000"/>
                <w:sz w:val="19"/>
                <w:szCs w:val="19"/>
              </w:rPr>
              <w:t xml:space="preserve">Lighter-weight genome alignment: QC, featureCounts, DESeq2/edgeR, rMATS, diffSplice, enrichment</w:t>
            </w:r>
          </w:p>
        </w:tc>
      </w:tr>
      <w:tr>
        <w:trPr>
          <w:tblHeader w:val="false"/>
        </w:trPr>
        <w:tc>
          <w:tcPr>
            <w:tcW w:type="dxa" w:w="1500"/>
            <w:shd w:fill="FFFFFF" w:val="clear"/>
            <w:tcMar>
              <w:top w:type="dxa" w:w="60"/>
              <w:left w:type="dxa" w:w="110"/>
              <w:bottom w:type="dxa" w:w="60"/>
              <w:right w:type="dxa" w:w="110"/>
            </w:tcMar>
          </w:tcPr>
          <w:p>
            <w:r>
              <w:rPr>
                <w:b w:val="false"/>
                <w:bCs w:val="false"/>
                <w:color w:val="000000"/>
                <w:sz w:val="19"/>
                <w:szCs w:val="19"/>
              </w:rPr>
              <w:t xml:space="preserve">Salmon</w:t>
            </w:r>
          </w:p>
        </w:tc>
        <w:tc>
          <w:tcPr>
            <w:tcW w:type="dxa" w:w="1400"/>
            <w:shd w:fill="FFFFFF" w:val="clear"/>
            <w:tcMar>
              <w:top w:type="dxa" w:w="60"/>
              <w:left w:type="dxa" w:w="110"/>
              <w:bottom w:type="dxa" w:w="60"/>
              <w:right w:type="dxa" w:w="110"/>
            </w:tcMar>
          </w:tcPr>
          <w:p>
            <w:r>
              <w:rPr>
                <w:b w:val="false"/>
                <w:bCs w:val="false"/>
                <w:color w:val="000000"/>
                <w:sz w:val="19"/>
                <w:szCs w:val="19"/>
              </w:rPr>
              <w:t xml:space="preserve">Pseudo</w:t>
            </w:r>
          </w:p>
        </w:tc>
        <w:tc>
          <w:tcPr>
            <w:tcW w:type="dxa" w:w="6460"/>
            <w:shd w:fill="FFFFFF" w:val="clear"/>
            <w:tcMar>
              <w:top w:type="dxa" w:w="60"/>
              <w:left w:type="dxa" w:w="110"/>
              <w:bottom w:type="dxa" w:w="60"/>
              <w:right w:type="dxa" w:w="110"/>
            </w:tcMar>
          </w:tcPr>
          <w:p>
            <w:r>
              <w:rPr>
                <w:b w:val="false"/>
                <w:bCs w:val="false"/>
                <w:color w:val="000000"/>
                <w:sz w:val="19"/>
                <w:szCs w:val="19"/>
              </w:rPr>
              <w:t xml:space="preserve">Transcript quant; DESeq2/edgeR + enrichment via tximport; isoform switching, DTU and diffSplice</w:t>
            </w:r>
          </w:p>
        </w:tc>
      </w:tr>
      <w:tr>
        <w:trPr>
          <w:tblHeader w:val="false"/>
        </w:trPr>
        <w:tc>
          <w:tcPr>
            <w:tcW w:type="dxa" w:w="1500"/>
            <w:shd w:fill="FFFFFF" w:val="clear"/>
            <w:tcMar>
              <w:top w:type="dxa" w:w="60"/>
              <w:left w:type="dxa" w:w="110"/>
              <w:bottom w:type="dxa" w:w="60"/>
              <w:right w:type="dxa" w:w="110"/>
            </w:tcMar>
          </w:tcPr>
          <w:p>
            <w:r>
              <w:rPr>
                <w:b w:val="false"/>
                <w:bCs w:val="false"/>
                <w:color w:val="000000"/>
                <w:sz w:val="19"/>
                <w:szCs w:val="19"/>
              </w:rPr>
              <w:t xml:space="preserve">Kallisto</w:t>
            </w:r>
          </w:p>
        </w:tc>
        <w:tc>
          <w:tcPr>
            <w:tcW w:type="dxa" w:w="1400"/>
            <w:shd w:fill="FFFFFF" w:val="clear"/>
            <w:tcMar>
              <w:top w:type="dxa" w:w="60"/>
              <w:left w:type="dxa" w:w="110"/>
              <w:bottom w:type="dxa" w:w="60"/>
              <w:right w:type="dxa" w:w="110"/>
            </w:tcMar>
          </w:tcPr>
          <w:p>
            <w:r>
              <w:rPr>
                <w:b w:val="false"/>
                <w:bCs w:val="false"/>
                <w:color w:val="000000"/>
                <w:sz w:val="19"/>
                <w:szCs w:val="19"/>
              </w:rPr>
              <w:t xml:space="preserve">Pseudo</w:t>
            </w:r>
          </w:p>
        </w:tc>
        <w:tc>
          <w:tcPr>
            <w:tcW w:type="dxa" w:w="6460"/>
            <w:shd w:fill="FFFFFF" w:val="clear"/>
            <w:tcMar>
              <w:top w:type="dxa" w:w="60"/>
              <w:left w:type="dxa" w:w="110"/>
              <w:bottom w:type="dxa" w:w="60"/>
              <w:right w:type="dxa" w:w="110"/>
            </w:tcMar>
          </w:tcPr>
          <w:p>
            <w:r>
              <w:rPr>
                <w:b w:val="false"/>
                <w:bCs w:val="false"/>
                <w:color w:val="000000"/>
                <w:sz w:val="19"/>
                <w:szCs w:val="19"/>
              </w:rPr>
              <w:t xml:space="preserve">Transcript quant; DESeq2/edgeR + enrichment via tximport; DTU and diffSplice</w:t>
            </w:r>
          </w:p>
        </w:tc>
      </w:tr>
    </w:tbl>
    <w:p>
      <w:pPr>
        <w:spacing w:after="80"/>
      </w:pPr>
    </w:p>
    <w:p>
      <w:pPr>
        <w:pStyle w:val="Heading1"/>
      </w:pPr>
      <w:r>
        <w:t xml:space="preserve">10.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4E79" w:val="clear"/>
            <w:tcMar>
              <w:top w:type="dxa" w:w="60"/>
              <w:left w:type="dxa" w:w="110"/>
              <w:bottom w:type="dxa" w:w="60"/>
              <w:right w:type="dxa" w:w="110"/>
            </w:tcMar>
          </w:tcPr>
          <w:p>
            <w:r>
              <w:rPr>
                <w:b/>
                <w:bCs/>
                <w:color w:val="FFFFFF"/>
                <w:sz w:val="19"/>
                <w:szCs w:val="19"/>
              </w:rPr>
              <w:t xml:space="preserve">Symptom</w:t>
            </w:r>
          </w:p>
        </w:tc>
        <w:tc>
          <w:tcPr>
            <w:tcW w:type="dxa" w:w="5760"/>
            <w:shd w:fill="1F4E79" w:val="clear"/>
            <w:tcMar>
              <w:top w:type="dxa" w:w="60"/>
              <w:left w:type="dxa" w:w="110"/>
              <w:bottom w:type="dxa" w:w="60"/>
              <w:right w:type="dxa" w:w="110"/>
            </w:tcMar>
          </w:tcPr>
          <w:p>
            <w:r>
              <w:rPr>
                <w:b/>
                <w:bCs/>
                <w:color w:val="FFFFFF"/>
                <w:sz w:val="19"/>
                <w:szCs w:val="19"/>
              </w:rPr>
              <w:t xml:space="preserve">Likely cause / fix</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"Please specify an input samplesheet"</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No --input, --download_refs or --build_indices given</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"STAR index not provided"</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Pass the --&lt;aligner&gt;_index matching your --aligner</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"Cannot find any reads matching"</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FASTQ paths in the samplesheet are wrong or relative to the wrong directory</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STAR-Fusion produced nothing</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--ctat_lib not set, or not pointing at the extracted ctat_genome_lib_build_dir</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No deseq2_output/</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Needs a CSV samplesheet; for Salmon/Kallisto also needs --gtf for the tximport map</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No dtu_output/</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--dtu needs --aligner salmon or kallisto and --gtf; it is skipped on STAR/HISAT2</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No diffsplice_output/</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--diffsplice needs --gtf (for exon counting and the transcript-to-gene map)</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Out-of-memory kills</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Raise --max_memory; STAR genome indexing needs ~38 GB</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Container pull failures</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Check internet / Docker; on HPC prefer -profile singularity</w:t>
            </w:r>
          </w:p>
        </w:tc>
      </w:tr>
    </w:tbl>
    <w:p>
      <w:pPr>
        <w:spacing w:after="80"/>
      </w:pPr>
    </w:p>
    <w:p>
      <w:pPr>
        <w:spacing w:after="120"/>
      </w:pPr>
      <w:r>
        <w:rPr>
          <w:b w:val="false"/>
          <w:bCs w:val="false"/>
          <w:i w:val="false"/>
          <w:iCs w:val="false"/>
        </w:rPr>
        <w:t xml:space="preserve">Execution reports in &lt;outdir&gt;/pipeline_info/ show which process failed and why. After editing the pipeline, re-validate its structure with nextflow run ... -stub-run.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8"/>
        <w:szCs w:val="18"/>
      </w:rPr>
      <w:t xml:space="preserve">rnaseq-flow</w:t>
    </w:r>
    <w:r>
      <w:rPr>
        <w:color w:val="808080"/>
        <w:sz w:val="18"/>
        <w:szCs w:val="18"/>
      </w:rPr>
      <w:t xml:space="preserve">	User Guide &amp; Output Interpretation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3"/>
      </w:pBd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9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960298f960677f1ea6cc8180492c08754a5374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rnaseq-flow User Guide</dc:title>
  <dc:creator>rnaseq-flow</dc:creator>
  <cp:lastModifiedBy>Un-named</cp:lastModifiedBy>
  <cp:revision>1</cp:revision>
  <dcterms:created xsi:type="dcterms:W3CDTF">2026-07-08T22:39:40.042Z</dcterms:created>
  <dcterms:modified xsi:type="dcterms:W3CDTF">2026-07-08T22:39:40.043Z</dcterms:modified>
</cp:coreProperties>
</file>

<file path=docProps/custom.xml><?xml version="1.0" encoding="utf-8"?>
<Properties xmlns="http://schemas.openxmlformats.org/officeDocument/2006/custom-properties" xmlns:vt="http://schemas.openxmlformats.org/officeDocument/2006/docPropsVTypes"/>
</file>