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C1F38" w14:textId="77777777" w:rsidR="00E24905" w:rsidRDefault="00E24905" w:rsidP="00E24905">
      <w:pPr>
        <w:pStyle w:val="Heading1"/>
      </w:pPr>
      <w:r>
        <w:t xml:space="preserve">Appendix </w:t>
      </w:r>
    </w:p>
    <w:p w14:paraId="15C69BB6" w14:textId="77777777" w:rsidR="00E24905" w:rsidRDefault="00E24905" w:rsidP="00E24905"/>
    <w:p w14:paraId="7F50576D" w14:textId="77777777" w:rsidR="00E24905" w:rsidRDefault="00E24905" w:rsidP="00E24905">
      <w:pPr>
        <w:pStyle w:val="Heading2"/>
        <w:numPr>
          <w:ilvl w:val="0"/>
          <w:numId w:val="1"/>
        </w:numPr>
      </w:pPr>
      <w:r>
        <w:t>Additional Methods</w:t>
      </w:r>
    </w:p>
    <w:p w14:paraId="4836E749" w14:textId="77777777" w:rsidR="00E24905" w:rsidRDefault="00E24905" w:rsidP="00E24905">
      <w:pPr>
        <w:pStyle w:val="Heading3"/>
      </w:pPr>
      <w:r>
        <w:t>Reporting of swab tests taken outside the study</w:t>
      </w:r>
    </w:p>
    <w:p w14:paraId="7D53AA91" w14:textId="77777777" w:rsidR="00E24905" w:rsidRDefault="00E24905" w:rsidP="00E24905"/>
    <w:p w14:paraId="0DC36EB8" w14:textId="77777777" w:rsidR="00E24905" w:rsidRDefault="00E24905" w:rsidP="00E24905">
      <w:pPr>
        <w:spacing w:line="360" w:lineRule="auto"/>
        <w:rPr>
          <w:sz w:val="24"/>
          <w:szCs w:val="24"/>
        </w:rPr>
      </w:pPr>
      <w:r>
        <w:rPr>
          <w:sz w:val="24"/>
          <w:szCs w:val="24"/>
        </w:rPr>
        <w:t xml:space="preserve">Throughout the study, participants reporting symptoms in the previous week were also asked to report the outcome of any NHS COVID-19 swab test for that illness.  From the week commencing 28 September 2020, participants could also report the results of any swab testing in the previous week, regardless of whether they were also reporting symptoms for that week.  This was to ensure that all swab test results could be reported regardless of when the test results arrived or whether the swab was taken asymptomatically.   </w:t>
      </w:r>
    </w:p>
    <w:p w14:paraId="1D7B4E01" w14:textId="77777777" w:rsidR="00E24905" w:rsidRDefault="00E24905" w:rsidP="00E24905"/>
    <w:p w14:paraId="1E6C48F1" w14:textId="77777777" w:rsidR="00E24905" w:rsidRDefault="00E24905" w:rsidP="00E24905">
      <w:pPr>
        <w:pStyle w:val="Heading3"/>
      </w:pPr>
      <w:r>
        <w:t>Tests taken within the study</w:t>
      </w:r>
    </w:p>
    <w:p w14:paraId="3B371174" w14:textId="77777777" w:rsidR="00E24905" w:rsidRDefault="00E24905" w:rsidP="00E24905">
      <w:pPr>
        <w:spacing w:before="240" w:after="240" w:line="360" w:lineRule="auto"/>
        <w:rPr>
          <w:sz w:val="24"/>
          <w:szCs w:val="24"/>
        </w:rPr>
      </w:pPr>
      <w:r>
        <w:rPr>
          <w:sz w:val="24"/>
          <w:szCs w:val="24"/>
        </w:rPr>
        <w:t xml:space="preserve">The laboratory sub-cohort is split into three groups with different swabbing protocols.  In all three groups, participants are asked to provide self-administered swabs on day two of illness if they experience one or more of the trigger symptoms.  Group 1 (7,368 participants) swab for respiratory symptoms, fever or feverishness or loss or change to sense of smell or taste.  Group 2 (1,042 participants) swab for respiratory, </w:t>
      </w:r>
      <w:proofErr w:type="gramStart"/>
      <w:r>
        <w:rPr>
          <w:sz w:val="24"/>
          <w:szCs w:val="24"/>
        </w:rPr>
        <w:t>gastrointestinal</w:t>
      </w:r>
      <w:proofErr w:type="gramEnd"/>
      <w:r>
        <w:rPr>
          <w:sz w:val="24"/>
          <w:szCs w:val="24"/>
        </w:rPr>
        <w:t xml:space="preserve"> or general symptoms of infection including fever or feverishness or loss or change to sense of smell or taste.  Group 3 (2,216 participants) swab for cough, fever or feverishness or loss or change to sense of smell or taste.  In group 3, if any household member experiences a trigger </w:t>
      </w:r>
      <w:proofErr w:type="gramStart"/>
      <w:r>
        <w:rPr>
          <w:sz w:val="24"/>
          <w:szCs w:val="24"/>
        </w:rPr>
        <w:t>symptom</w:t>
      </w:r>
      <w:proofErr w:type="gramEnd"/>
      <w:r>
        <w:rPr>
          <w:sz w:val="24"/>
          <w:szCs w:val="24"/>
        </w:rPr>
        <w:t xml:space="preserve"> then all household contacts are also asked to swab on the same day as the index case regardless of whether they are symptomatic and if any of those swabs are PCR+ then all household members are asked to swab again one and two weeks later irrespective of symptoms. </w:t>
      </w:r>
    </w:p>
    <w:p w14:paraId="4AA5690E" w14:textId="77777777" w:rsidR="00E24905" w:rsidRDefault="00E24905" w:rsidP="00E24905">
      <w:pPr>
        <w:pStyle w:val="Heading3"/>
      </w:pPr>
      <w:r>
        <w:lastRenderedPageBreak/>
        <w:t xml:space="preserve">Matching of illness episodes and test results </w:t>
      </w:r>
    </w:p>
    <w:p w14:paraId="46BC16BA" w14:textId="77777777" w:rsidR="00E24905" w:rsidRDefault="00E24905" w:rsidP="00E24905">
      <w:pPr>
        <w:spacing w:before="240" w:after="240" w:line="360" w:lineRule="auto"/>
        <w:rPr>
          <w:sz w:val="24"/>
          <w:szCs w:val="24"/>
        </w:rPr>
      </w:pPr>
      <w:r>
        <w:rPr>
          <w:sz w:val="24"/>
          <w:szCs w:val="24"/>
        </w:rPr>
        <w:t xml:space="preserve">To differentiate COVID-19 from non-COVID-19 illnesses, we matched illness episodes and self-reported swab test results that were within up to two weeks of each other. Matching was undertaken in a stepwise manner, for both symptomatic swabbing and asymptomatic swabbing, on a week-by-week basis, based on the likely sequence of symptoms and swab positivity. First, swab test results were matched to illnesses occurring in the same week as receipt of the swab result. Following that, any test results that did not link to an illness in the same week, were sequentially matched to illness episodes that had commenced in the following week (+1 week), then finished in the week prior (-1 week), and then finished two weeks prior (-2 weeks). Illnesses commencing 2 weeks after a swab result were not matched as these were considered unlikely to be related. For each round of sequential matching, only test results not yet matched to an illness were used. </w:t>
      </w:r>
    </w:p>
    <w:p w14:paraId="38C0B2D7" w14:textId="77777777" w:rsidR="00E24905" w:rsidRDefault="00E24905" w:rsidP="00E24905">
      <w:pPr>
        <w:spacing w:before="240" w:after="240" w:line="360" w:lineRule="auto"/>
        <w:rPr>
          <w:sz w:val="24"/>
          <w:szCs w:val="24"/>
        </w:rPr>
      </w:pPr>
      <w:r>
        <w:rPr>
          <w:sz w:val="24"/>
          <w:szCs w:val="24"/>
        </w:rPr>
        <w:t xml:space="preserve">Some illness episodes continued for several weeks, and the associated swab test may have been completed any time during the episode, or shortly before or after it. If more than one swab test result matched to an illness episode, any positive swab test result superseded any negative swab test result. Any illness episode matching to a positive swab result was taken to be a confirmed COVID-19 illness. Any illness episode matching to negative swab test results only, was taken to be a non-COVID-19 illness. Illness episodes not matching any swab test results, and swab test results not matching to any illness episodes, were not included in these analyses.  Where an individual had multiple test positive illnesses, we only </w:t>
      </w:r>
      <w:proofErr w:type="spellStart"/>
      <w:r>
        <w:rPr>
          <w:sz w:val="24"/>
          <w:szCs w:val="24"/>
        </w:rPr>
        <w:t>analysed</w:t>
      </w:r>
      <w:proofErr w:type="spellEnd"/>
      <w:r>
        <w:rPr>
          <w:sz w:val="24"/>
          <w:szCs w:val="24"/>
        </w:rPr>
        <w:t xml:space="preserve"> their first test positive illness as it was felt that this was most likely to be the result of long-term virus shedding rather than re-infection.</w:t>
      </w:r>
    </w:p>
    <w:p w14:paraId="5399B0B4" w14:textId="77777777" w:rsidR="00E24905" w:rsidRDefault="00E24905" w:rsidP="00E24905">
      <w:pPr>
        <w:spacing w:before="240" w:after="240" w:line="360" w:lineRule="auto"/>
        <w:rPr>
          <w:sz w:val="24"/>
          <w:szCs w:val="24"/>
        </w:rPr>
      </w:pPr>
    </w:p>
    <w:p w14:paraId="4A1CD7FC" w14:textId="77777777" w:rsidR="00E24905" w:rsidRDefault="00E24905" w:rsidP="00E24905">
      <w:pPr>
        <w:pStyle w:val="Heading3"/>
        <w:spacing w:before="240" w:after="240" w:line="360" w:lineRule="auto"/>
      </w:pPr>
      <w:bookmarkStart w:id="0" w:name="_27wm9bdceo2h" w:colFirst="0" w:colLast="0"/>
      <w:bookmarkEnd w:id="0"/>
      <w:r>
        <w:t>Calculation of test characteristics for clinical case definitions</w:t>
      </w:r>
    </w:p>
    <w:p w14:paraId="4F96BC48" w14:textId="77777777" w:rsidR="00E24905" w:rsidRDefault="00E24905" w:rsidP="00E24905">
      <w:r w:rsidRPr="00AB17C3">
        <w:rPr>
          <w:sz w:val="24"/>
          <w:szCs w:val="24"/>
        </w:rPr>
        <w:t xml:space="preserve">We calculated the diagnostic test characteristics of clinical case definitions and individual symptoms using the formulae from Figure S1.  </w:t>
      </w:r>
      <w:r>
        <w:br w:type="page"/>
      </w:r>
    </w:p>
    <w:p w14:paraId="64C1F8E9" w14:textId="77777777" w:rsidR="00E24905" w:rsidRDefault="00E24905" w:rsidP="00E24905">
      <w:pPr>
        <w:pStyle w:val="Heading2"/>
        <w:numPr>
          <w:ilvl w:val="0"/>
          <w:numId w:val="1"/>
        </w:numPr>
      </w:pPr>
      <w:bookmarkStart w:id="1" w:name="_e071tps8a1qk" w:colFirst="0" w:colLast="0"/>
      <w:bookmarkEnd w:id="1"/>
      <w:r>
        <w:lastRenderedPageBreak/>
        <w:t>Additional Tables and Figures</w:t>
      </w:r>
    </w:p>
    <w:p w14:paraId="0076EBEC" w14:textId="77777777" w:rsidR="00E24905" w:rsidRDefault="00E24905" w:rsidP="00E24905"/>
    <w:p w14:paraId="6D457813" w14:textId="77777777" w:rsidR="00E24905" w:rsidRDefault="00E24905" w:rsidP="00E24905">
      <w:r>
        <w:t xml:space="preserve">Figure S1. Two by two contingency table and equations used to calculate test characteristics of the clinical case definitions compared to swab test results (gold standard). </w:t>
      </w:r>
    </w:p>
    <w:p w14:paraId="1D1C6BB7" w14:textId="77777777" w:rsidR="00E24905" w:rsidRDefault="00E24905" w:rsidP="00E24905"/>
    <w:p w14:paraId="665CFF67" w14:textId="77777777" w:rsidR="00E24905" w:rsidRDefault="00E24905" w:rsidP="00E24905">
      <w:r>
        <w:rPr>
          <w:noProof/>
        </w:rPr>
        <w:drawing>
          <wp:inline distT="114300" distB="114300" distL="114300" distR="114300" wp14:anchorId="49FDACD2" wp14:editId="23DBCC1B">
            <wp:extent cx="5364543" cy="3391891"/>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364543" cy="3391891"/>
                    </a:xfrm>
                    <a:prstGeom prst="rect">
                      <a:avLst/>
                    </a:prstGeom>
                    <a:ln/>
                  </pic:spPr>
                </pic:pic>
              </a:graphicData>
            </a:graphic>
          </wp:inline>
        </w:drawing>
      </w:r>
    </w:p>
    <w:p w14:paraId="18BF0DE7" w14:textId="77777777" w:rsidR="00E24905" w:rsidRDefault="00E24905" w:rsidP="00E24905"/>
    <w:p w14:paraId="74851794" w14:textId="77777777" w:rsidR="00E24905" w:rsidRDefault="00E24905" w:rsidP="00E24905">
      <w:r>
        <w:rPr>
          <w:noProof/>
        </w:rPr>
        <w:drawing>
          <wp:inline distT="114300" distB="114300" distL="114300" distR="114300" wp14:anchorId="4231FD27" wp14:editId="12C996BD">
            <wp:extent cx="5386388" cy="2769374"/>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386388" cy="2769374"/>
                    </a:xfrm>
                    <a:prstGeom prst="rect">
                      <a:avLst/>
                    </a:prstGeom>
                    <a:ln/>
                  </pic:spPr>
                </pic:pic>
              </a:graphicData>
            </a:graphic>
          </wp:inline>
        </w:drawing>
      </w:r>
    </w:p>
    <w:p w14:paraId="30E67F9A" w14:textId="77777777" w:rsidR="00E24905" w:rsidRDefault="00E24905" w:rsidP="00E24905"/>
    <w:p w14:paraId="15BA1416" w14:textId="77777777" w:rsidR="00E24905" w:rsidRDefault="00E24905" w:rsidP="00E24905">
      <w:r>
        <w:br w:type="page"/>
      </w:r>
    </w:p>
    <w:p w14:paraId="1EA13B01" w14:textId="77777777" w:rsidR="00E24905" w:rsidRDefault="00E24905" w:rsidP="00E24905">
      <w:r>
        <w:lastRenderedPageBreak/>
        <w:t>Figure S2. Percent of illnesses with a swab test result by month, overall and by UK COVID-19 Case Definition status</w:t>
      </w:r>
    </w:p>
    <w:p w14:paraId="2A6152E2" w14:textId="77777777" w:rsidR="00E24905" w:rsidRDefault="00E24905" w:rsidP="00E24905"/>
    <w:p w14:paraId="72B56072" w14:textId="77777777" w:rsidR="00E24905" w:rsidRDefault="00E24905" w:rsidP="00E24905">
      <w:r>
        <w:rPr>
          <w:noProof/>
          <w:color w:val="000000"/>
          <w:bdr w:val="none" w:sz="0" w:space="0" w:color="auto" w:frame="1"/>
        </w:rPr>
        <w:drawing>
          <wp:inline distT="0" distB="0" distL="0" distR="0" wp14:anchorId="5AA894C5" wp14:editId="106027AE">
            <wp:extent cx="458152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3341E608" w14:textId="77777777" w:rsidR="00E24905" w:rsidRDefault="00E24905" w:rsidP="00E24905"/>
    <w:p w14:paraId="02229B0D" w14:textId="77777777" w:rsidR="00E24905" w:rsidRDefault="00E24905" w:rsidP="00E24905"/>
    <w:p w14:paraId="04A2E28C" w14:textId="77777777" w:rsidR="00E24905" w:rsidRDefault="00E24905" w:rsidP="00E24905"/>
    <w:p w14:paraId="77D9B767" w14:textId="77777777" w:rsidR="00E24905" w:rsidRDefault="00E24905" w:rsidP="00E24905"/>
    <w:p w14:paraId="765DD122" w14:textId="77777777" w:rsidR="00E24905" w:rsidRDefault="00E24905" w:rsidP="00E24905"/>
    <w:p w14:paraId="082CF779" w14:textId="77777777" w:rsidR="00E24905" w:rsidRDefault="00E24905" w:rsidP="00E24905">
      <w:r>
        <w:t>Figure S3. Ratio of swabbing among illnesses meeting the UK COVID-19 case definition to those not meeting the case definition over time.</w:t>
      </w:r>
    </w:p>
    <w:p w14:paraId="401E82A5" w14:textId="77777777" w:rsidR="00E24905" w:rsidRDefault="00E24905" w:rsidP="00E24905"/>
    <w:p w14:paraId="6D86DBCA" w14:textId="77777777" w:rsidR="00E24905" w:rsidRDefault="00E24905" w:rsidP="00E24905">
      <w:r>
        <w:rPr>
          <w:noProof/>
          <w:color w:val="000000"/>
          <w:bdr w:val="none" w:sz="0" w:space="0" w:color="auto" w:frame="1"/>
        </w:rPr>
        <w:drawing>
          <wp:inline distT="0" distB="0" distL="0" distR="0" wp14:anchorId="53DEF715" wp14:editId="2BB9B54D">
            <wp:extent cx="45815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69AACB24" w14:textId="77777777" w:rsidR="00E24905" w:rsidRDefault="00E24905" w:rsidP="00E24905"/>
    <w:p w14:paraId="58402088" w14:textId="77777777" w:rsidR="00E24905" w:rsidRDefault="00E24905" w:rsidP="00E24905"/>
    <w:p w14:paraId="2F2CF64C" w14:textId="77777777" w:rsidR="00E24905" w:rsidRDefault="00E24905" w:rsidP="00E24905">
      <w:pPr>
        <w:sectPr w:rsidR="00E24905" w:rsidSect="001B30AE">
          <w:pgSz w:w="12240" w:h="15840"/>
          <w:pgMar w:top="1440" w:right="1440" w:bottom="1440" w:left="1440" w:header="720" w:footer="720" w:gutter="0"/>
          <w:cols w:space="720"/>
          <w:docGrid w:linePitch="299"/>
        </w:sectPr>
      </w:pPr>
      <w:r>
        <w:br w:type="page"/>
      </w:r>
    </w:p>
    <w:p w14:paraId="6AF182DF" w14:textId="77777777" w:rsidR="00E24905" w:rsidRDefault="00E24905" w:rsidP="00E24905">
      <w:r>
        <w:lastRenderedPageBreak/>
        <w:t>Table S1.  Details of symptoms and symptom groupings</w:t>
      </w:r>
      <w:r>
        <w:rPr>
          <w:noProof/>
        </w:rPr>
        <w:drawing>
          <wp:inline distT="0" distB="0" distL="0" distR="0" wp14:anchorId="0E6D0831" wp14:editId="07E002A4">
            <wp:extent cx="5391719" cy="8401050"/>
            <wp:effectExtent l="19050" t="19050" r="19050" b="19050"/>
            <wp:docPr id="10"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415709" cy="8438429"/>
                    </a:xfrm>
                    <a:prstGeom prst="rect">
                      <a:avLst/>
                    </a:prstGeom>
                    <a:ln>
                      <a:solidFill>
                        <a:schemeClr val="tx1"/>
                      </a:solidFill>
                    </a:ln>
                  </pic:spPr>
                </pic:pic>
              </a:graphicData>
            </a:graphic>
          </wp:inline>
        </w:drawing>
      </w:r>
    </w:p>
    <w:p w14:paraId="4E3686DE" w14:textId="77777777" w:rsidR="00E24905" w:rsidRDefault="00E24905" w:rsidP="00E24905"/>
    <w:p w14:paraId="1CE0D52E" w14:textId="77777777" w:rsidR="00E24905" w:rsidRDefault="00E24905" w:rsidP="00E24905">
      <w:pPr>
        <w:spacing w:line="360" w:lineRule="auto"/>
      </w:pPr>
      <w:r>
        <w:lastRenderedPageBreak/>
        <w:t>Table S2.  Speed of symptom onset, proportion of all community cases tested, and the test characteristics of each symptom.</w:t>
      </w:r>
    </w:p>
    <w:p w14:paraId="785F1A14" w14:textId="77777777" w:rsidR="00E24905" w:rsidRDefault="00E24905" w:rsidP="00E24905">
      <w:pPr>
        <w:spacing w:line="360" w:lineRule="auto"/>
      </w:pPr>
      <w:r>
        <w:rPr>
          <w:noProof/>
          <w:color w:val="000000"/>
          <w:bdr w:val="none" w:sz="0" w:space="0" w:color="auto" w:frame="1"/>
        </w:rPr>
        <w:drawing>
          <wp:inline distT="0" distB="0" distL="0" distR="0" wp14:anchorId="37D201F4" wp14:editId="0EA1C636">
            <wp:extent cx="4004924" cy="780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4460" cy="7819551"/>
                    </a:xfrm>
                    <a:prstGeom prst="rect">
                      <a:avLst/>
                    </a:prstGeom>
                    <a:noFill/>
                    <a:ln>
                      <a:noFill/>
                    </a:ln>
                  </pic:spPr>
                </pic:pic>
              </a:graphicData>
            </a:graphic>
          </wp:inline>
        </w:drawing>
      </w:r>
      <w:r>
        <w:t xml:space="preserve"> </w:t>
      </w:r>
    </w:p>
    <w:p w14:paraId="73785F55" w14:textId="77777777" w:rsidR="00E24905" w:rsidRDefault="00E24905" w:rsidP="00E24905">
      <w:r>
        <w:br w:type="page"/>
      </w:r>
    </w:p>
    <w:p w14:paraId="6BEE39A3" w14:textId="77777777" w:rsidR="00E24905" w:rsidRDefault="00E24905" w:rsidP="00E24905">
      <w:pPr>
        <w:rPr>
          <w:color w:val="000000"/>
        </w:rPr>
      </w:pPr>
      <w:r>
        <w:lastRenderedPageBreak/>
        <w:t xml:space="preserve">Table S3. </w:t>
      </w:r>
      <w:r>
        <w:rPr>
          <w:color w:val="000000"/>
        </w:rPr>
        <w:t>Severity of symptoms among swab-confirmed COVID-19 and non-COVID-19 (swab-negative) illnesses.</w:t>
      </w:r>
    </w:p>
    <w:p w14:paraId="2D260280" w14:textId="77777777" w:rsidR="00E24905" w:rsidRDefault="00E24905" w:rsidP="00E24905">
      <w:r w:rsidRPr="002077E8">
        <w:rPr>
          <w:noProof/>
        </w:rPr>
        <w:drawing>
          <wp:inline distT="0" distB="0" distL="0" distR="0" wp14:anchorId="6F3DAD8D" wp14:editId="2C37F34F">
            <wp:extent cx="4860889" cy="8181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889" cy="8181975"/>
                    </a:xfrm>
                    <a:prstGeom prst="rect">
                      <a:avLst/>
                    </a:prstGeom>
                    <a:noFill/>
                    <a:ln>
                      <a:noFill/>
                    </a:ln>
                  </pic:spPr>
                </pic:pic>
              </a:graphicData>
            </a:graphic>
          </wp:inline>
        </w:drawing>
      </w:r>
    </w:p>
    <w:p w14:paraId="263AABB6" w14:textId="77777777" w:rsidR="00E24905" w:rsidRDefault="00E24905" w:rsidP="00E24905"/>
    <w:p w14:paraId="33DA3C56" w14:textId="77777777" w:rsidR="00E24905" w:rsidRDefault="00E24905" w:rsidP="00E24905"/>
    <w:p w14:paraId="56497333" w14:textId="77777777" w:rsidR="00E24905" w:rsidRDefault="00E24905" w:rsidP="00E24905"/>
    <w:p w14:paraId="5AD56210" w14:textId="77777777" w:rsidR="00E24905" w:rsidRDefault="00E24905" w:rsidP="00E24905"/>
    <w:p w14:paraId="471FE74A" w14:textId="77777777" w:rsidR="00E24905" w:rsidRDefault="00E24905" w:rsidP="00E24905"/>
    <w:p w14:paraId="2DF8D5CE" w14:textId="77777777" w:rsidR="00E24905" w:rsidRDefault="00E24905" w:rsidP="00E24905">
      <w:r>
        <w:t xml:space="preserve">Table S4. Duration of illness among swab-confirmed COVID-19 illnesses and non-COVID-19 (swab-negative) illnesses, overall and stratified by age group and sex.  </w:t>
      </w:r>
    </w:p>
    <w:p w14:paraId="3E2F0419" w14:textId="77777777" w:rsidR="00E24905" w:rsidRDefault="00E24905" w:rsidP="00E24905"/>
    <w:p w14:paraId="2CBCF8C4" w14:textId="77777777" w:rsidR="00E24905" w:rsidRDefault="00E24905" w:rsidP="00E24905">
      <w:r>
        <w:rPr>
          <w:noProof/>
          <w:color w:val="000000"/>
          <w:bdr w:val="none" w:sz="0" w:space="0" w:color="auto" w:frame="1"/>
        </w:rPr>
        <w:drawing>
          <wp:inline distT="0" distB="0" distL="0" distR="0" wp14:anchorId="797DE58D" wp14:editId="6DDC59D7">
            <wp:extent cx="6495820" cy="44672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3506" cy="4472511"/>
                    </a:xfrm>
                    <a:prstGeom prst="rect">
                      <a:avLst/>
                    </a:prstGeom>
                    <a:noFill/>
                    <a:ln>
                      <a:noFill/>
                    </a:ln>
                  </pic:spPr>
                </pic:pic>
              </a:graphicData>
            </a:graphic>
          </wp:inline>
        </w:drawing>
      </w:r>
    </w:p>
    <w:p w14:paraId="68A04E31" w14:textId="77777777" w:rsidR="00E24905" w:rsidRDefault="00E24905" w:rsidP="00E24905"/>
    <w:p w14:paraId="68E4A995" w14:textId="77777777" w:rsidR="00E24905" w:rsidRDefault="00E24905" w:rsidP="00E24905"/>
    <w:p w14:paraId="274A95AB" w14:textId="77777777" w:rsidR="00E24905" w:rsidRDefault="00E24905" w:rsidP="00E24905"/>
    <w:p w14:paraId="735C811B" w14:textId="77777777" w:rsidR="00E24905" w:rsidRDefault="00E24905" w:rsidP="00E24905"/>
    <w:p w14:paraId="3ED1EDA8" w14:textId="77777777" w:rsidR="00E24905" w:rsidRDefault="00E24905" w:rsidP="00E24905">
      <w:r>
        <w:br w:type="page"/>
      </w:r>
    </w:p>
    <w:p w14:paraId="169721D2" w14:textId="77777777" w:rsidR="00E24905" w:rsidRDefault="00E24905" w:rsidP="00E24905">
      <w:pPr>
        <w:rPr>
          <w:color w:val="000000"/>
        </w:rPr>
      </w:pPr>
      <w:r>
        <w:lastRenderedPageBreak/>
        <w:t xml:space="preserve">Figure S4. </w:t>
      </w:r>
      <w:r>
        <w:rPr>
          <w:color w:val="000000"/>
        </w:rPr>
        <w:t>Distribution of illness duration* by age group among confirmed COVID-19 illnesses</w:t>
      </w:r>
    </w:p>
    <w:p w14:paraId="3EF93C52" w14:textId="77777777" w:rsidR="00E24905" w:rsidRDefault="00E24905" w:rsidP="00E24905">
      <w:r>
        <w:rPr>
          <w:noProof/>
        </w:rPr>
        <w:drawing>
          <wp:inline distT="0" distB="0" distL="0" distR="0" wp14:anchorId="396F849E" wp14:editId="063F7074">
            <wp:extent cx="6200775" cy="451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4514850"/>
                    </a:xfrm>
                    <a:prstGeom prst="rect">
                      <a:avLst/>
                    </a:prstGeom>
                    <a:noFill/>
                    <a:ln>
                      <a:noFill/>
                    </a:ln>
                  </pic:spPr>
                </pic:pic>
              </a:graphicData>
            </a:graphic>
          </wp:inline>
        </w:drawing>
      </w:r>
    </w:p>
    <w:p w14:paraId="7A8BF71E" w14:textId="77777777" w:rsidR="00E24905" w:rsidRDefault="00E24905" w:rsidP="00E24905">
      <w:r>
        <w:t>*Data limited to illnesses with duration &lt;50 days.</w:t>
      </w:r>
    </w:p>
    <w:p w14:paraId="6694383A" w14:textId="77777777" w:rsidR="00E24905" w:rsidRDefault="00E24905" w:rsidP="00E24905"/>
    <w:p w14:paraId="5F3DEC80" w14:textId="77777777" w:rsidR="00E24905" w:rsidRDefault="00E24905" w:rsidP="00E24905"/>
    <w:p w14:paraId="65A6C5C3" w14:textId="77777777" w:rsidR="00E24905" w:rsidRDefault="00E24905" w:rsidP="00E24905"/>
    <w:p w14:paraId="4BD7D039" w14:textId="77777777" w:rsidR="001513B4" w:rsidRDefault="00E24905"/>
    <w:sectPr w:rsidR="001513B4" w:rsidSect="00273CDF">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5143F"/>
    <w:multiLevelType w:val="multilevel"/>
    <w:tmpl w:val="BDDE81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05"/>
    <w:rsid w:val="001D4B21"/>
    <w:rsid w:val="00315E88"/>
    <w:rsid w:val="00776148"/>
    <w:rsid w:val="0079071B"/>
    <w:rsid w:val="00821685"/>
    <w:rsid w:val="00A41105"/>
    <w:rsid w:val="00BF31A6"/>
    <w:rsid w:val="00E24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FC6E"/>
  <w15:chartTrackingRefBased/>
  <w15:docId w15:val="{31FEDE3E-D8EA-4793-90C4-9377B0E0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905"/>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E24905"/>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24905"/>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2490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905"/>
    <w:rPr>
      <w:rFonts w:ascii="Arial" w:eastAsia="Arial" w:hAnsi="Arial" w:cs="Arial"/>
      <w:sz w:val="40"/>
      <w:szCs w:val="40"/>
      <w:lang w:val="en" w:eastAsia="en-GB"/>
    </w:rPr>
  </w:style>
  <w:style w:type="character" w:customStyle="1" w:styleId="Heading2Char">
    <w:name w:val="Heading 2 Char"/>
    <w:basedOn w:val="DefaultParagraphFont"/>
    <w:link w:val="Heading2"/>
    <w:uiPriority w:val="9"/>
    <w:rsid w:val="00E24905"/>
    <w:rPr>
      <w:rFonts w:ascii="Arial" w:eastAsia="Arial" w:hAnsi="Arial" w:cs="Arial"/>
      <w:sz w:val="32"/>
      <w:szCs w:val="32"/>
      <w:lang w:val="en" w:eastAsia="en-GB"/>
    </w:rPr>
  </w:style>
  <w:style w:type="character" w:customStyle="1" w:styleId="Heading3Char">
    <w:name w:val="Heading 3 Char"/>
    <w:basedOn w:val="DefaultParagraphFont"/>
    <w:link w:val="Heading3"/>
    <w:uiPriority w:val="9"/>
    <w:rsid w:val="00E24905"/>
    <w:rPr>
      <w:rFonts w:ascii="Arial" w:eastAsia="Arial" w:hAnsi="Arial" w:cs="Arial"/>
      <w:color w:val="434343"/>
      <w:sz w:val="28"/>
      <w:szCs w:val="28"/>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Fragaszy, Ellen</dc:creator>
  <cp:keywords/>
  <dc:description/>
  <cp:lastModifiedBy>Fragaszy, Ellen</cp:lastModifiedBy>
  <cp:revision>1</cp:revision>
  <dcterms:created xsi:type="dcterms:W3CDTF">2021-07-08T12:08:00Z</dcterms:created>
  <dcterms:modified xsi:type="dcterms:W3CDTF">2021-07-08T12:09:00Z</dcterms:modified>
</cp:coreProperties>
</file>