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D3" w:rsidRDefault="001165A3" w:rsidP="001165A3">
      <w:pPr>
        <w:pStyle w:val="Title"/>
      </w:pPr>
      <w:r>
        <w:t>Results for the STIR Survey 2012</w:t>
      </w:r>
    </w:p>
    <w:p w:rsidR="00FC6ACE" w:rsidRDefault="00FC6ACE" w:rsidP="00FC6ACE">
      <w:proofErr w:type="gramStart"/>
      <w:r>
        <w:t>Summary by Kris Thielemans, Algorithms and Software Consulting Ltd</w:t>
      </w:r>
      <w:r w:rsidR="005B4A0D">
        <w:t>.</w:t>
      </w:r>
      <w:proofErr w:type="gramEnd"/>
    </w:p>
    <w:p w:rsidR="00927DFC" w:rsidRPr="00FC6ACE" w:rsidRDefault="00927DFC" w:rsidP="00FC6ACE">
      <w:r>
        <w:t>This version of the summary corrects a mistake in the analysis of the “interest in new features” question.</w:t>
      </w:r>
      <w:bookmarkStart w:id="0" w:name="_GoBack"/>
      <w:bookmarkEnd w:id="0"/>
    </w:p>
    <w:p w:rsidR="001544DA" w:rsidRPr="001544DA" w:rsidRDefault="001165A3" w:rsidP="001544DA">
      <w:pPr>
        <w:pStyle w:val="Heading1"/>
      </w:pPr>
      <w:r>
        <w:t>Procedure</w:t>
      </w:r>
    </w:p>
    <w:p w:rsidR="00524C47" w:rsidRDefault="00524C47" w:rsidP="00524C47">
      <w:r>
        <w:t>The STIR survey was held between</w:t>
      </w:r>
      <w:r w:rsidR="006E0E34">
        <w:t xml:space="preserve"> </w:t>
      </w:r>
      <w:r>
        <w:t>27 January and 20 Feb</w:t>
      </w:r>
      <w:r w:rsidR="006E0E34">
        <w:t>ruary</w:t>
      </w:r>
      <w:r>
        <w:t xml:space="preserve"> 2012</w:t>
      </w:r>
      <w:r w:rsidR="00F07FD9">
        <w:t>. It was announced on the three</w:t>
      </w:r>
      <w:r>
        <w:t xml:space="preserve"> STIR mailing lists, but also on the </w:t>
      </w:r>
      <w:proofErr w:type="spellStart"/>
      <w:r>
        <w:t>SimSET</w:t>
      </w:r>
      <w:proofErr w:type="spellEnd"/>
      <w:r>
        <w:t xml:space="preserve"> and GATE user lists and </w:t>
      </w:r>
      <w:r w:rsidR="00F07FD9">
        <w:t xml:space="preserve">to </w:t>
      </w:r>
      <w:r>
        <w:t>the members of the PET/MR EU COST action.</w:t>
      </w:r>
    </w:p>
    <w:p w:rsidR="00FC6ACE" w:rsidRPr="00524C47" w:rsidRDefault="00524C47" w:rsidP="00524C47">
      <w:r>
        <w:t xml:space="preserve">The survey was conducted using the </w:t>
      </w:r>
      <w:proofErr w:type="spellStart"/>
      <w:r>
        <w:t>LimeSurvey</w:t>
      </w:r>
      <w:proofErr w:type="spellEnd"/>
      <w:r>
        <w:t xml:space="preserve"> (open-source) software as hosted on the </w:t>
      </w:r>
      <w:proofErr w:type="spellStart"/>
      <w:r>
        <w:t>Sourceforge</w:t>
      </w:r>
      <w:proofErr w:type="spellEnd"/>
      <w:r>
        <w:t xml:space="preserve"> website. The survey was anonymous but users were given an option to add their name at the end </w:t>
      </w:r>
      <w:r w:rsidR="006E0E34">
        <w:t>(</w:t>
      </w:r>
      <w:r w:rsidR="00FC6ACE">
        <w:t>roughly half did</w:t>
      </w:r>
      <w:r w:rsidR="006E0E34">
        <w:t>)</w:t>
      </w:r>
      <w:r>
        <w:t>.</w:t>
      </w:r>
    </w:p>
    <w:p w:rsidR="001165A3" w:rsidRDefault="001165A3" w:rsidP="001165A3">
      <w:pPr>
        <w:pStyle w:val="Heading1"/>
      </w:pPr>
      <w:r>
        <w:t>Participant info</w:t>
      </w:r>
    </w:p>
    <w:p w:rsidR="001165A3" w:rsidRDefault="001165A3" w:rsidP="001165A3">
      <w:r>
        <w:t>There were 49 responses. A few of these said that they were representing others as well. In the final analysis, the</w:t>
      </w:r>
      <w:r w:rsidR="006E0E34">
        <w:t>ir</w:t>
      </w:r>
      <w:r>
        <w:t xml:space="preserve"> responses were duplicated accordingly (after checking if this was </w:t>
      </w:r>
      <w:proofErr w:type="gramStart"/>
      <w:r>
        <w:t>reasonable</w:t>
      </w:r>
      <w:r w:rsidR="008B008F">
        <w:t>,</w:t>
      </w:r>
      <w:proofErr w:type="gramEnd"/>
      <w:r w:rsidR="008B008F">
        <w:t xml:space="preserve"> and adjusting in a few cases after contacting the relevant people if possible</w:t>
      </w:r>
      <w:r>
        <w:t xml:space="preserve">). This brought the </w:t>
      </w:r>
      <w:r w:rsidRPr="00DC60B2">
        <w:rPr>
          <w:b/>
        </w:rPr>
        <w:t>total number of answers to 67</w:t>
      </w:r>
      <w:r>
        <w:t>.</w:t>
      </w:r>
      <w:r w:rsidR="00DC60B2">
        <w:t xml:space="preserve"> As a comparison, </w:t>
      </w:r>
      <w:r w:rsidR="00485415">
        <w:t xml:space="preserve">on 8 March 2012 </w:t>
      </w:r>
      <w:r w:rsidR="00DC60B2">
        <w:t xml:space="preserve">the stir-users mailing list had 242 </w:t>
      </w:r>
      <w:proofErr w:type="gramStart"/>
      <w:r w:rsidR="00DC60B2">
        <w:t>members</w:t>
      </w:r>
      <w:r w:rsidR="00485415">
        <w:t>,</w:t>
      </w:r>
      <w:proofErr w:type="gramEnd"/>
      <w:r w:rsidR="00485415">
        <w:t xml:space="preserve"> the developer’s list had 77 members and the stir-announce list had 208 members</w:t>
      </w:r>
      <w:r w:rsidR="00BC3416">
        <w:rPr>
          <w:rStyle w:val="FootnoteReference"/>
        </w:rPr>
        <w:footnoteReference w:id="1"/>
      </w:r>
      <w:r w:rsidR="00BC3416">
        <w:t>.</w:t>
      </w:r>
    </w:p>
    <w:p w:rsidR="00F07FD9" w:rsidRDefault="00F07FD9" w:rsidP="001165A3">
      <w:r>
        <w:t xml:space="preserve">All answers in this summary are expressed as percentage of responses (i.e. a fraction of 67). </w:t>
      </w:r>
    </w:p>
    <w:p w:rsidR="007730FD" w:rsidRDefault="007730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1079" w:rsidRDefault="000B1F6A" w:rsidP="000B1F6A">
      <w:pPr>
        <w:pStyle w:val="Heading1"/>
      </w:pPr>
      <w:r>
        <w:lastRenderedPageBreak/>
        <w:t>General user information</w:t>
      </w:r>
    </w:p>
    <w:p w:rsidR="007730FD" w:rsidRPr="007730FD" w:rsidRDefault="007730FD" w:rsidP="007730FD"/>
    <w:p w:rsidR="002D0F34" w:rsidRDefault="00E57E19" w:rsidP="001165A3"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BFDF002" wp14:editId="07ED73F1">
            <wp:simplePos x="0" y="0"/>
            <wp:positionH relativeFrom="column">
              <wp:posOffset>171450</wp:posOffset>
            </wp:positionH>
            <wp:positionV relativeFrom="paragraph">
              <wp:posOffset>323215</wp:posOffset>
            </wp:positionV>
            <wp:extent cx="2905125" cy="2638425"/>
            <wp:effectExtent l="0" t="0" r="0" b="0"/>
            <wp:wrapSquare wrapText="bothSides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079" w:rsidRDefault="00114504" w:rsidP="001165A3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0" wp14:anchorId="07FBA5BD" wp14:editId="5C11FEA1">
            <wp:simplePos x="0" y="0"/>
            <wp:positionH relativeFrom="margin">
              <wp:posOffset>381000</wp:posOffset>
            </wp:positionH>
            <wp:positionV relativeFrom="margin">
              <wp:posOffset>3762375</wp:posOffset>
            </wp:positionV>
            <wp:extent cx="4953000" cy="2905125"/>
            <wp:effectExtent l="0" t="0" r="0" b="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D2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D79C68" wp14:editId="3C984415">
            <wp:simplePos x="0" y="0"/>
            <wp:positionH relativeFrom="column">
              <wp:posOffset>3308985</wp:posOffset>
            </wp:positionH>
            <wp:positionV relativeFrom="paragraph">
              <wp:posOffset>-7287260</wp:posOffset>
            </wp:positionV>
            <wp:extent cx="2727960" cy="2529840"/>
            <wp:effectExtent l="0" t="0" r="15240" b="2286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D2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878AEAC" wp14:editId="08D1DC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14675" cy="264795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253" w:rsidRDefault="00384253" w:rsidP="001165A3"/>
    <w:p w:rsidR="001E630F" w:rsidRDefault="001E630F" w:rsidP="001165A3"/>
    <w:p w:rsidR="00114504" w:rsidRDefault="00114504" w:rsidP="001165A3"/>
    <w:p w:rsidR="00114504" w:rsidRDefault="00114504" w:rsidP="001165A3"/>
    <w:p w:rsidR="00114504" w:rsidRDefault="00E57E19"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0" wp14:anchorId="2AE710C1" wp14:editId="7D7A749B">
            <wp:simplePos x="0" y="0"/>
            <wp:positionH relativeFrom="column">
              <wp:posOffset>504825</wp:posOffset>
            </wp:positionH>
            <wp:positionV relativeFrom="margin">
              <wp:posOffset>6743700</wp:posOffset>
            </wp:positionV>
            <wp:extent cx="4467225" cy="2409825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504">
        <w:br w:type="page"/>
      </w:r>
    </w:p>
    <w:p w:rsidR="00A84EAB" w:rsidRDefault="00A84EAB" w:rsidP="001165A3"/>
    <w:p w:rsidR="00F16D8A" w:rsidRDefault="00F16D8A" w:rsidP="001165A3">
      <w:r>
        <w:rPr>
          <w:noProof/>
          <w:lang w:eastAsia="en-GB"/>
        </w:rPr>
        <w:drawing>
          <wp:inline distT="0" distB="0" distL="0" distR="0" wp14:anchorId="010138D8" wp14:editId="26EE63F4">
            <wp:extent cx="5762625" cy="3467100"/>
            <wp:effectExtent l="0" t="0" r="9525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57E19" w:rsidRDefault="00C63A79" w:rsidP="001165A3"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0" wp14:anchorId="1A1F85DF" wp14:editId="465F7542">
            <wp:simplePos x="0" y="0"/>
            <wp:positionH relativeFrom="column">
              <wp:posOffset>-152400</wp:posOffset>
            </wp:positionH>
            <wp:positionV relativeFrom="paragraph">
              <wp:posOffset>-3961765</wp:posOffset>
            </wp:positionV>
            <wp:extent cx="5734050" cy="2714625"/>
            <wp:effectExtent l="0" t="0" r="19050" b="9525"/>
            <wp:wrapTopAndBottom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E19">
        <w:t>Note that ASIM was not listed as a choice in the survey, but was mentioned by some participants as “other”.</w:t>
      </w:r>
    </w:p>
    <w:p w:rsidR="00F16D8A" w:rsidRDefault="00F16D8A" w:rsidP="00F16D8A">
      <w:pPr>
        <w:pStyle w:val="Heading1"/>
      </w:pPr>
      <w:r>
        <w:lastRenderedPageBreak/>
        <w:t>User wish-list questions</w:t>
      </w:r>
    </w:p>
    <w:p w:rsidR="005458F7" w:rsidRDefault="00927DFC" w:rsidP="001165A3">
      <w:r>
        <w:rPr>
          <w:noProof/>
          <w:lang w:eastAsia="en-GB"/>
        </w:rPr>
        <w:drawing>
          <wp:inline distT="0" distB="0" distL="0" distR="0" wp14:anchorId="516C6E08" wp14:editId="1172B5ED">
            <wp:extent cx="5905500" cy="478155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16D8A" w:rsidRDefault="0055572C" w:rsidP="001165A3">
      <w:r>
        <w:t>The above chart was constructed from the responses to the question “</w:t>
      </w:r>
      <w:r w:rsidRPr="0055572C">
        <w:t>What new features would you l</w:t>
      </w:r>
      <w:r>
        <w:t>ike added to STIR?</w:t>
      </w:r>
      <w:proofErr w:type="gramStart"/>
      <w:r w:rsidR="00DF264A">
        <w:t>”</w:t>
      </w:r>
      <w:r>
        <w:t>.</w:t>
      </w:r>
      <w:proofErr w:type="gramEnd"/>
      <w:r>
        <w:t xml:space="preserve"> T</w:t>
      </w:r>
      <w:r w:rsidR="00F16D8A">
        <w:t>he participants were asked to score their interest for every item, choosing between “None”, “Low priority” and “High priority”</w:t>
      </w:r>
      <w:r>
        <w:t>. These were then converted to a numerical score as 0, 50</w:t>
      </w:r>
      <w:proofErr w:type="gramStart"/>
      <w:r>
        <w:t>%  and</w:t>
      </w:r>
      <w:proofErr w:type="gramEnd"/>
      <w:r>
        <w:t xml:space="preserve"> 100% respectively. These scores where then averaged over all users. Therefore, an “interest score” of 100% would mean that all participants rated a topic as “high priority”.</w:t>
      </w:r>
    </w:p>
    <w:p w:rsidR="005458F7" w:rsidRDefault="005458F7" w:rsidP="001165A3"/>
    <w:p w:rsidR="00967BED" w:rsidRDefault="00967BED" w:rsidP="001165A3">
      <w:r>
        <w:rPr>
          <w:noProof/>
          <w:lang w:eastAsia="en-GB"/>
        </w:rPr>
        <w:lastRenderedPageBreak/>
        <w:drawing>
          <wp:inline distT="0" distB="0" distL="0" distR="0" wp14:anchorId="0F9C66B1" wp14:editId="7E1C4A19">
            <wp:extent cx="3307080" cy="2621280"/>
            <wp:effectExtent l="0" t="0" r="26670" b="2667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67BED" w:rsidRDefault="00967BED" w:rsidP="00967BED">
      <w:pPr>
        <w:pStyle w:val="Heading1"/>
      </w:pPr>
      <w:r>
        <w:t>Developer questions</w:t>
      </w:r>
    </w:p>
    <w:p w:rsidR="00967BED" w:rsidRDefault="00967BED" w:rsidP="00967BED">
      <w:r w:rsidRPr="00DF264A">
        <w:rPr>
          <w:b/>
        </w:rPr>
        <w:t>57%</w:t>
      </w:r>
      <w:r>
        <w:t xml:space="preserve"> answered </w:t>
      </w:r>
      <w:proofErr w:type="gramStart"/>
      <w:r>
        <w:t>Yes</w:t>
      </w:r>
      <w:proofErr w:type="gramEnd"/>
      <w:r>
        <w:t xml:space="preserve"> on “</w:t>
      </w:r>
      <w:r w:rsidRPr="00967BED">
        <w:t>Did you develop, or are you considering developing software using the STIR library?</w:t>
      </w:r>
      <w:r>
        <w:t>”</w:t>
      </w:r>
      <w:r w:rsidR="00D50D46">
        <w:t xml:space="preserve"> </w:t>
      </w:r>
      <w:r w:rsidR="00D50D46" w:rsidRPr="00DF264A">
        <w:rPr>
          <w:b/>
        </w:rPr>
        <w:t>42%</w:t>
      </w:r>
      <w:r w:rsidR="00D50D46">
        <w:t xml:space="preserve"> answered Yes on “</w:t>
      </w:r>
      <w:r w:rsidR="00D50D46" w:rsidRPr="00D50D46">
        <w:t>Will you consider distributing this to other STIR users?</w:t>
      </w:r>
      <w:proofErr w:type="gramStart"/>
      <w:r w:rsidR="00D50D46">
        <w:t>”,</w:t>
      </w:r>
      <w:proofErr w:type="gramEnd"/>
      <w:r w:rsidR="00D50D46">
        <w:t xml:space="preserve"> This is </w:t>
      </w:r>
      <w:r w:rsidR="00D50D46" w:rsidRPr="00DF264A">
        <w:rPr>
          <w:b/>
        </w:rPr>
        <w:t>78</w:t>
      </w:r>
      <w:r w:rsidR="00514615" w:rsidRPr="00DF264A">
        <w:rPr>
          <w:b/>
        </w:rPr>
        <w:t>%</w:t>
      </w:r>
      <w:r w:rsidR="00D50D46">
        <w:t xml:space="preserve"> of all </w:t>
      </w:r>
      <w:r w:rsidR="001C0F52">
        <w:t xml:space="preserve">those who </w:t>
      </w:r>
      <w:r w:rsidR="006E0E34">
        <w:t>said Yes on the first question</w:t>
      </w:r>
      <w:r w:rsidR="00D50D46">
        <w:t>.</w:t>
      </w:r>
    </w:p>
    <w:p w:rsidR="00967BED" w:rsidRDefault="00D50D46" w:rsidP="00967BED">
      <w:r>
        <w:rPr>
          <w:noProof/>
          <w:lang w:eastAsia="en-GB"/>
        </w:rPr>
        <w:drawing>
          <wp:inline distT="0" distB="0" distL="0" distR="0" wp14:anchorId="153A3BE4" wp14:editId="1CB98241">
            <wp:extent cx="6172200" cy="32004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52A81" w:rsidRDefault="00352A81" w:rsidP="00967BED">
      <w:r>
        <w:rPr>
          <w:noProof/>
          <w:lang w:eastAsia="en-GB"/>
        </w:rPr>
        <w:lastRenderedPageBreak/>
        <w:drawing>
          <wp:inline distT="0" distB="0" distL="0" distR="0" wp14:anchorId="2362A181" wp14:editId="738FBA5B">
            <wp:extent cx="4572000" cy="3495675"/>
            <wp:effectExtent l="0" t="0" r="19050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52A81" w:rsidRDefault="005C5AB9" w:rsidP="00967BED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C5E834E" wp14:editId="60E03554">
            <wp:simplePos x="0" y="0"/>
            <wp:positionH relativeFrom="column">
              <wp:posOffset>3048000</wp:posOffset>
            </wp:positionH>
            <wp:positionV relativeFrom="paragraph">
              <wp:posOffset>0</wp:posOffset>
            </wp:positionV>
            <wp:extent cx="3048000" cy="3093720"/>
            <wp:effectExtent l="0" t="0" r="19050" b="1143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A81">
        <w:rPr>
          <w:noProof/>
          <w:lang w:eastAsia="en-GB"/>
        </w:rPr>
        <w:drawing>
          <wp:inline distT="0" distB="0" distL="0" distR="0" wp14:anchorId="24712DD3" wp14:editId="24F7AAC1">
            <wp:extent cx="3048000" cy="3093720"/>
            <wp:effectExtent l="0" t="0" r="19050" b="1143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52A81" w:rsidRDefault="00AE0818" w:rsidP="00F07FD9">
      <w:pPr>
        <w:pStyle w:val="Heading1"/>
      </w:pPr>
      <w:r>
        <w:lastRenderedPageBreak/>
        <w:t>Further info on the user base</w:t>
      </w:r>
    </w:p>
    <w:p w:rsidR="00DE4645" w:rsidRDefault="00DE4645" w:rsidP="00967BED">
      <w:r>
        <w:rPr>
          <w:noProof/>
          <w:lang w:eastAsia="en-GB"/>
        </w:rPr>
        <w:drawing>
          <wp:inline distT="0" distB="0" distL="0" distR="0" wp14:anchorId="55F05080" wp14:editId="4D6EDEF9">
            <wp:extent cx="5943600" cy="2057400"/>
            <wp:effectExtent l="0" t="0" r="19050" b="1905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B2EB2" w:rsidRDefault="00AE0818" w:rsidP="00967BED">
      <w:r>
        <w:t>For the above question, note that some participants used more than one platform.</w:t>
      </w:r>
    </w:p>
    <w:p w:rsidR="00AE0818" w:rsidRDefault="009B2EB2" w:rsidP="00967BED">
      <w:r w:rsidRPr="009B2EB2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0282E27B" wp14:editId="72374440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E4645" w:rsidRDefault="00F859D7" w:rsidP="00967BED">
      <w:r>
        <w:rPr>
          <w:noProof/>
          <w:lang w:eastAsia="en-GB"/>
        </w:rPr>
        <w:drawing>
          <wp:inline distT="0" distB="0" distL="0" distR="0" wp14:anchorId="0A463C88" wp14:editId="11790ECC">
            <wp:extent cx="4572000" cy="274320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proofErr w:type="gramStart"/>
      <w:r w:rsidR="00E9521D">
        <w:t>l</w:t>
      </w:r>
      <w:proofErr w:type="gramEnd"/>
    </w:p>
    <w:p w:rsidR="00DE4645" w:rsidRDefault="00E9521D" w:rsidP="00967BED">
      <w:r>
        <w:rPr>
          <w:noProof/>
          <w:lang w:eastAsia="en-GB"/>
        </w:rPr>
        <w:lastRenderedPageBreak/>
        <w:drawing>
          <wp:inline distT="0" distB="0" distL="0" distR="0" wp14:anchorId="20E45D2C" wp14:editId="2268C8CB">
            <wp:extent cx="4572000" cy="27432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proofErr w:type="gramStart"/>
      <w:r>
        <w:t>l</w:t>
      </w:r>
      <w:proofErr w:type="gramEnd"/>
    </w:p>
    <w:p w:rsidR="000F4ABA" w:rsidRDefault="000F4ABA" w:rsidP="00967BED">
      <w:r>
        <w:t>For human PET scanners, the responses were fairly uniform over the big manufacturers (Siemens: 13, GE: 12, Philips: 8)</w:t>
      </w:r>
    </w:p>
    <w:p w:rsidR="00005E36" w:rsidRDefault="00005E36" w:rsidP="00005E36">
      <w:pPr>
        <w:pStyle w:val="Heading1"/>
      </w:pPr>
      <w:r>
        <w:t>Overall rating</w:t>
      </w:r>
    </w:p>
    <w:p w:rsidR="006410BD" w:rsidRDefault="006410BD" w:rsidP="00967BED">
      <w:r>
        <w:rPr>
          <w:noProof/>
          <w:lang w:eastAsia="en-GB"/>
        </w:rPr>
        <w:drawing>
          <wp:inline distT="0" distB="0" distL="0" distR="0" wp14:anchorId="6F841C7F" wp14:editId="2F4D8211">
            <wp:extent cx="2819400" cy="2800350"/>
            <wp:effectExtent l="0" t="0" r="19050" b="1905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proofErr w:type="gramStart"/>
      <w:r>
        <w:t>l</w:t>
      </w:r>
      <w:proofErr w:type="gramEnd"/>
    </w:p>
    <w:p w:rsidR="00005E36" w:rsidRDefault="00005E36" w:rsidP="00967BED">
      <w:r>
        <w:t>Luckily nobody answered “bad” but of course those wouldn’t have filled in the survey.</w:t>
      </w:r>
    </w:p>
    <w:p w:rsidR="00E9521D" w:rsidRDefault="001544DA" w:rsidP="001544DA">
      <w:pPr>
        <w:pStyle w:val="Heading1"/>
      </w:pPr>
      <w:r>
        <w:t>Acknowledgements</w:t>
      </w:r>
    </w:p>
    <w:p w:rsidR="001544DA" w:rsidRPr="001544DA" w:rsidRDefault="001544DA" w:rsidP="001544DA">
      <w:r>
        <w:t>Many thanks to the following people for helping in preparing and testing the survey (listed alphabetically): Brian Elston</w:t>
      </w:r>
      <w:r w:rsidR="002C76FD">
        <w:t xml:space="preserve"> (</w:t>
      </w:r>
      <w:proofErr w:type="spellStart"/>
      <w:r w:rsidR="002C76FD">
        <w:t>Univ</w:t>
      </w:r>
      <w:proofErr w:type="spellEnd"/>
      <w:r w:rsidR="002C76FD">
        <w:t xml:space="preserve"> Washington)</w:t>
      </w:r>
      <w:r>
        <w:t>, Charalampos Tsoumpas</w:t>
      </w:r>
      <w:r w:rsidR="002C76FD">
        <w:t xml:space="preserve"> (King’s College London)</w:t>
      </w:r>
      <w:r>
        <w:t xml:space="preserve">, </w:t>
      </w:r>
      <w:r w:rsidR="00D7760F">
        <w:t>Dávid Völgyes</w:t>
      </w:r>
      <w:r w:rsidR="002C76FD">
        <w:t>(</w:t>
      </w:r>
      <w:proofErr w:type="spellStart"/>
      <w:r w:rsidR="002C76FD">
        <w:t>Univ</w:t>
      </w:r>
      <w:proofErr w:type="spellEnd"/>
      <w:r w:rsidR="002C76FD">
        <w:t xml:space="preserve"> Oslo)</w:t>
      </w:r>
      <w:r>
        <w:t>, Matthew Jacobson</w:t>
      </w:r>
      <w:r w:rsidR="002C76FD">
        <w:t xml:space="preserve"> (</w:t>
      </w:r>
      <w:proofErr w:type="spellStart"/>
      <w:r w:rsidR="002C76FD">
        <w:t>Xoran</w:t>
      </w:r>
      <w:proofErr w:type="spellEnd"/>
      <w:r w:rsidR="002C76FD">
        <w:t xml:space="preserve"> Technologies)</w:t>
      </w:r>
      <w:r>
        <w:t>, Pablo Aguiar</w:t>
      </w:r>
      <w:r w:rsidR="002C76FD">
        <w:tab/>
        <w:t xml:space="preserve"> (</w:t>
      </w:r>
      <w:proofErr w:type="spellStart"/>
      <w:r w:rsidR="002C76FD" w:rsidRPr="002C76FD">
        <w:t>Fundación</w:t>
      </w:r>
      <w:proofErr w:type="spellEnd"/>
      <w:r w:rsidR="002C76FD" w:rsidRPr="002C76FD">
        <w:t xml:space="preserve"> IDICHUS Santiago </w:t>
      </w:r>
      <w:proofErr w:type="spellStart"/>
      <w:r w:rsidR="002C76FD" w:rsidRPr="002C76FD">
        <w:t>Compostela</w:t>
      </w:r>
      <w:proofErr w:type="spellEnd"/>
      <w:r w:rsidR="002C76FD">
        <w:t>)</w:t>
      </w:r>
      <w:r>
        <w:t>, Paul Kinahan</w:t>
      </w:r>
      <w:r w:rsidR="002C76FD">
        <w:t xml:space="preserve"> (</w:t>
      </w:r>
      <w:proofErr w:type="spellStart"/>
      <w:r w:rsidR="002C76FD">
        <w:t>Univ</w:t>
      </w:r>
      <w:proofErr w:type="spellEnd"/>
      <w:r w:rsidR="002C76FD">
        <w:t xml:space="preserve"> Washington)</w:t>
      </w:r>
      <w:r>
        <w:t>, Robert Harrison</w:t>
      </w:r>
      <w:r w:rsidR="002C76FD">
        <w:t xml:space="preserve"> (</w:t>
      </w:r>
      <w:proofErr w:type="spellStart"/>
      <w:r w:rsidR="002C76FD">
        <w:t>Univ</w:t>
      </w:r>
      <w:proofErr w:type="spellEnd"/>
      <w:r w:rsidR="002C76FD">
        <w:t xml:space="preserve"> Washington)</w:t>
      </w:r>
      <w:r>
        <w:t>.</w:t>
      </w:r>
    </w:p>
    <w:sectPr w:rsidR="001544DA" w:rsidRPr="0015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EF" w:rsidRDefault="00E77FEF" w:rsidP="00BC3416">
      <w:pPr>
        <w:spacing w:after="0" w:line="240" w:lineRule="auto"/>
      </w:pPr>
      <w:r>
        <w:separator/>
      </w:r>
    </w:p>
  </w:endnote>
  <w:endnote w:type="continuationSeparator" w:id="0">
    <w:p w:rsidR="00E77FEF" w:rsidRDefault="00E77FEF" w:rsidP="00BC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EF" w:rsidRDefault="00E77FEF" w:rsidP="00BC3416">
      <w:pPr>
        <w:spacing w:after="0" w:line="240" w:lineRule="auto"/>
      </w:pPr>
      <w:r>
        <w:separator/>
      </w:r>
    </w:p>
  </w:footnote>
  <w:footnote w:type="continuationSeparator" w:id="0">
    <w:p w:rsidR="00E77FEF" w:rsidRDefault="00E77FEF" w:rsidP="00BC3416">
      <w:pPr>
        <w:spacing w:after="0" w:line="240" w:lineRule="auto"/>
      </w:pPr>
      <w:r>
        <w:continuationSeparator/>
      </w:r>
    </w:p>
  </w:footnote>
  <w:footnote w:id="1">
    <w:p w:rsidR="00BC3416" w:rsidRDefault="00BC3416">
      <w:pPr>
        <w:pStyle w:val="FootnoteText"/>
      </w:pPr>
      <w:r>
        <w:rPr>
          <w:rStyle w:val="FootnoteReference"/>
        </w:rPr>
        <w:footnoteRef/>
      </w:r>
      <w:r>
        <w:t xml:space="preserve"> The mailman software automatically removes email addresses that bounce back.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3"/>
    <w:rsid w:val="00005E36"/>
    <w:rsid w:val="000737D1"/>
    <w:rsid w:val="000B1F6A"/>
    <w:rsid w:val="000F4ABA"/>
    <w:rsid w:val="000F5D54"/>
    <w:rsid w:val="00114504"/>
    <w:rsid w:val="001165A3"/>
    <w:rsid w:val="001544DA"/>
    <w:rsid w:val="001B6C32"/>
    <w:rsid w:val="001C0F52"/>
    <w:rsid w:val="001E630F"/>
    <w:rsid w:val="002C76FD"/>
    <w:rsid w:val="002D0F34"/>
    <w:rsid w:val="00352A81"/>
    <w:rsid w:val="00373453"/>
    <w:rsid w:val="00384253"/>
    <w:rsid w:val="00485415"/>
    <w:rsid w:val="004F1079"/>
    <w:rsid w:val="00514615"/>
    <w:rsid w:val="00524C47"/>
    <w:rsid w:val="005458F7"/>
    <w:rsid w:val="0055572C"/>
    <w:rsid w:val="005758CC"/>
    <w:rsid w:val="005B4A0D"/>
    <w:rsid w:val="005C5AB9"/>
    <w:rsid w:val="006410BD"/>
    <w:rsid w:val="006E0E34"/>
    <w:rsid w:val="007568D3"/>
    <w:rsid w:val="007730FD"/>
    <w:rsid w:val="00811319"/>
    <w:rsid w:val="008B008F"/>
    <w:rsid w:val="00927DFC"/>
    <w:rsid w:val="009466C6"/>
    <w:rsid w:val="00967BED"/>
    <w:rsid w:val="009762E6"/>
    <w:rsid w:val="009B2EB2"/>
    <w:rsid w:val="00A84EAB"/>
    <w:rsid w:val="00A95AF1"/>
    <w:rsid w:val="00AE0818"/>
    <w:rsid w:val="00B856D8"/>
    <w:rsid w:val="00BC3416"/>
    <w:rsid w:val="00BD4BDF"/>
    <w:rsid w:val="00C005A5"/>
    <w:rsid w:val="00C0073D"/>
    <w:rsid w:val="00C63A79"/>
    <w:rsid w:val="00CC1C29"/>
    <w:rsid w:val="00CE79F8"/>
    <w:rsid w:val="00D50D46"/>
    <w:rsid w:val="00D736A1"/>
    <w:rsid w:val="00D7760F"/>
    <w:rsid w:val="00DC60B2"/>
    <w:rsid w:val="00DE4645"/>
    <w:rsid w:val="00DF264A"/>
    <w:rsid w:val="00E57E19"/>
    <w:rsid w:val="00E77FEF"/>
    <w:rsid w:val="00E9521D"/>
    <w:rsid w:val="00E96DD4"/>
    <w:rsid w:val="00F07FD9"/>
    <w:rsid w:val="00F16D8A"/>
    <w:rsid w:val="00F33D2A"/>
    <w:rsid w:val="00F859D7"/>
    <w:rsid w:val="00FC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6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34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4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4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6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34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34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34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is\Documents\STIR\STIR%20survey%202012\STIR%20survey%20results%20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Location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3"/>
              <c:layout>
                <c:manualLayout>
                  <c:x val="0.31535582442438598"/>
                  <c:y val="0.1061700433513226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Summary!$EE$5:$EE$8</c:f>
              <c:strCache>
                <c:ptCount val="4"/>
                <c:pt idx="0">
                  <c:v>Europe</c:v>
                </c:pt>
                <c:pt idx="1">
                  <c:v>North America</c:v>
                </c:pt>
                <c:pt idx="2">
                  <c:v>Asia</c:v>
                </c:pt>
                <c:pt idx="3">
                  <c:v>Oceania</c:v>
                </c:pt>
              </c:strCache>
            </c:strRef>
          </c:cat>
          <c:val>
            <c:numRef>
              <c:f>Summary!$EF$5:$EF$8</c:f>
              <c:numCache>
                <c:formatCode>0%</c:formatCode>
                <c:ptCount val="4"/>
                <c:pt idx="0">
                  <c:v>0.61194029850746268</c:v>
                </c:pt>
                <c:pt idx="1">
                  <c:v>0.19402985074626866</c:v>
                </c:pt>
                <c:pt idx="2">
                  <c:v>0.17910447761194029</c:v>
                </c:pt>
                <c:pt idx="3">
                  <c:v>1.4925373134328358E-2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What new features did/would you like to add to STIR </a:t>
            </a:r>
            <a:r>
              <a:rPr lang="en-GB" sz="1800" b="0" i="0" u="none" strike="noStrike" baseline="0"/>
              <a:t> </a:t>
            </a:r>
            <a:endParaRPr lang="en-GB" b="0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Summary!$BE$4:$BO$4</c:f>
              <c:strCache>
                <c:ptCount val="11"/>
                <c:pt idx="0">
                  <c:v>integration with scanner simulation packages (SimSET, etc)</c:v>
                </c:pt>
                <c:pt idx="1">
                  <c:v>more documentation</c:v>
                </c:pt>
                <c:pt idx="2">
                  <c:v>GUI</c:v>
                </c:pt>
                <c:pt idx="3">
                  <c:v>non-cylindrical scanners</c:v>
                </c:pt>
                <c:pt idx="4">
                  <c:v>parallel processing (e.g. shared memory, GPU, etc)</c:v>
                </c:pt>
                <c:pt idx="5">
                  <c:v>extending list-mode reconstruction</c:v>
                </c:pt>
                <c:pt idx="6">
                  <c:v>more recent reconstruction algorithms</c:v>
                </c:pt>
                <c:pt idx="7">
                  <c:v>estimation of normalisation factors for a PET scanner</c:v>
                </c:pt>
                <c:pt idx="8">
                  <c:v>TOF data processing and reconstruction</c:v>
                </c:pt>
                <c:pt idx="9">
                  <c:v>SPECT</c:v>
                </c:pt>
                <c:pt idx="10">
                  <c:v>Interface to a scripting language (e.g.  python/matlab/octave/IDL)</c:v>
                </c:pt>
              </c:strCache>
            </c:strRef>
          </c:cat>
          <c:val>
            <c:numRef>
              <c:f>Summary!$BE$5:$BO$5</c:f>
              <c:numCache>
                <c:formatCode>0%</c:formatCode>
                <c:ptCount val="11"/>
                <c:pt idx="0">
                  <c:v>0.41791044776119401</c:v>
                </c:pt>
                <c:pt idx="1">
                  <c:v>0.19402985074626866</c:v>
                </c:pt>
                <c:pt idx="2">
                  <c:v>0.11940298507462686</c:v>
                </c:pt>
                <c:pt idx="3">
                  <c:v>0.11940298507462686</c:v>
                </c:pt>
                <c:pt idx="4">
                  <c:v>0.11940298507462686</c:v>
                </c:pt>
                <c:pt idx="5">
                  <c:v>0.26865671641791045</c:v>
                </c:pt>
                <c:pt idx="6">
                  <c:v>0.17910447761194029</c:v>
                </c:pt>
                <c:pt idx="7">
                  <c:v>0.16417910447761194</c:v>
                </c:pt>
                <c:pt idx="8">
                  <c:v>0.20895522388059701</c:v>
                </c:pt>
                <c:pt idx="9">
                  <c:v>0.23880597014925373</c:v>
                </c:pt>
                <c:pt idx="10">
                  <c:v>0.13432835820895522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933120"/>
        <c:axId val="46934656"/>
      </c:barChart>
      <c:catAx>
        <c:axId val="46933120"/>
        <c:scaling>
          <c:orientation val="minMax"/>
        </c:scaling>
        <c:delete val="0"/>
        <c:axPos val="l"/>
        <c:majorTickMark val="none"/>
        <c:minorTickMark val="none"/>
        <c:tickLblPos val="nextTo"/>
        <c:crossAx val="46934656"/>
        <c:crosses val="autoZero"/>
        <c:auto val="1"/>
        <c:lblAlgn val="ctr"/>
        <c:lblOffset val="100"/>
        <c:noMultiLvlLbl val="0"/>
      </c:catAx>
      <c:valAx>
        <c:axId val="46934656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46933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What would (or will) stop you from contributing?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1.3294619422572179E-2"/>
                  <c:y val="-4.600170210331337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Summary!$BR$4:$BZ$4</c:f>
              <c:strCache>
                <c:ptCount val="9"/>
                <c:pt idx="0">
                  <c:v>My code is not clear/clean enough</c:v>
                </c:pt>
                <c:pt idx="1">
                  <c:v>It's too much hassle</c:v>
                </c:pt>
                <c:pt idx="2">
                  <c:v>I do not own the copyright</c:v>
                </c:pt>
                <c:pt idx="3">
                  <c:v>Nobody else will benefit from my code</c:v>
                </c:pt>
                <c:pt idx="5">
                  <c:v>Commercial reasons</c:v>
                </c:pt>
                <c:pt idx="6">
                  <c:v>I do not know how to contribute</c:v>
                </c:pt>
                <c:pt idx="7">
                  <c:v>My boss tells me not to contribute, or is not interested</c:v>
                </c:pt>
                <c:pt idx="8">
                  <c:v>Other</c:v>
                </c:pt>
              </c:strCache>
            </c:strRef>
          </c:cat>
          <c:val>
            <c:numRef>
              <c:f>Summary!$BR$5:$BZ$5</c:f>
              <c:numCache>
                <c:formatCode>0%</c:formatCode>
                <c:ptCount val="9"/>
                <c:pt idx="0">
                  <c:v>0.43283582089552236</c:v>
                </c:pt>
                <c:pt idx="1">
                  <c:v>7.4626865671641784E-2</c:v>
                </c:pt>
                <c:pt idx="2">
                  <c:v>7.4626865671641784E-2</c:v>
                </c:pt>
                <c:pt idx="3">
                  <c:v>4.4776119402985072E-2</c:v>
                </c:pt>
                <c:pt idx="5">
                  <c:v>5.9701492537313432E-2</c:v>
                </c:pt>
                <c:pt idx="6">
                  <c:v>0.1044776119402985</c:v>
                </c:pt>
                <c:pt idx="7">
                  <c:v>2.9850746268656716E-2</c:v>
                </c:pt>
                <c:pt idx="8">
                  <c:v>0.14925373134328357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What would make your life easier to develop in STIR?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1.6365977690288715E-2"/>
                  <c:y val="-6.698195033313143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0.13618389107611548"/>
                  <c:y val="-3.011282051282051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Summary!$CH$4:$CJ$4</c:f>
              <c:strCache>
                <c:ptCount val="3"/>
                <c:pt idx="0">
                  <c:v>More/better documentation</c:v>
                </c:pt>
                <c:pt idx="1">
                  <c:v>Training</c:v>
                </c:pt>
                <c:pt idx="2">
                  <c:v>Call STIR routines from e.g. matlab/python/IDL</c:v>
                </c:pt>
              </c:strCache>
            </c:strRef>
          </c:cat>
          <c:val>
            <c:numRef>
              <c:f>Summary!$CH$5:$CJ$5</c:f>
              <c:numCache>
                <c:formatCode>0%</c:formatCode>
                <c:ptCount val="3"/>
                <c:pt idx="0">
                  <c:v>0.52238805970149249</c:v>
                </c:pt>
                <c:pt idx="1">
                  <c:v>0.31343283582089554</c:v>
                </c:pt>
                <c:pt idx="2">
                  <c:v>0.41791044776119401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GB" sz="1600" b="1"/>
              <a:t>What license would you be happy to use?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Summary!$CB$4:$CF$4</c:f>
              <c:strCache>
                <c:ptCount val="5"/>
                <c:pt idx="0">
                  <c:v>BSD-style</c:v>
                </c:pt>
                <c:pt idx="1">
                  <c:v>LGPL</c:v>
                </c:pt>
                <c:pt idx="2">
                  <c:v>GPL</c:v>
                </c:pt>
                <c:pt idx="3">
                  <c:v>closed source</c:v>
                </c:pt>
                <c:pt idx="4">
                  <c:v>I do not know</c:v>
                </c:pt>
              </c:strCache>
            </c:strRef>
          </c:cat>
          <c:val>
            <c:numRef>
              <c:f>Summary!$CB$5:$CF$5</c:f>
              <c:numCache>
                <c:formatCode>0%</c:formatCode>
                <c:ptCount val="5"/>
                <c:pt idx="0">
                  <c:v>5.9701492537313432E-2</c:v>
                </c:pt>
                <c:pt idx="1">
                  <c:v>0.20895522388059701</c:v>
                </c:pt>
                <c:pt idx="2">
                  <c:v>0.22388059701492538</c:v>
                </c:pt>
                <c:pt idx="3">
                  <c:v>8.9552238805970144E-2</c:v>
                </c:pt>
                <c:pt idx="4">
                  <c:v>0.16417910447761194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What computing platform are you using for your STIR work?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Summary!$CW$4:$DA$4</c:f>
              <c:strCache>
                <c:ptCount val="5"/>
                <c:pt idx="0">
                  <c:v>Linux</c:v>
                </c:pt>
                <c:pt idx="1">
                  <c:v>MacOSX</c:v>
                </c:pt>
                <c:pt idx="2">
                  <c:v>Other Unix</c:v>
                </c:pt>
                <c:pt idx="3">
                  <c:v>Windows with Unix-type shells (e.g. cygwin, msys, mingw)</c:v>
                </c:pt>
                <c:pt idx="4">
                  <c:v>Windows with "native" compilers (e.g. Visual Studio)</c:v>
                </c:pt>
              </c:strCache>
            </c:strRef>
          </c:cat>
          <c:val>
            <c:numRef>
              <c:f>Summary!$CW$5:$DA$5</c:f>
              <c:numCache>
                <c:formatCode>0%</c:formatCode>
                <c:ptCount val="5"/>
                <c:pt idx="0">
                  <c:v>0.88059701492537312</c:v>
                </c:pt>
                <c:pt idx="1">
                  <c:v>0.2537313432835821</c:v>
                </c:pt>
                <c:pt idx="2">
                  <c:v>2.9850746268656716E-2</c:v>
                </c:pt>
                <c:pt idx="3">
                  <c:v>0.20895522388059701</c:v>
                </c:pt>
                <c:pt idx="4">
                  <c:v>7.4626865671641784E-2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601152"/>
        <c:axId val="47602688"/>
      </c:barChart>
      <c:catAx>
        <c:axId val="47601152"/>
        <c:scaling>
          <c:orientation val="minMax"/>
        </c:scaling>
        <c:delete val="0"/>
        <c:axPos val="l"/>
        <c:majorTickMark val="none"/>
        <c:minorTickMark val="none"/>
        <c:tickLblPos val="nextTo"/>
        <c:crossAx val="47602688"/>
        <c:crosses val="autoZero"/>
        <c:auto val="1"/>
        <c:lblAlgn val="ctr"/>
        <c:lblOffset val="100"/>
        <c:noMultiLvlLbl val="0"/>
      </c:catAx>
      <c:valAx>
        <c:axId val="47602688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47601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Experience </a:t>
            </a:r>
            <a:endParaRPr lang="en-GB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strRef>
              <c:f>Summary!$CN$6</c:f>
              <c:strCache>
                <c:ptCount val="1"/>
                <c:pt idx="0">
                  <c:v>novice</c:v>
                </c:pt>
              </c:strCache>
            </c:strRef>
          </c:tx>
          <c:invertIfNegative val="0"/>
          <c:cat>
            <c:strRef>
              <c:f>Summary!$CO$4:$CU$4</c:f>
              <c:strCache>
                <c:ptCount val="7"/>
                <c:pt idx="0">
                  <c:v>Cuda</c:v>
                </c:pt>
                <c:pt idx="1">
                  <c:v>OpenCL</c:v>
                </c:pt>
                <c:pt idx="2">
                  <c:v>GPGPU</c:v>
                </c:pt>
                <c:pt idx="3">
                  <c:v>MPI</c:v>
                </c:pt>
                <c:pt idx="4">
                  <c:v>OpenMP</c:v>
                </c:pt>
                <c:pt idx="5">
                  <c:v>other threading libraries (e.g. boost.Thread)</c:v>
                </c:pt>
                <c:pt idx="6">
                  <c:v>Profiling</c:v>
                </c:pt>
              </c:strCache>
            </c:strRef>
          </c:cat>
          <c:val>
            <c:numRef>
              <c:f>Summary!$CO$6:$CU$6</c:f>
              <c:numCache>
                <c:formatCode>0%</c:formatCode>
                <c:ptCount val="7"/>
                <c:pt idx="0">
                  <c:v>8.9552238805970144E-2</c:v>
                </c:pt>
                <c:pt idx="1">
                  <c:v>8.9552238805970144E-2</c:v>
                </c:pt>
                <c:pt idx="2">
                  <c:v>5.9701492537313432E-2</c:v>
                </c:pt>
                <c:pt idx="3">
                  <c:v>0.17910447761194029</c:v>
                </c:pt>
                <c:pt idx="4">
                  <c:v>0.19402985074626866</c:v>
                </c:pt>
                <c:pt idx="5">
                  <c:v>8.9552238805970144E-2</c:v>
                </c:pt>
                <c:pt idx="6">
                  <c:v>0.11940298507462686</c:v>
                </c:pt>
              </c:numCache>
            </c:numRef>
          </c:val>
        </c:ser>
        <c:ser>
          <c:idx val="2"/>
          <c:order val="1"/>
          <c:tx>
            <c:strRef>
              <c:f>Summary!$CN$7</c:f>
              <c:strCache>
                <c:ptCount val="1"/>
                <c:pt idx="0">
                  <c:v>intermediate</c:v>
                </c:pt>
              </c:strCache>
            </c:strRef>
          </c:tx>
          <c:invertIfNegative val="0"/>
          <c:cat>
            <c:strRef>
              <c:f>Summary!$CO$4:$CU$4</c:f>
              <c:strCache>
                <c:ptCount val="7"/>
                <c:pt idx="0">
                  <c:v>Cuda</c:v>
                </c:pt>
                <c:pt idx="1">
                  <c:v>OpenCL</c:v>
                </c:pt>
                <c:pt idx="2">
                  <c:v>GPGPU</c:v>
                </c:pt>
                <c:pt idx="3">
                  <c:v>MPI</c:v>
                </c:pt>
                <c:pt idx="4">
                  <c:v>OpenMP</c:v>
                </c:pt>
                <c:pt idx="5">
                  <c:v>other threading libraries (e.g. boost.Thread)</c:v>
                </c:pt>
                <c:pt idx="6">
                  <c:v>Profiling</c:v>
                </c:pt>
              </c:strCache>
            </c:strRef>
          </c:cat>
          <c:val>
            <c:numRef>
              <c:f>Summary!$CO$7:$CU$7</c:f>
              <c:numCache>
                <c:formatCode>0%</c:formatCode>
                <c:ptCount val="7"/>
                <c:pt idx="0">
                  <c:v>4.4776119402985072E-2</c:v>
                </c:pt>
                <c:pt idx="1">
                  <c:v>1.4925373134328358E-2</c:v>
                </c:pt>
                <c:pt idx="2">
                  <c:v>2.9850746268656716E-2</c:v>
                </c:pt>
                <c:pt idx="3">
                  <c:v>2.9850746268656716E-2</c:v>
                </c:pt>
                <c:pt idx="4">
                  <c:v>0.1044776119402985</c:v>
                </c:pt>
                <c:pt idx="5">
                  <c:v>2.9850746268656716E-2</c:v>
                </c:pt>
                <c:pt idx="6">
                  <c:v>5.9701492537313432E-2</c:v>
                </c:pt>
              </c:numCache>
            </c:numRef>
          </c:val>
        </c:ser>
        <c:ser>
          <c:idx val="3"/>
          <c:order val="2"/>
          <c:tx>
            <c:strRef>
              <c:f>Summary!$CN$8</c:f>
              <c:strCache>
                <c:ptCount val="1"/>
                <c:pt idx="0">
                  <c:v>expert</c:v>
                </c:pt>
              </c:strCache>
            </c:strRef>
          </c:tx>
          <c:invertIfNegative val="0"/>
          <c:cat>
            <c:strRef>
              <c:f>Summary!$CO$4:$CU$4</c:f>
              <c:strCache>
                <c:ptCount val="7"/>
                <c:pt idx="0">
                  <c:v>Cuda</c:v>
                </c:pt>
                <c:pt idx="1">
                  <c:v>OpenCL</c:v>
                </c:pt>
                <c:pt idx="2">
                  <c:v>GPGPU</c:v>
                </c:pt>
                <c:pt idx="3">
                  <c:v>MPI</c:v>
                </c:pt>
                <c:pt idx="4">
                  <c:v>OpenMP</c:v>
                </c:pt>
                <c:pt idx="5">
                  <c:v>other threading libraries (e.g. boost.Thread)</c:v>
                </c:pt>
                <c:pt idx="6">
                  <c:v>Profiling</c:v>
                </c:pt>
              </c:strCache>
            </c:strRef>
          </c:cat>
          <c:val>
            <c:numRef>
              <c:f>Summary!$CO$8:$CU$8</c:f>
              <c:numCache>
                <c:formatCode>0%</c:formatCode>
                <c:ptCount val="7"/>
                <c:pt idx="0">
                  <c:v>1.4925373134328358E-2</c:v>
                </c:pt>
                <c:pt idx="1">
                  <c:v>4.4776119402985072E-2</c:v>
                </c:pt>
                <c:pt idx="2">
                  <c:v>1.4925373134328358E-2</c:v>
                </c:pt>
                <c:pt idx="3">
                  <c:v>1.4925373134328358E-2</c:v>
                </c:pt>
                <c:pt idx="4">
                  <c:v>0</c:v>
                </c:pt>
                <c:pt idx="5">
                  <c:v>5.9701492537313432E-2</c:v>
                </c:pt>
                <c:pt idx="6">
                  <c:v>1.4925373134328358E-2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37408"/>
        <c:axId val="100738944"/>
      </c:barChart>
      <c:catAx>
        <c:axId val="100737408"/>
        <c:scaling>
          <c:orientation val="minMax"/>
        </c:scaling>
        <c:delete val="0"/>
        <c:axPos val="l"/>
        <c:majorTickMark val="none"/>
        <c:minorTickMark val="none"/>
        <c:tickLblPos val="nextTo"/>
        <c:crossAx val="100738944"/>
        <c:crosses val="autoZero"/>
        <c:auto val="1"/>
        <c:lblAlgn val="ctr"/>
        <c:lblOffset val="100"/>
        <c:noMultiLvlLbl val="0"/>
      </c:catAx>
      <c:valAx>
        <c:axId val="100738944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00737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b="0"/>
              <a:t>Programming</a:t>
            </a:r>
            <a:r>
              <a:rPr lang="en-GB" b="0" baseline="0"/>
              <a:t> language familiarity</a:t>
            </a:r>
            <a:endParaRPr lang="en-GB" b="0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Summary!$DD$4:$DI$4</c:f>
              <c:strCache>
                <c:ptCount val="6"/>
                <c:pt idx="0">
                  <c:v>C</c:v>
                </c:pt>
                <c:pt idx="1">
                  <c:v>C++</c:v>
                </c:pt>
                <c:pt idx="2">
                  <c:v>Fortran</c:v>
                </c:pt>
                <c:pt idx="3">
                  <c:v>Python</c:v>
                </c:pt>
                <c:pt idx="4">
                  <c:v>Matlab/Octave/FreeMAT</c:v>
                </c:pt>
                <c:pt idx="5">
                  <c:v>Other</c:v>
                </c:pt>
              </c:strCache>
            </c:strRef>
          </c:cat>
          <c:val>
            <c:numRef>
              <c:f>Summary!$DD$5:$DI$5</c:f>
              <c:numCache>
                <c:formatCode>0%</c:formatCode>
                <c:ptCount val="6"/>
                <c:pt idx="0">
                  <c:v>0.67164179104477617</c:v>
                </c:pt>
                <c:pt idx="1">
                  <c:v>0.68656716417910446</c:v>
                </c:pt>
                <c:pt idx="2">
                  <c:v>0.22388059701492538</c:v>
                </c:pt>
                <c:pt idx="3">
                  <c:v>0.22388059701492538</c:v>
                </c:pt>
                <c:pt idx="4">
                  <c:v>0.64179104477611937</c:v>
                </c:pt>
                <c:pt idx="5">
                  <c:v>0.11940298507462688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71328"/>
        <c:axId val="100772864"/>
      </c:barChart>
      <c:catAx>
        <c:axId val="100771328"/>
        <c:scaling>
          <c:orientation val="minMax"/>
        </c:scaling>
        <c:delete val="0"/>
        <c:axPos val="l"/>
        <c:majorTickMark val="none"/>
        <c:minorTickMark val="none"/>
        <c:tickLblPos val="nextTo"/>
        <c:crossAx val="100772864"/>
        <c:crosses val="autoZero"/>
        <c:auto val="1"/>
        <c:lblAlgn val="ctr"/>
        <c:lblOffset val="100"/>
        <c:noMultiLvlLbl val="0"/>
      </c:catAx>
      <c:valAx>
        <c:axId val="100772864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0077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What kind of devices would you like to use STIR for?</a:t>
            </a:r>
            <a:endParaRPr lang="en-GB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Summary!$DK$4:$DW$4</c:f>
              <c:strCache>
                <c:ptCount val="13"/>
                <c:pt idx="0">
                  <c:v>Preclinical PET (optionally with SPECT, CT or MR)</c:v>
                </c:pt>
                <c:pt idx="2">
                  <c:v>Human PET (optionally with CT or MR)</c:v>
                </c:pt>
                <c:pt idx="4">
                  <c:v>Preclinical SPECT (optionally with CT or MR)</c:v>
                </c:pt>
                <c:pt idx="6">
                  <c:v>Human SPECT (optionally with CT)</c:v>
                </c:pt>
                <c:pt idx="8">
                  <c:v>Preclinical CT</c:v>
                </c:pt>
                <c:pt idx="10">
                  <c:v>Human CT</c:v>
                </c:pt>
                <c:pt idx="12">
                  <c:v>Preclinical Optical</c:v>
                </c:pt>
              </c:strCache>
            </c:strRef>
          </c:cat>
          <c:val>
            <c:numRef>
              <c:f>Summary!$DK$5:$DW$5</c:f>
              <c:numCache>
                <c:formatCode>General</c:formatCode>
                <c:ptCount val="13"/>
                <c:pt idx="0" formatCode="0%">
                  <c:v>0.58208955223880599</c:v>
                </c:pt>
                <c:pt idx="2" formatCode="0%">
                  <c:v>0.58208955223880599</c:v>
                </c:pt>
                <c:pt idx="4" formatCode="0%">
                  <c:v>0.16417910447761194</c:v>
                </c:pt>
                <c:pt idx="6" formatCode="0%">
                  <c:v>0.14925373134328357</c:v>
                </c:pt>
                <c:pt idx="8" formatCode="0%">
                  <c:v>8.9552238805970144E-2</c:v>
                </c:pt>
                <c:pt idx="10" formatCode="0%">
                  <c:v>0.11940298507462686</c:v>
                </c:pt>
                <c:pt idx="12" formatCode="0%">
                  <c:v>1.4925373134328358E-2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797056"/>
        <c:axId val="100807040"/>
      </c:barChart>
      <c:catAx>
        <c:axId val="100797056"/>
        <c:scaling>
          <c:orientation val="minMax"/>
        </c:scaling>
        <c:delete val="0"/>
        <c:axPos val="l"/>
        <c:majorTickMark val="none"/>
        <c:minorTickMark val="none"/>
        <c:tickLblPos val="nextTo"/>
        <c:crossAx val="100807040"/>
        <c:crosses val="autoZero"/>
        <c:auto val="1"/>
        <c:lblAlgn val="ctr"/>
        <c:lblOffset val="100"/>
        <c:noMultiLvlLbl val="0"/>
      </c:catAx>
      <c:valAx>
        <c:axId val="100807040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00797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How would you rate STIR overall? 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Summary!$EI$5:$EI$7</c:f>
              <c:strCache>
                <c:ptCount val="3"/>
                <c:pt idx="0">
                  <c:v>excellent</c:v>
                </c:pt>
                <c:pt idx="1">
                  <c:v>good</c:v>
                </c:pt>
                <c:pt idx="2">
                  <c:v>ok</c:v>
                </c:pt>
              </c:strCache>
            </c:strRef>
          </c:cat>
          <c:val>
            <c:numRef>
              <c:f>Summary!$EJ$5:$EJ$7</c:f>
              <c:numCache>
                <c:formatCode>0%</c:formatCode>
                <c:ptCount val="3"/>
                <c:pt idx="0">
                  <c:v>0.19402985074626866</c:v>
                </c:pt>
                <c:pt idx="1">
                  <c:v>0.41791044776119401</c:v>
                </c:pt>
                <c:pt idx="2">
                  <c:v>0.23880597014925373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How long do you plan to use STIR?  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layout>
        <c:manualLayout>
          <c:xMode val="edge"/>
          <c:yMode val="edge"/>
          <c:x val="0.16662327209098862"/>
          <c:y val="0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2.6206999125109362E-2"/>
                  <c:y val="5.923034800506051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3"/>
              <c:layout>
                <c:manualLayout>
                  <c:x val="-9.7587489063867022E-2"/>
                  <c:y val="8.054772223239536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Summary!$G$5:$G$8</c:f>
              <c:strCache>
                <c:ptCount val="4"/>
                <c:pt idx="0">
                  <c:v>No answer</c:v>
                </c:pt>
                <c:pt idx="1">
                  <c:v>Short</c:v>
                </c:pt>
                <c:pt idx="2">
                  <c:v>Long</c:v>
                </c:pt>
                <c:pt idx="3">
                  <c:v>Forever</c:v>
                </c:pt>
              </c:strCache>
            </c:strRef>
          </c:cat>
          <c:val>
            <c:numRef>
              <c:f>Summary!$H$5:$H$8</c:f>
              <c:numCache>
                <c:formatCode>General</c:formatCode>
                <c:ptCount val="4"/>
                <c:pt idx="0">
                  <c:v>8</c:v>
                </c:pt>
                <c:pt idx="1">
                  <c:v>11</c:v>
                </c:pt>
                <c:pt idx="2">
                  <c:v>42</c:v>
                </c:pt>
                <c:pt idx="3">
                  <c:v>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Location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Summary!$EE$5:$EE$8</c:f>
              <c:strCache>
                <c:ptCount val="4"/>
                <c:pt idx="0">
                  <c:v>Europe</c:v>
                </c:pt>
                <c:pt idx="1">
                  <c:v>North America</c:v>
                </c:pt>
                <c:pt idx="2">
                  <c:v>Asia</c:v>
                </c:pt>
                <c:pt idx="3">
                  <c:v>Oceania</c:v>
                </c:pt>
              </c:strCache>
            </c:strRef>
          </c:cat>
          <c:val>
            <c:numRef>
              <c:f>Summary!$EF$5:$EF$8</c:f>
              <c:numCache>
                <c:formatCode>0%</c:formatCode>
                <c:ptCount val="4"/>
                <c:pt idx="0">
                  <c:v>0.61194029850746268</c:v>
                </c:pt>
                <c:pt idx="1">
                  <c:v>0.19402985074626866</c:v>
                </c:pt>
                <c:pt idx="2">
                  <c:v>0.17910447761194029</c:v>
                </c:pt>
                <c:pt idx="3">
                  <c:v>1.4925373134328358E-2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b="0"/>
              <a:t>Main</a:t>
            </a:r>
            <a:r>
              <a:rPr lang="en-GB" b="0" baseline="0"/>
              <a:t> position</a:t>
            </a:r>
            <a:endParaRPr lang="en-GB" b="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-5.5915946286530698E-3"/>
                  <c:y val="-1.464906814705715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Summary!$EB$5:$EB$10</c:f>
              <c:strCache>
                <c:ptCount val="6"/>
                <c:pt idx="0">
                  <c:v>academic staff</c:v>
                </c:pt>
                <c:pt idx="1">
                  <c:v>postdoc</c:v>
                </c:pt>
                <c:pt idx="2">
                  <c:v>PhD student</c:v>
                </c:pt>
                <c:pt idx="3">
                  <c:v>master student</c:v>
                </c:pt>
                <c:pt idx="4">
                  <c:v>industrial</c:v>
                </c:pt>
                <c:pt idx="5">
                  <c:v>Other</c:v>
                </c:pt>
              </c:strCache>
            </c:strRef>
          </c:cat>
          <c:val>
            <c:numRef>
              <c:f>Summary!$EC$5:$EC$10</c:f>
              <c:numCache>
                <c:formatCode>0%</c:formatCode>
                <c:ptCount val="6"/>
                <c:pt idx="0">
                  <c:v>0.38805970149253732</c:v>
                </c:pt>
                <c:pt idx="1">
                  <c:v>8.9552238805970144E-2</c:v>
                </c:pt>
                <c:pt idx="2">
                  <c:v>0.26865671641791045</c:v>
                </c:pt>
                <c:pt idx="3">
                  <c:v>0</c:v>
                </c:pt>
                <c:pt idx="4">
                  <c:v>5.9701492537313432E-2</c:v>
                </c:pt>
                <c:pt idx="5">
                  <c:v>8.9552238805970144E-2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Number of years</a:t>
            </a:r>
            <a:r>
              <a:rPr lang="en-GB" baseline="0"/>
              <a:t> that you used STIR</a:t>
            </a:r>
            <a:endParaRPr lang="en-GB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Summary!$E$12:$E$26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</c:numCache>
            </c:numRef>
          </c:xVal>
          <c:yVal>
            <c:numRef>
              <c:f>Summary!$F$12:$F$26</c:f>
              <c:numCache>
                <c:formatCode>0.00%</c:formatCode>
                <c:ptCount val="15"/>
                <c:pt idx="0">
                  <c:v>0.11940298507462686</c:v>
                </c:pt>
                <c:pt idx="1">
                  <c:v>0.34328358208955223</c:v>
                </c:pt>
                <c:pt idx="2">
                  <c:v>0.14925373134328357</c:v>
                </c:pt>
                <c:pt idx="3">
                  <c:v>0.13432835820895522</c:v>
                </c:pt>
                <c:pt idx="4">
                  <c:v>1.4925373134328358E-2</c:v>
                </c:pt>
                <c:pt idx="5">
                  <c:v>2.9850746268656716E-2</c:v>
                </c:pt>
                <c:pt idx="6">
                  <c:v>0.11940298507462686</c:v>
                </c:pt>
                <c:pt idx="7">
                  <c:v>0</c:v>
                </c:pt>
                <c:pt idx="8">
                  <c:v>2.9850746268656716E-2</c:v>
                </c:pt>
                <c:pt idx="9">
                  <c:v>0</c:v>
                </c:pt>
                <c:pt idx="10">
                  <c:v>2.9850746268656716E-2</c:v>
                </c:pt>
                <c:pt idx="11">
                  <c:v>0</c:v>
                </c:pt>
                <c:pt idx="12">
                  <c:v>1.4925373134328358E-2</c:v>
                </c:pt>
                <c:pt idx="13">
                  <c:v>0</c:v>
                </c:pt>
                <c:pt idx="14">
                  <c:v>1.4925373134328358E-2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486528"/>
        <c:axId val="100500992"/>
      </c:scatterChart>
      <c:valAx>
        <c:axId val="100486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years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0500992"/>
        <c:crosses val="autoZero"/>
        <c:crossBetween val="midCat"/>
      </c:valAx>
      <c:valAx>
        <c:axId val="100500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Perdent Users</a:t>
                </a:r>
              </a:p>
              <a:p>
                <a:pPr>
                  <a:defRPr/>
                </a:pPr>
                <a:endParaRPr lang="en-GB"/>
              </a:p>
            </c:rich>
          </c:tx>
          <c:overlay val="0"/>
        </c:title>
        <c:numFmt formatCode="0%" sourceLinked="0"/>
        <c:majorTickMark val="none"/>
        <c:minorTickMark val="none"/>
        <c:tickLblPos val="nextTo"/>
        <c:crossAx val="100486528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b="0"/>
              <a:t>Simulation</a:t>
            </a:r>
            <a:r>
              <a:rPr lang="en-GB" b="0" baseline="0"/>
              <a:t> package used</a:t>
            </a:r>
            <a:endParaRPr lang="en-GB" b="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dLbl>
              <c:idx val="8"/>
              <c:layout>
                <c:manualLayout>
                  <c:x val="3.8247847118283766E-2"/>
                  <c:y val="1.693720977185544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Summary!$AK$4:$AS$4</c:f>
              <c:strCache>
                <c:ptCount val="9"/>
                <c:pt idx="0">
                  <c:v>SimSET</c:v>
                </c:pt>
                <c:pt idx="1">
                  <c:v>GATE</c:v>
                </c:pt>
                <c:pt idx="2">
                  <c:v>Simind</c:v>
                </c:pt>
                <c:pt idx="3">
                  <c:v>PeneloPET</c:v>
                </c:pt>
                <c:pt idx="4">
                  <c:v>SORTEO</c:v>
                </c:pt>
                <c:pt idx="5">
                  <c:v>ASIM</c:v>
                </c:pt>
                <c:pt idx="6">
                  <c:v>EGS4</c:v>
                </c:pt>
                <c:pt idx="7">
                  <c:v>Own</c:v>
                </c:pt>
                <c:pt idx="8">
                  <c:v>None</c:v>
                </c:pt>
              </c:strCache>
            </c:strRef>
          </c:cat>
          <c:val>
            <c:numRef>
              <c:f>Summary!$AK$5:$AS$5</c:f>
              <c:numCache>
                <c:formatCode>0%</c:formatCode>
                <c:ptCount val="9"/>
                <c:pt idx="0">
                  <c:v>0.38805970149253732</c:v>
                </c:pt>
                <c:pt idx="1">
                  <c:v>0.67164179104477617</c:v>
                </c:pt>
                <c:pt idx="2">
                  <c:v>0.16417910447761194</c:v>
                </c:pt>
                <c:pt idx="3">
                  <c:v>1.4925373134328358E-2</c:v>
                </c:pt>
                <c:pt idx="4">
                  <c:v>2.9850746268656716E-2</c:v>
                </c:pt>
                <c:pt idx="5">
                  <c:v>4.4776119402985072E-2</c:v>
                </c:pt>
                <c:pt idx="6">
                  <c:v>1.4925373134328358E-2</c:v>
                </c:pt>
                <c:pt idx="7">
                  <c:v>1.4925373134328358E-2</c:v>
                </c:pt>
                <c:pt idx="8">
                  <c:v>2.9850746268656716E-2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b="0"/>
              <a:t>Which</a:t>
            </a:r>
            <a:r>
              <a:rPr lang="en-GB" b="0" baseline="0"/>
              <a:t> purpose do you use STIR for?</a:t>
            </a:r>
            <a:endParaRPr lang="en-GB" b="0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'Individual responses'!$I$2:$P$2</c:f>
              <c:strCache>
                <c:ptCount val="8"/>
                <c:pt idx="0">
                  <c:v>research on image reconstruction</c:v>
                </c:pt>
                <c:pt idx="1">
                  <c:v>research on precorrection methods (e.g. scatter)</c:v>
                </c:pt>
                <c:pt idx="2">
                  <c:v>research on scanner systems</c:v>
                </c:pt>
                <c:pt idx="3">
                  <c:v>comparison to other software</c:v>
                </c:pt>
                <c:pt idx="4">
                  <c:v>research on dynamic data processing</c:v>
                </c:pt>
                <c:pt idx="5">
                  <c:v>research on movement correction</c:v>
                </c:pt>
                <c:pt idx="6">
                  <c:v>clinical research</c:v>
                </c:pt>
                <c:pt idx="7">
                  <c:v>pre-clinical research</c:v>
                </c:pt>
              </c:strCache>
            </c:strRef>
          </c:cat>
          <c:val>
            <c:numRef>
              <c:f>Summary!$I$5:$P$5</c:f>
              <c:numCache>
                <c:formatCode>0%</c:formatCode>
                <c:ptCount val="8"/>
                <c:pt idx="0">
                  <c:v>0.71641791044776115</c:v>
                </c:pt>
                <c:pt idx="1">
                  <c:v>0.47761194029850745</c:v>
                </c:pt>
                <c:pt idx="2">
                  <c:v>0.61194029850746268</c:v>
                </c:pt>
                <c:pt idx="3">
                  <c:v>0.31343283582089554</c:v>
                </c:pt>
                <c:pt idx="4">
                  <c:v>0.28358208955223879</c:v>
                </c:pt>
                <c:pt idx="5">
                  <c:v>0.29850746268656714</c:v>
                </c:pt>
                <c:pt idx="6">
                  <c:v>0.31343283582089554</c:v>
                </c:pt>
                <c:pt idx="7">
                  <c:v>0.37313432835820898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0577280"/>
        <c:axId val="100578816"/>
      </c:barChart>
      <c:catAx>
        <c:axId val="100577280"/>
        <c:scaling>
          <c:orientation val="minMax"/>
        </c:scaling>
        <c:delete val="0"/>
        <c:axPos val="l"/>
        <c:majorTickMark val="none"/>
        <c:minorTickMark val="none"/>
        <c:tickLblPos val="nextTo"/>
        <c:crossAx val="100578816"/>
        <c:crosses val="autoZero"/>
        <c:auto val="1"/>
        <c:lblAlgn val="ctr"/>
        <c:lblOffset val="100"/>
        <c:noMultiLvlLbl val="0"/>
      </c:catAx>
      <c:valAx>
        <c:axId val="100578816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100577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Interest</a:t>
            </a:r>
            <a:r>
              <a:rPr lang="en-GB" baseline="0"/>
              <a:t> in new </a:t>
            </a:r>
            <a:r>
              <a:rPr lang="en-GB"/>
              <a:t>features </a:t>
            </a:r>
          </a:p>
          <a:p>
            <a:pPr>
              <a:defRPr/>
            </a:pPr>
            <a:endParaRPr lang="en-GB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Ref>
              <c:f>Summary!$U$4:$AI$4</c:f>
              <c:strCache>
                <c:ptCount val="15"/>
                <c:pt idx="0">
                  <c:v>integration with scanner simulation packages (SimSET, etc)</c:v>
                </c:pt>
                <c:pt idx="1">
                  <c:v>more documentation</c:v>
                </c:pt>
                <c:pt idx="2">
                  <c:v>GUI</c:v>
                </c:pt>
                <c:pt idx="3">
                  <c:v>non-cylindrical scanners</c:v>
                </c:pt>
                <c:pt idx="4">
                  <c:v>parallel processing (e.g. shared memory, GPU, etc)</c:v>
                </c:pt>
                <c:pt idx="5">
                  <c:v>extending list-mode reconstruction</c:v>
                </c:pt>
                <c:pt idx="6">
                  <c:v>more recent reconstruction algorithms</c:v>
                </c:pt>
                <c:pt idx="7">
                  <c:v>estimation of normalisation factors for a PET scanner</c:v>
                </c:pt>
                <c:pt idx="8">
                  <c:v>TOF data processing and reconstruction</c:v>
                </c:pt>
                <c:pt idx="9">
                  <c:v>other modalities (SPECT/CT/MR etc)</c:v>
                </c:pt>
                <c:pt idx="10">
                  <c:v>Interface to a scripting language (e.g.  python/matlab/octave/IDL)</c:v>
                </c:pt>
                <c:pt idx="11">
                  <c:v>anatomical-based priors/algorithms</c:v>
                </c:pt>
                <c:pt idx="12">
                  <c:v>prepackaged virtual machine with STIR pre-installed (like VGATE)</c:v>
                </c:pt>
                <c:pt idx="13">
                  <c:v>support for additional file formats  (e.g. DICOM)</c:v>
                </c:pt>
                <c:pt idx="14">
                  <c:v>NEMA evaluation tools</c:v>
                </c:pt>
              </c:strCache>
            </c:strRef>
          </c:cat>
          <c:val>
            <c:numRef>
              <c:f>Summary!$U$9:$AI$9</c:f>
              <c:numCache>
                <c:formatCode>0%</c:formatCode>
                <c:ptCount val="15"/>
                <c:pt idx="0">
                  <c:v>0.83582089552238803</c:v>
                </c:pt>
                <c:pt idx="1">
                  <c:v>0.59701492537313428</c:v>
                </c:pt>
                <c:pt idx="2">
                  <c:v>0.43283582089552242</c:v>
                </c:pt>
                <c:pt idx="3">
                  <c:v>0.41044776119402987</c:v>
                </c:pt>
                <c:pt idx="4">
                  <c:v>0.5149253731343284</c:v>
                </c:pt>
                <c:pt idx="5">
                  <c:v>0.79104477611940305</c:v>
                </c:pt>
                <c:pt idx="6">
                  <c:v>0.65671641791044777</c:v>
                </c:pt>
                <c:pt idx="7">
                  <c:v>0.52985074626865669</c:v>
                </c:pt>
                <c:pt idx="8">
                  <c:v>0.58955223880597019</c:v>
                </c:pt>
                <c:pt idx="9">
                  <c:v>0.64925373134328357</c:v>
                </c:pt>
                <c:pt idx="10">
                  <c:v>0.39552238805970152</c:v>
                </c:pt>
                <c:pt idx="11">
                  <c:v>0.34328358208955223</c:v>
                </c:pt>
                <c:pt idx="12">
                  <c:v>0.47014925373134331</c:v>
                </c:pt>
                <c:pt idx="13">
                  <c:v>0.62686567164179097</c:v>
                </c:pt>
                <c:pt idx="14">
                  <c:v>0.59701492537313428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137920"/>
        <c:axId val="47139456"/>
      </c:barChart>
      <c:catAx>
        <c:axId val="47137920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47139456"/>
        <c:crosses val="autoZero"/>
        <c:auto val="1"/>
        <c:lblAlgn val="ctr"/>
        <c:lblOffset val="100"/>
        <c:noMultiLvlLbl val="0"/>
      </c:catAx>
      <c:valAx>
        <c:axId val="47139456"/>
        <c:scaling>
          <c:orientation val="minMax"/>
        </c:scaling>
        <c:delete val="0"/>
        <c:axPos val="b"/>
        <c:majorGridlines/>
        <c:numFmt formatCode="0%" sourceLinked="1"/>
        <c:majorTickMark val="none"/>
        <c:minorTickMark val="none"/>
        <c:tickLblPos val="nextTo"/>
        <c:crossAx val="47137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 sz="1800" b="0" i="0" u="none" strike="noStrike" baseline="0">
                <a:effectLst/>
              </a:rPr>
              <a:t>Which modality would you like to be added to STIR?</a:t>
            </a:r>
            <a:r>
              <a:rPr lang="en-GB" sz="1800" b="1" i="0" u="none" strike="noStrike" baseline="0"/>
              <a:t> </a:t>
            </a:r>
            <a:endParaRPr lang="en-GB"/>
          </a:p>
        </c:rich>
      </c:tx>
      <c:layout>
        <c:manualLayout>
          <c:xMode val="edge"/>
          <c:yMode val="edge"/>
          <c:x val="0.12209986431134107"/>
          <c:y val="3.2407407407407406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Summary!$AV$4:$AZ$4</c:f>
              <c:strCache>
                <c:ptCount val="5"/>
                <c:pt idx="0">
                  <c:v>SPECT</c:v>
                </c:pt>
                <c:pt idx="1">
                  <c:v>CT</c:v>
                </c:pt>
                <c:pt idx="2">
                  <c:v>MRI</c:v>
                </c:pt>
                <c:pt idx="3">
                  <c:v>Optical</c:v>
                </c:pt>
                <c:pt idx="4">
                  <c:v>None</c:v>
                </c:pt>
              </c:strCache>
            </c:strRef>
          </c:cat>
          <c:val>
            <c:numRef>
              <c:f>Summary!$AV$5:$AZ$5</c:f>
              <c:numCache>
                <c:formatCode>0%</c:formatCode>
                <c:ptCount val="5"/>
                <c:pt idx="0">
                  <c:v>0.53731343283582089</c:v>
                </c:pt>
                <c:pt idx="1">
                  <c:v>0.38805970149253732</c:v>
                </c:pt>
                <c:pt idx="2">
                  <c:v>0.31343283582089554</c:v>
                </c:pt>
                <c:pt idx="3">
                  <c:v>8.9552238805970144E-2</c:v>
                </c:pt>
                <c:pt idx="4">
                  <c:v>0.14925373134328357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FF0C5-D1D0-4D1C-A1ED-194333CB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47</cp:revision>
  <dcterms:created xsi:type="dcterms:W3CDTF">2012-03-08T22:03:00Z</dcterms:created>
  <dcterms:modified xsi:type="dcterms:W3CDTF">2012-05-05T09:27:00Z</dcterms:modified>
</cp:coreProperties>
</file>