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DB55" w14:textId="6FD83027" w:rsidR="00935A83" w:rsidRDefault="00C42334">
      <w:pPr>
        <w:pStyle w:val="TOC1"/>
        <w:tabs>
          <w:tab w:val="right" w:leader="underscore" w:pos="10456"/>
        </w:tabs>
        <w:rPr>
          <w:rFonts w:eastAsiaTheme="minorEastAsia" w:cstheme="minorBidi"/>
          <w:b w:val="0"/>
          <w:bCs w:val="0"/>
          <w:caps w:val="0"/>
          <w:noProof/>
          <w:sz w:val="22"/>
          <w:szCs w:val="22"/>
          <w:lang w:eastAsia="en-GB"/>
        </w:rPr>
      </w:pPr>
      <w:r>
        <w:rPr>
          <w:b w:val="0"/>
          <w:bCs w:val="0"/>
          <w:caps w:val="0"/>
          <w:shd w:val="clear" w:color="auto" w:fill="FFFFFF"/>
        </w:rPr>
        <w:fldChar w:fldCharType="begin"/>
      </w:r>
      <w:r>
        <w:rPr>
          <w:b w:val="0"/>
          <w:bCs w:val="0"/>
          <w:caps w:val="0"/>
          <w:shd w:val="clear" w:color="auto" w:fill="FFFFFF"/>
        </w:rPr>
        <w:instrText xml:space="preserve"> TOC \o "1-2" \h \z \u </w:instrText>
      </w:r>
      <w:r>
        <w:rPr>
          <w:b w:val="0"/>
          <w:bCs w:val="0"/>
          <w:caps w:val="0"/>
          <w:shd w:val="clear" w:color="auto" w:fill="FFFFFF"/>
        </w:rPr>
        <w:fldChar w:fldCharType="separate"/>
      </w:r>
      <w:hyperlink w:anchor="_Toc74050873" w:history="1">
        <w:r w:rsidR="00935A83" w:rsidRPr="00750351">
          <w:rPr>
            <w:rStyle w:val="Hyperlink"/>
            <w:noProof/>
          </w:rPr>
          <w:t>Background</w:t>
        </w:r>
        <w:r w:rsidR="00935A83">
          <w:rPr>
            <w:noProof/>
            <w:webHidden/>
          </w:rPr>
          <w:tab/>
        </w:r>
        <w:r w:rsidR="00935A83">
          <w:rPr>
            <w:noProof/>
            <w:webHidden/>
          </w:rPr>
          <w:fldChar w:fldCharType="begin"/>
        </w:r>
        <w:r w:rsidR="00935A83">
          <w:rPr>
            <w:noProof/>
            <w:webHidden/>
          </w:rPr>
          <w:instrText xml:space="preserve"> PAGEREF _Toc74050873 \h </w:instrText>
        </w:r>
        <w:r w:rsidR="00935A83">
          <w:rPr>
            <w:noProof/>
            <w:webHidden/>
          </w:rPr>
        </w:r>
        <w:r w:rsidR="00935A83">
          <w:rPr>
            <w:noProof/>
            <w:webHidden/>
          </w:rPr>
          <w:fldChar w:fldCharType="separate"/>
        </w:r>
        <w:r w:rsidR="00935A83">
          <w:rPr>
            <w:noProof/>
            <w:webHidden/>
          </w:rPr>
          <w:t>2</w:t>
        </w:r>
        <w:r w:rsidR="00935A83">
          <w:rPr>
            <w:noProof/>
            <w:webHidden/>
          </w:rPr>
          <w:fldChar w:fldCharType="end"/>
        </w:r>
      </w:hyperlink>
    </w:p>
    <w:p w14:paraId="4D981C20" w14:textId="4A584FB9"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74" w:history="1">
        <w:r w:rsidRPr="00750351">
          <w:rPr>
            <w:rStyle w:val="Hyperlink"/>
            <w:noProof/>
          </w:rPr>
          <w:t>The Thanzi La Onse Model</w:t>
        </w:r>
        <w:r>
          <w:rPr>
            <w:noProof/>
            <w:webHidden/>
          </w:rPr>
          <w:tab/>
        </w:r>
        <w:r>
          <w:rPr>
            <w:noProof/>
            <w:webHidden/>
          </w:rPr>
          <w:fldChar w:fldCharType="begin"/>
        </w:r>
        <w:r>
          <w:rPr>
            <w:noProof/>
            <w:webHidden/>
          </w:rPr>
          <w:instrText xml:space="preserve"> PAGEREF _Toc74050874 \h </w:instrText>
        </w:r>
        <w:r>
          <w:rPr>
            <w:noProof/>
            <w:webHidden/>
          </w:rPr>
        </w:r>
        <w:r>
          <w:rPr>
            <w:noProof/>
            <w:webHidden/>
          </w:rPr>
          <w:fldChar w:fldCharType="separate"/>
        </w:r>
        <w:r>
          <w:rPr>
            <w:noProof/>
            <w:webHidden/>
          </w:rPr>
          <w:t>2</w:t>
        </w:r>
        <w:r>
          <w:rPr>
            <w:noProof/>
            <w:webHidden/>
          </w:rPr>
          <w:fldChar w:fldCharType="end"/>
        </w:r>
      </w:hyperlink>
    </w:p>
    <w:p w14:paraId="5F7BE611" w14:textId="65724744"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75" w:history="1">
        <w:r w:rsidRPr="00750351">
          <w:rPr>
            <w:rStyle w:val="Hyperlink"/>
            <w:noProof/>
          </w:rPr>
          <w:t>General approach to decisions on modelling causal influences and effects of interventions</w:t>
        </w:r>
        <w:r>
          <w:rPr>
            <w:noProof/>
            <w:webHidden/>
          </w:rPr>
          <w:tab/>
        </w:r>
        <w:r>
          <w:rPr>
            <w:noProof/>
            <w:webHidden/>
          </w:rPr>
          <w:fldChar w:fldCharType="begin"/>
        </w:r>
        <w:r>
          <w:rPr>
            <w:noProof/>
            <w:webHidden/>
          </w:rPr>
          <w:instrText xml:space="preserve"> PAGEREF _Toc74050875 \h </w:instrText>
        </w:r>
        <w:r>
          <w:rPr>
            <w:noProof/>
            <w:webHidden/>
          </w:rPr>
        </w:r>
        <w:r>
          <w:rPr>
            <w:noProof/>
            <w:webHidden/>
          </w:rPr>
          <w:fldChar w:fldCharType="separate"/>
        </w:r>
        <w:r>
          <w:rPr>
            <w:noProof/>
            <w:webHidden/>
          </w:rPr>
          <w:t>2</w:t>
        </w:r>
        <w:r>
          <w:rPr>
            <w:noProof/>
            <w:webHidden/>
          </w:rPr>
          <w:fldChar w:fldCharType="end"/>
        </w:r>
      </w:hyperlink>
    </w:p>
    <w:p w14:paraId="2F361057" w14:textId="6B738F60"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76" w:history="1">
        <w:r w:rsidRPr="00750351">
          <w:rPr>
            <w:rStyle w:val="Hyperlink"/>
            <w:noProof/>
          </w:rPr>
          <w:t>Demographic and social characteristics modelled</w:t>
        </w:r>
        <w:r>
          <w:rPr>
            <w:noProof/>
            <w:webHidden/>
          </w:rPr>
          <w:tab/>
        </w:r>
        <w:r>
          <w:rPr>
            <w:noProof/>
            <w:webHidden/>
          </w:rPr>
          <w:fldChar w:fldCharType="begin"/>
        </w:r>
        <w:r>
          <w:rPr>
            <w:noProof/>
            <w:webHidden/>
          </w:rPr>
          <w:instrText xml:space="preserve"> PAGEREF _Toc74050876 \h </w:instrText>
        </w:r>
        <w:r>
          <w:rPr>
            <w:noProof/>
            <w:webHidden/>
          </w:rPr>
        </w:r>
        <w:r>
          <w:rPr>
            <w:noProof/>
            <w:webHidden/>
          </w:rPr>
          <w:fldChar w:fldCharType="separate"/>
        </w:r>
        <w:r>
          <w:rPr>
            <w:noProof/>
            <w:webHidden/>
          </w:rPr>
          <w:t>2</w:t>
        </w:r>
        <w:r>
          <w:rPr>
            <w:noProof/>
            <w:webHidden/>
          </w:rPr>
          <w:fldChar w:fldCharType="end"/>
        </w:r>
      </w:hyperlink>
    </w:p>
    <w:p w14:paraId="481D9E3D" w14:textId="7D4546A0"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77" w:history="1">
        <w:r w:rsidRPr="00750351">
          <w:rPr>
            <w:rStyle w:val="Hyperlink"/>
            <w:noProof/>
          </w:rPr>
          <w:t>Undernutrition forms modelled</w:t>
        </w:r>
        <w:r>
          <w:rPr>
            <w:noProof/>
            <w:webHidden/>
          </w:rPr>
          <w:tab/>
        </w:r>
        <w:r>
          <w:rPr>
            <w:noProof/>
            <w:webHidden/>
          </w:rPr>
          <w:fldChar w:fldCharType="begin"/>
        </w:r>
        <w:r>
          <w:rPr>
            <w:noProof/>
            <w:webHidden/>
          </w:rPr>
          <w:instrText xml:space="preserve"> PAGEREF _Toc74050877 \h </w:instrText>
        </w:r>
        <w:r>
          <w:rPr>
            <w:noProof/>
            <w:webHidden/>
          </w:rPr>
        </w:r>
        <w:r>
          <w:rPr>
            <w:noProof/>
            <w:webHidden/>
          </w:rPr>
          <w:fldChar w:fldCharType="separate"/>
        </w:r>
        <w:r>
          <w:rPr>
            <w:noProof/>
            <w:webHidden/>
          </w:rPr>
          <w:t>3</w:t>
        </w:r>
        <w:r>
          <w:rPr>
            <w:noProof/>
            <w:webHidden/>
          </w:rPr>
          <w:fldChar w:fldCharType="end"/>
        </w:r>
      </w:hyperlink>
    </w:p>
    <w:p w14:paraId="334C72B0" w14:textId="2099D8B0" w:rsidR="00935A83" w:rsidRDefault="00935A83">
      <w:pPr>
        <w:pStyle w:val="TOC1"/>
        <w:tabs>
          <w:tab w:val="right" w:leader="underscore" w:pos="10456"/>
        </w:tabs>
        <w:rPr>
          <w:rFonts w:eastAsiaTheme="minorEastAsia" w:cstheme="minorBidi"/>
          <w:b w:val="0"/>
          <w:bCs w:val="0"/>
          <w:caps w:val="0"/>
          <w:noProof/>
          <w:sz w:val="22"/>
          <w:szCs w:val="22"/>
          <w:lang w:eastAsia="en-GB"/>
        </w:rPr>
      </w:pPr>
      <w:hyperlink w:anchor="_Toc74050878" w:history="1">
        <w:r w:rsidRPr="00750351">
          <w:rPr>
            <w:rStyle w:val="Hyperlink"/>
            <w:noProof/>
            <w:shd w:val="clear" w:color="auto" w:fill="FFFFFF"/>
          </w:rPr>
          <w:t>Conceptualisation of wasting model structure</w:t>
        </w:r>
        <w:r>
          <w:rPr>
            <w:noProof/>
            <w:webHidden/>
          </w:rPr>
          <w:tab/>
        </w:r>
        <w:r>
          <w:rPr>
            <w:noProof/>
            <w:webHidden/>
          </w:rPr>
          <w:fldChar w:fldCharType="begin"/>
        </w:r>
        <w:r>
          <w:rPr>
            <w:noProof/>
            <w:webHidden/>
          </w:rPr>
          <w:instrText xml:space="preserve"> PAGEREF _Toc74050878 \h </w:instrText>
        </w:r>
        <w:r>
          <w:rPr>
            <w:noProof/>
            <w:webHidden/>
          </w:rPr>
        </w:r>
        <w:r>
          <w:rPr>
            <w:noProof/>
            <w:webHidden/>
          </w:rPr>
          <w:fldChar w:fldCharType="separate"/>
        </w:r>
        <w:r>
          <w:rPr>
            <w:noProof/>
            <w:webHidden/>
          </w:rPr>
          <w:t>4</w:t>
        </w:r>
        <w:r>
          <w:rPr>
            <w:noProof/>
            <w:webHidden/>
          </w:rPr>
          <w:fldChar w:fldCharType="end"/>
        </w:r>
      </w:hyperlink>
    </w:p>
    <w:p w14:paraId="16D88C54" w14:textId="0A095127"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79" w:history="1">
        <w:r w:rsidRPr="00750351">
          <w:rPr>
            <w:rStyle w:val="Hyperlink"/>
            <w:noProof/>
          </w:rPr>
          <w:t>Summary</w:t>
        </w:r>
        <w:r>
          <w:rPr>
            <w:noProof/>
            <w:webHidden/>
          </w:rPr>
          <w:tab/>
        </w:r>
        <w:r>
          <w:rPr>
            <w:noProof/>
            <w:webHidden/>
          </w:rPr>
          <w:fldChar w:fldCharType="begin"/>
        </w:r>
        <w:r>
          <w:rPr>
            <w:noProof/>
            <w:webHidden/>
          </w:rPr>
          <w:instrText xml:space="preserve"> PAGEREF _Toc74050879 \h </w:instrText>
        </w:r>
        <w:r>
          <w:rPr>
            <w:noProof/>
            <w:webHidden/>
          </w:rPr>
        </w:r>
        <w:r>
          <w:rPr>
            <w:noProof/>
            <w:webHidden/>
          </w:rPr>
          <w:fldChar w:fldCharType="separate"/>
        </w:r>
        <w:r>
          <w:rPr>
            <w:noProof/>
            <w:webHidden/>
          </w:rPr>
          <w:t>4</w:t>
        </w:r>
        <w:r>
          <w:rPr>
            <w:noProof/>
            <w:webHidden/>
          </w:rPr>
          <w:fldChar w:fldCharType="end"/>
        </w:r>
      </w:hyperlink>
    </w:p>
    <w:p w14:paraId="0C8C2373" w14:textId="4DD8C8A9"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80" w:history="1">
        <w:r w:rsidRPr="00750351">
          <w:rPr>
            <w:rStyle w:val="Hyperlink"/>
            <w:noProof/>
          </w:rPr>
          <w:t>Module properties</w:t>
        </w:r>
        <w:r>
          <w:rPr>
            <w:noProof/>
            <w:webHidden/>
          </w:rPr>
          <w:tab/>
        </w:r>
        <w:r>
          <w:rPr>
            <w:noProof/>
            <w:webHidden/>
          </w:rPr>
          <w:fldChar w:fldCharType="begin"/>
        </w:r>
        <w:r>
          <w:rPr>
            <w:noProof/>
            <w:webHidden/>
          </w:rPr>
          <w:instrText xml:space="preserve"> PAGEREF _Toc74050880 \h </w:instrText>
        </w:r>
        <w:r>
          <w:rPr>
            <w:noProof/>
            <w:webHidden/>
          </w:rPr>
        </w:r>
        <w:r>
          <w:rPr>
            <w:noProof/>
            <w:webHidden/>
          </w:rPr>
          <w:fldChar w:fldCharType="separate"/>
        </w:r>
        <w:r>
          <w:rPr>
            <w:noProof/>
            <w:webHidden/>
          </w:rPr>
          <w:t>5</w:t>
        </w:r>
        <w:r>
          <w:rPr>
            <w:noProof/>
            <w:webHidden/>
          </w:rPr>
          <w:fldChar w:fldCharType="end"/>
        </w:r>
      </w:hyperlink>
    </w:p>
    <w:p w14:paraId="77389757" w14:textId="133F3BFB"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81" w:history="1">
        <w:r w:rsidRPr="00750351">
          <w:rPr>
            <w:rStyle w:val="Hyperlink"/>
            <w:noProof/>
          </w:rPr>
          <w:t>Prevalence of wasting at start of simulation</w:t>
        </w:r>
        <w:r>
          <w:rPr>
            <w:noProof/>
            <w:webHidden/>
          </w:rPr>
          <w:tab/>
        </w:r>
        <w:r>
          <w:rPr>
            <w:noProof/>
            <w:webHidden/>
          </w:rPr>
          <w:fldChar w:fldCharType="begin"/>
        </w:r>
        <w:r>
          <w:rPr>
            <w:noProof/>
            <w:webHidden/>
          </w:rPr>
          <w:instrText xml:space="preserve"> PAGEREF _Toc74050881 \h </w:instrText>
        </w:r>
        <w:r>
          <w:rPr>
            <w:noProof/>
            <w:webHidden/>
          </w:rPr>
        </w:r>
        <w:r>
          <w:rPr>
            <w:noProof/>
            <w:webHidden/>
          </w:rPr>
          <w:fldChar w:fldCharType="separate"/>
        </w:r>
        <w:r>
          <w:rPr>
            <w:noProof/>
            <w:webHidden/>
          </w:rPr>
          <w:t>5</w:t>
        </w:r>
        <w:r>
          <w:rPr>
            <w:noProof/>
            <w:webHidden/>
          </w:rPr>
          <w:fldChar w:fldCharType="end"/>
        </w:r>
      </w:hyperlink>
    </w:p>
    <w:p w14:paraId="5112D705" w14:textId="5C913D11"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82" w:history="1">
        <w:r w:rsidRPr="00750351">
          <w:rPr>
            <w:rStyle w:val="Hyperlink"/>
            <w:noProof/>
          </w:rPr>
          <w:t>Incidence of wasting and disease progression</w:t>
        </w:r>
        <w:r>
          <w:rPr>
            <w:noProof/>
            <w:webHidden/>
          </w:rPr>
          <w:tab/>
        </w:r>
        <w:r>
          <w:rPr>
            <w:noProof/>
            <w:webHidden/>
          </w:rPr>
          <w:fldChar w:fldCharType="begin"/>
        </w:r>
        <w:r>
          <w:rPr>
            <w:noProof/>
            <w:webHidden/>
          </w:rPr>
          <w:instrText xml:space="preserve"> PAGEREF _Toc74050882 \h </w:instrText>
        </w:r>
        <w:r>
          <w:rPr>
            <w:noProof/>
            <w:webHidden/>
          </w:rPr>
        </w:r>
        <w:r>
          <w:rPr>
            <w:noProof/>
            <w:webHidden/>
          </w:rPr>
          <w:fldChar w:fldCharType="separate"/>
        </w:r>
        <w:r>
          <w:rPr>
            <w:noProof/>
            <w:webHidden/>
          </w:rPr>
          <w:t>5</w:t>
        </w:r>
        <w:r>
          <w:rPr>
            <w:noProof/>
            <w:webHidden/>
          </w:rPr>
          <w:fldChar w:fldCharType="end"/>
        </w:r>
      </w:hyperlink>
    </w:p>
    <w:p w14:paraId="5ACFC2BE" w14:textId="49138513"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83" w:history="1">
        <w:r w:rsidRPr="00750351">
          <w:rPr>
            <w:rStyle w:val="Hyperlink"/>
            <w:noProof/>
          </w:rPr>
          <w:t>Health System Interactions</w:t>
        </w:r>
        <w:r>
          <w:rPr>
            <w:noProof/>
            <w:webHidden/>
          </w:rPr>
          <w:tab/>
        </w:r>
        <w:r>
          <w:rPr>
            <w:noProof/>
            <w:webHidden/>
          </w:rPr>
          <w:fldChar w:fldCharType="begin"/>
        </w:r>
        <w:r>
          <w:rPr>
            <w:noProof/>
            <w:webHidden/>
          </w:rPr>
          <w:instrText xml:space="preserve"> PAGEREF _Toc74050883 \h </w:instrText>
        </w:r>
        <w:r>
          <w:rPr>
            <w:noProof/>
            <w:webHidden/>
          </w:rPr>
        </w:r>
        <w:r>
          <w:rPr>
            <w:noProof/>
            <w:webHidden/>
          </w:rPr>
          <w:fldChar w:fldCharType="separate"/>
        </w:r>
        <w:r>
          <w:rPr>
            <w:noProof/>
            <w:webHidden/>
          </w:rPr>
          <w:t>8</w:t>
        </w:r>
        <w:r>
          <w:rPr>
            <w:noProof/>
            <w:webHidden/>
          </w:rPr>
          <w:fldChar w:fldCharType="end"/>
        </w:r>
      </w:hyperlink>
    </w:p>
    <w:p w14:paraId="6F6ECA63" w14:textId="7BFC4BF4"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84" w:history="1">
        <w:r w:rsidRPr="00750351">
          <w:rPr>
            <w:rStyle w:val="Hyperlink"/>
            <w:noProof/>
          </w:rPr>
          <w:t>Parameters of the wasting module</w:t>
        </w:r>
        <w:r>
          <w:rPr>
            <w:noProof/>
            <w:webHidden/>
          </w:rPr>
          <w:tab/>
        </w:r>
        <w:r>
          <w:rPr>
            <w:noProof/>
            <w:webHidden/>
          </w:rPr>
          <w:fldChar w:fldCharType="begin"/>
        </w:r>
        <w:r>
          <w:rPr>
            <w:noProof/>
            <w:webHidden/>
          </w:rPr>
          <w:instrText xml:space="preserve"> PAGEREF _Toc74050884 \h </w:instrText>
        </w:r>
        <w:r>
          <w:rPr>
            <w:noProof/>
            <w:webHidden/>
          </w:rPr>
        </w:r>
        <w:r>
          <w:rPr>
            <w:noProof/>
            <w:webHidden/>
          </w:rPr>
          <w:fldChar w:fldCharType="separate"/>
        </w:r>
        <w:r>
          <w:rPr>
            <w:noProof/>
            <w:webHidden/>
          </w:rPr>
          <w:t>9</w:t>
        </w:r>
        <w:r>
          <w:rPr>
            <w:noProof/>
            <w:webHidden/>
          </w:rPr>
          <w:fldChar w:fldCharType="end"/>
        </w:r>
      </w:hyperlink>
    </w:p>
    <w:p w14:paraId="0857303A" w14:textId="2EF6C057" w:rsidR="00935A83" w:rsidRDefault="00935A83">
      <w:pPr>
        <w:pStyle w:val="TOC1"/>
        <w:tabs>
          <w:tab w:val="right" w:leader="underscore" w:pos="10456"/>
        </w:tabs>
        <w:rPr>
          <w:rFonts w:eastAsiaTheme="minorEastAsia" w:cstheme="minorBidi"/>
          <w:b w:val="0"/>
          <w:bCs w:val="0"/>
          <w:caps w:val="0"/>
          <w:noProof/>
          <w:sz w:val="22"/>
          <w:szCs w:val="22"/>
          <w:lang w:eastAsia="en-GB"/>
        </w:rPr>
      </w:pPr>
      <w:hyperlink w:anchor="_Toc74050885" w:history="1">
        <w:r w:rsidRPr="00750351">
          <w:rPr>
            <w:rStyle w:val="Hyperlink"/>
            <w:noProof/>
            <w:shd w:val="clear" w:color="auto" w:fill="FFFFFF"/>
          </w:rPr>
          <w:t>Conceptualisation of stunting model structure</w:t>
        </w:r>
        <w:r>
          <w:rPr>
            <w:noProof/>
            <w:webHidden/>
          </w:rPr>
          <w:tab/>
        </w:r>
        <w:r>
          <w:rPr>
            <w:noProof/>
            <w:webHidden/>
          </w:rPr>
          <w:fldChar w:fldCharType="begin"/>
        </w:r>
        <w:r>
          <w:rPr>
            <w:noProof/>
            <w:webHidden/>
          </w:rPr>
          <w:instrText xml:space="preserve"> PAGEREF _Toc74050885 \h </w:instrText>
        </w:r>
        <w:r>
          <w:rPr>
            <w:noProof/>
            <w:webHidden/>
          </w:rPr>
        </w:r>
        <w:r>
          <w:rPr>
            <w:noProof/>
            <w:webHidden/>
          </w:rPr>
          <w:fldChar w:fldCharType="separate"/>
        </w:r>
        <w:r>
          <w:rPr>
            <w:noProof/>
            <w:webHidden/>
          </w:rPr>
          <w:t>14</w:t>
        </w:r>
        <w:r>
          <w:rPr>
            <w:noProof/>
            <w:webHidden/>
          </w:rPr>
          <w:fldChar w:fldCharType="end"/>
        </w:r>
      </w:hyperlink>
    </w:p>
    <w:p w14:paraId="13E1E914" w14:textId="0EE62F57"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86" w:history="1">
        <w:r w:rsidRPr="00750351">
          <w:rPr>
            <w:rStyle w:val="Hyperlink"/>
            <w:noProof/>
          </w:rPr>
          <w:t>Summary</w:t>
        </w:r>
        <w:r>
          <w:rPr>
            <w:noProof/>
            <w:webHidden/>
          </w:rPr>
          <w:tab/>
        </w:r>
        <w:r>
          <w:rPr>
            <w:noProof/>
            <w:webHidden/>
          </w:rPr>
          <w:fldChar w:fldCharType="begin"/>
        </w:r>
        <w:r>
          <w:rPr>
            <w:noProof/>
            <w:webHidden/>
          </w:rPr>
          <w:instrText xml:space="preserve"> PAGEREF _Toc74050886 \h </w:instrText>
        </w:r>
        <w:r>
          <w:rPr>
            <w:noProof/>
            <w:webHidden/>
          </w:rPr>
        </w:r>
        <w:r>
          <w:rPr>
            <w:noProof/>
            <w:webHidden/>
          </w:rPr>
          <w:fldChar w:fldCharType="separate"/>
        </w:r>
        <w:r>
          <w:rPr>
            <w:noProof/>
            <w:webHidden/>
          </w:rPr>
          <w:t>14</w:t>
        </w:r>
        <w:r>
          <w:rPr>
            <w:noProof/>
            <w:webHidden/>
          </w:rPr>
          <w:fldChar w:fldCharType="end"/>
        </w:r>
      </w:hyperlink>
    </w:p>
    <w:p w14:paraId="5CB76D18" w14:textId="1E1E0CD0"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87" w:history="1">
        <w:r w:rsidRPr="00750351">
          <w:rPr>
            <w:rStyle w:val="Hyperlink"/>
            <w:noProof/>
          </w:rPr>
          <w:t>Module properties</w:t>
        </w:r>
        <w:r>
          <w:rPr>
            <w:noProof/>
            <w:webHidden/>
          </w:rPr>
          <w:tab/>
        </w:r>
        <w:r>
          <w:rPr>
            <w:noProof/>
            <w:webHidden/>
          </w:rPr>
          <w:fldChar w:fldCharType="begin"/>
        </w:r>
        <w:r>
          <w:rPr>
            <w:noProof/>
            <w:webHidden/>
          </w:rPr>
          <w:instrText xml:space="preserve"> PAGEREF _Toc74050887 \h </w:instrText>
        </w:r>
        <w:r>
          <w:rPr>
            <w:noProof/>
            <w:webHidden/>
          </w:rPr>
        </w:r>
        <w:r>
          <w:rPr>
            <w:noProof/>
            <w:webHidden/>
          </w:rPr>
          <w:fldChar w:fldCharType="separate"/>
        </w:r>
        <w:r>
          <w:rPr>
            <w:noProof/>
            <w:webHidden/>
          </w:rPr>
          <w:t>14</w:t>
        </w:r>
        <w:r>
          <w:rPr>
            <w:noProof/>
            <w:webHidden/>
          </w:rPr>
          <w:fldChar w:fldCharType="end"/>
        </w:r>
      </w:hyperlink>
    </w:p>
    <w:p w14:paraId="03E120D7" w14:textId="126BD7C7"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88" w:history="1">
        <w:r w:rsidRPr="00750351">
          <w:rPr>
            <w:rStyle w:val="Hyperlink"/>
            <w:noProof/>
          </w:rPr>
          <w:t>Prevalence of stunting at start of simulation</w:t>
        </w:r>
        <w:r>
          <w:rPr>
            <w:noProof/>
            <w:webHidden/>
          </w:rPr>
          <w:tab/>
        </w:r>
        <w:r>
          <w:rPr>
            <w:noProof/>
            <w:webHidden/>
          </w:rPr>
          <w:fldChar w:fldCharType="begin"/>
        </w:r>
        <w:r>
          <w:rPr>
            <w:noProof/>
            <w:webHidden/>
          </w:rPr>
          <w:instrText xml:space="preserve"> PAGEREF _Toc74050888 \h </w:instrText>
        </w:r>
        <w:r>
          <w:rPr>
            <w:noProof/>
            <w:webHidden/>
          </w:rPr>
        </w:r>
        <w:r>
          <w:rPr>
            <w:noProof/>
            <w:webHidden/>
          </w:rPr>
          <w:fldChar w:fldCharType="separate"/>
        </w:r>
        <w:r>
          <w:rPr>
            <w:noProof/>
            <w:webHidden/>
          </w:rPr>
          <w:t>15</w:t>
        </w:r>
        <w:r>
          <w:rPr>
            <w:noProof/>
            <w:webHidden/>
          </w:rPr>
          <w:fldChar w:fldCharType="end"/>
        </w:r>
      </w:hyperlink>
    </w:p>
    <w:p w14:paraId="6EB599E4" w14:textId="33B45524"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89" w:history="1">
        <w:r w:rsidRPr="00750351">
          <w:rPr>
            <w:rStyle w:val="Hyperlink"/>
            <w:noProof/>
          </w:rPr>
          <w:t>Incidence of stunting and disease progression</w:t>
        </w:r>
        <w:r>
          <w:rPr>
            <w:noProof/>
            <w:webHidden/>
          </w:rPr>
          <w:tab/>
        </w:r>
        <w:r>
          <w:rPr>
            <w:noProof/>
            <w:webHidden/>
          </w:rPr>
          <w:fldChar w:fldCharType="begin"/>
        </w:r>
        <w:r>
          <w:rPr>
            <w:noProof/>
            <w:webHidden/>
          </w:rPr>
          <w:instrText xml:space="preserve"> PAGEREF _Toc74050889 \h </w:instrText>
        </w:r>
        <w:r>
          <w:rPr>
            <w:noProof/>
            <w:webHidden/>
          </w:rPr>
        </w:r>
        <w:r>
          <w:rPr>
            <w:noProof/>
            <w:webHidden/>
          </w:rPr>
          <w:fldChar w:fldCharType="separate"/>
        </w:r>
        <w:r>
          <w:rPr>
            <w:noProof/>
            <w:webHidden/>
          </w:rPr>
          <w:t>15</w:t>
        </w:r>
        <w:r>
          <w:rPr>
            <w:noProof/>
            <w:webHidden/>
          </w:rPr>
          <w:fldChar w:fldCharType="end"/>
        </w:r>
      </w:hyperlink>
    </w:p>
    <w:p w14:paraId="47DDAC19" w14:textId="6FE8033A"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90" w:history="1">
        <w:r w:rsidRPr="00750351">
          <w:rPr>
            <w:rStyle w:val="Hyperlink"/>
            <w:noProof/>
          </w:rPr>
          <w:t>Health System Interactions</w:t>
        </w:r>
        <w:r>
          <w:rPr>
            <w:noProof/>
            <w:webHidden/>
          </w:rPr>
          <w:tab/>
        </w:r>
        <w:r>
          <w:rPr>
            <w:noProof/>
            <w:webHidden/>
          </w:rPr>
          <w:fldChar w:fldCharType="begin"/>
        </w:r>
        <w:r>
          <w:rPr>
            <w:noProof/>
            <w:webHidden/>
          </w:rPr>
          <w:instrText xml:space="preserve"> PAGEREF _Toc74050890 \h </w:instrText>
        </w:r>
        <w:r>
          <w:rPr>
            <w:noProof/>
            <w:webHidden/>
          </w:rPr>
        </w:r>
        <w:r>
          <w:rPr>
            <w:noProof/>
            <w:webHidden/>
          </w:rPr>
          <w:fldChar w:fldCharType="separate"/>
        </w:r>
        <w:r>
          <w:rPr>
            <w:noProof/>
            <w:webHidden/>
          </w:rPr>
          <w:t>16</w:t>
        </w:r>
        <w:r>
          <w:rPr>
            <w:noProof/>
            <w:webHidden/>
          </w:rPr>
          <w:fldChar w:fldCharType="end"/>
        </w:r>
      </w:hyperlink>
    </w:p>
    <w:p w14:paraId="1E20270E" w14:textId="5112AA48" w:rsidR="00935A83" w:rsidRDefault="00935A83">
      <w:pPr>
        <w:pStyle w:val="TOC2"/>
        <w:tabs>
          <w:tab w:val="right" w:leader="underscore" w:pos="10456"/>
        </w:tabs>
        <w:rPr>
          <w:rFonts w:eastAsiaTheme="minorEastAsia" w:cstheme="minorBidi"/>
          <w:smallCaps w:val="0"/>
          <w:noProof/>
          <w:sz w:val="22"/>
          <w:szCs w:val="22"/>
          <w:lang w:eastAsia="en-GB"/>
        </w:rPr>
      </w:pPr>
      <w:hyperlink w:anchor="_Toc74050891" w:history="1">
        <w:r w:rsidRPr="00750351">
          <w:rPr>
            <w:rStyle w:val="Hyperlink"/>
            <w:noProof/>
            <w:shd w:val="clear" w:color="auto" w:fill="FFFFFF"/>
          </w:rPr>
          <w:t>Parameters of the stunting module</w:t>
        </w:r>
        <w:r>
          <w:rPr>
            <w:noProof/>
            <w:webHidden/>
          </w:rPr>
          <w:tab/>
        </w:r>
        <w:r>
          <w:rPr>
            <w:noProof/>
            <w:webHidden/>
          </w:rPr>
          <w:fldChar w:fldCharType="begin"/>
        </w:r>
        <w:r>
          <w:rPr>
            <w:noProof/>
            <w:webHidden/>
          </w:rPr>
          <w:instrText xml:space="preserve"> PAGEREF _Toc74050891 \h </w:instrText>
        </w:r>
        <w:r>
          <w:rPr>
            <w:noProof/>
            <w:webHidden/>
          </w:rPr>
        </w:r>
        <w:r>
          <w:rPr>
            <w:noProof/>
            <w:webHidden/>
          </w:rPr>
          <w:fldChar w:fldCharType="separate"/>
        </w:r>
        <w:r>
          <w:rPr>
            <w:noProof/>
            <w:webHidden/>
          </w:rPr>
          <w:t>18</w:t>
        </w:r>
        <w:r>
          <w:rPr>
            <w:noProof/>
            <w:webHidden/>
          </w:rPr>
          <w:fldChar w:fldCharType="end"/>
        </w:r>
      </w:hyperlink>
    </w:p>
    <w:p w14:paraId="5287141C" w14:textId="33061D6B" w:rsidR="00935A83" w:rsidRDefault="00935A83">
      <w:pPr>
        <w:pStyle w:val="TOC1"/>
        <w:tabs>
          <w:tab w:val="right" w:leader="underscore" w:pos="10456"/>
        </w:tabs>
        <w:rPr>
          <w:rFonts w:eastAsiaTheme="minorEastAsia" w:cstheme="minorBidi"/>
          <w:b w:val="0"/>
          <w:bCs w:val="0"/>
          <w:caps w:val="0"/>
          <w:noProof/>
          <w:sz w:val="22"/>
          <w:szCs w:val="22"/>
          <w:lang w:eastAsia="en-GB"/>
        </w:rPr>
      </w:pPr>
      <w:hyperlink w:anchor="_Toc74050892" w:history="1">
        <w:r w:rsidRPr="00750351">
          <w:rPr>
            <w:rStyle w:val="Hyperlink"/>
            <w:noProof/>
          </w:rPr>
          <w:t>References</w:t>
        </w:r>
        <w:r>
          <w:rPr>
            <w:noProof/>
            <w:webHidden/>
          </w:rPr>
          <w:tab/>
        </w:r>
        <w:r>
          <w:rPr>
            <w:noProof/>
            <w:webHidden/>
          </w:rPr>
          <w:fldChar w:fldCharType="begin"/>
        </w:r>
        <w:r>
          <w:rPr>
            <w:noProof/>
            <w:webHidden/>
          </w:rPr>
          <w:instrText xml:space="preserve"> PAGEREF _Toc74050892 \h </w:instrText>
        </w:r>
        <w:r>
          <w:rPr>
            <w:noProof/>
            <w:webHidden/>
          </w:rPr>
        </w:r>
        <w:r>
          <w:rPr>
            <w:noProof/>
            <w:webHidden/>
          </w:rPr>
          <w:fldChar w:fldCharType="separate"/>
        </w:r>
        <w:r>
          <w:rPr>
            <w:noProof/>
            <w:webHidden/>
          </w:rPr>
          <w:t>20</w:t>
        </w:r>
        <w:r>
          <w:rPr>
            <w:noProof/>
            <w:webHidden/>
          </w:rPr>
          <w:fldChar w:fldCharType="end"/>
        </w:r>
      </w:hyperlink>
    </w:p>
    <w:p w14:paraId="54B4DD40" w14:textId="231B4FB7" w:rsidR="00C42334" w:rsidRDefault="00C42334" w:rsidP="00C42334">
      <w:pPr>
        <w:spacing w:after="160" w:line="259" w:lineRule="auto"/>
        <w:ind w:firstLine="0"/>
        <w:jc w:val="left"/>
        <w:rPr>
          <w:rFonts w:eastAsiaTheme="majorEastAsia" w:cstheme="majorBidi"/>
          <w:b/>
          <w:color w:val="1F4E79" w:themeColor="accent1" w:themeShade="80"/>
          <w:sz w:val="25"/>
          <w:szCs w:val="32"/>
          <w:shd w:val="clear" w:color="auto" w:fill="FFFFFF"/>
        </w:rPr>
      </w:pPr>
      <w:r>
        <w:rPr>
          <w:rFonts w:asciiTheme="minorHAnsi" w:hAnsiTheme="minorHAnsi" w:cstheme="minorHAnsi"/>
          <w:b/>
          <w:bCs/>
          <w:caps/>
          <w:sz w:val="20"/>
          <w:szCs w:val="20"/>
          <w:shd w:val="clear" w:color="auto" w:fill="FFFFFF"/>
        </w:rPr>
        <w:fldChar w:fldCharType="end"/>
      </w:r>
    </w:p>
    <w:p w14:paraId="3998C481" w14:textId="77777777" w:rsidR="00460A79" w:rsidRDefault="00460A79">
      <w:pPr>
        <w:spacing w:after="160" w:line="259" w:lineRule="auto"/>
        <w:ind w:firstLine="0"/>
        <w:jc w:val="left"/>
        <w:rPr>
          <w:rFonts w:eastAsiaTheme="majorEastAsia" w:cstheme="majorBidi"/>
          <w:b/>
          <w:color w:val="1F4E79" w:themeColor="accent1" w:themeShade="80"/>
          <w:sz w:val="25"/>
          <w:szCs w:val="32"/>
          <w:shd w:val="clear" w:color="auto" w:fill="FFFFFF"/>
        </w:rPr>
      </w:pPr>
    </w:p>
    <w:p w14:paraId="34B7640D" w14:textId="77777777" w:rsidR="00C42334" w:rsidRDefault="00C42334">
      <w:pPr>
        <w:spacing w:after="160" w:line="259" w:lineRule="auto"/>
        <w:ind w:firstLine="0"/>
        <w:jc w:val="left"/>
        <w:rPr>
          <w:rFonts w:eastAsiaTheme="majorEastAsia" w:cstheme="majorBidi"/>
          <w:b/>
          <w:color w:val="1F4E79" w:themeColor="accent1" w:themeShade="80"/>
          <w:sz w:val="25"/>
          <w:szCs w:val="32"/>
        </w:rPr>
      </w:pPr>
      <w:bookmarkStart w:id="0" w:name="_Toc64549658"/>
      <w:bookmarkStart w:id="1" w:name="_Toc71105487"/>
      <w:r>
        <w:br w:type="page"/>
      </w:r>
    </w:p>
    <w:p w14:paraId="7A8622BB" w14:textId="77777777" w:rsidR="00460A79" w:rsidRDefault="00460A79" w:rsidP="00364C36">
      <w:pPr>
        <w:pStyle w:val="Heading1"/>
      </w:pPr>
      <w:bookmarkStart w:id="2" w:name="_Toc74050873"/>
      <w:r w:rsidRPr="00B3649D">
        <w:lastRenderedPageBreak/>
        <w:t>Background</w:t>
      </w:r>
      <w:bookmarkEnd w:id="0"/>
      <w:bookmarkEnd w:id="1"/>
      <w:bookmarkEnd w:id="2"/>
    </w:p>
    <w:p w14:paraId="06EF623D" w14:textId="77777777" w:rsidR="00460A79" w:rsidRPr="00B3649D" w:rsidRDefault="00460A79" w:rsidP="00364C36">
      <w:pPr>
        <w:pStyle w:val="Heading2"/>
      </w:pPr>
      <w:bookmarkStart w:id="3" w:name="_Toc64549659"/>
      <w:bookmarkStart w:id="4" w:name="_Toc71105488"/>
      <w:bookmarkStart w:id="5" w:name="_Toc74050874"/>
      <w:r w:rsidRPr="00B3649D">
        <w:t>The Thanzi La Onse Model</w:t>
      </w:r>
      <w:bookmarkEnd w:id="3"/>
      <w:bookmarkEnd w:id="4"/>
      <w:bookmarkEnd w:id="5"/>
    </w:p>
    <w:p w14:paraId="28986CD8" w14:textId="77777777" w:rsidR="00460A79" w:rsidRPr="00A915AF" w:rsidRDefault="00460A79" w:rsidP="00460A79">
      <w:r>
        <w:t xml:space="preserve">As part of the Thanzi La Onse program a model is being developed which aims to capture the health experiences of the population of Malawi and the consequent interactions with the health care system. The intent is that this model will help to inform future delivery of health care in Malawi.  The model is an individual based model – which means we explicitly simulate the individual life and health experiences of a representative proportion of population of Malawi. The simulation initiates on 1 Jan 2010 and we attempt to simulate the attributes of the population at that point.  We can run the model forward to any specified future time point. Each potential intervention and its associated diseases are being modelled. This is being divided into separate disease/intervention modules. This document describes the </w:t>
      </w:r>
      <w:r w:rsidR="00804831">
        <w:t>set of undernutrition modules: wasting, stunting, and micronutrient deficiencies.</w:t>
      </w:r>
    </w:p>
    <w:p w14:paraId="7A945429" w14:textId="77777777" w:rsidR="00460A79" w:rsidRPr="00B3649D" w:rsidRDefault="00460A79" w:rsidP="00364C36">
      <w:pPr>
        <w:pStyle w:val="Heading2"/>
      </w:pPr>
      <w:bookmarkStart w:id="6" w:name="_Toc64549660"/>
      <w:bookmarkStart w:id="7" w:name="_Toc71105489"/>
      <w:bookmarkStart w:id="8" w:name="_Toc74050875"/>
      <w:r w:rsidRPr="00B3649D">
        <w:t xml:space="preserve">General approach to </w:t>
      </w:r>
      <w:r w:rsidRPr="00CB4027">
        <w:t>decisions</w:t>
      </w:r>
      <w:r w:rsidRPr="00B3649D">
        <w:t xml:space="preserve"> on modelling causal influences and effects of interventions</w:t>
      </w:r>
      <w:bookmarkEnd w:id="6"/>
      <w:bookmarkEnd w:id="7"/>
      <w:bookmarkEnd w:id="8"/>
    </w:p>
    <w:p w14:paraId="276DA3DB" w14:textId="77777777" w:rsidR="00460A79" w:rsidRPr="0008547E" w:rsidRDefault="00460A79" w:rsidP="00460A79">
      <w:pPr>
        <w:rPr>
          <w:bCs/>
        </w:rPr>
      </w:pPr>
      <w:r>
        <w:rPr>
          <w:bCs/>
        </w:rPr>
        <w:t xml:space="preserve">This module was designed in the context of an overall approach to modelling causal effects in general and causal effects of </w:t>
      </w:r>
      <w:proofErr w:type="gramStart"/>
      <w:r>
        <w:rPr>
          <w:bCs/>
        </w:rPr>
        <w:t>interventions in particular</w:t>
      </w:r>
      <w:proofErr w:type="gramEnd"/>
      <w:r>
        <w:rPr>
          <w:bCs/>
        </w:rPr>
        <w:t xml:space="preserve">. </w:t>
      </w:r>
      <w:r>
        <w:t xml:space="preserve">The overall intent is to adopt as simple a structure as can be conceived, whilst still capturing the essential elements of a disease and the interventions used to prevent or treatment.  We include a causal link between a “variable” (by which we mean a characteristic or property of an individual, whether that be demographic, </w:t>
      </w:r>
      <w:proofErr w:type="gramStart"/>
      <w:r>
        <w:t>social</w:t>
      </w:r>
      <w:proofErr w:type="gramEnd"/>
      <w:r>
        <w:t xml:space="preserve"> or biologic), and risk of disease or another variable if there is strong evidence from an overall body of studies that such a causal link exists and is at least moderately strong.  In informing such decisions we place </w:t>
      </w:r>
      <w:proofErr w:type="gramStart"/>
      <w:r>
        <w:t>particular value</w:t>
      </w:r>
      <w:proofErr w:type="gramEnd"/>
      <w:r>
        <w:t xml:space="preserve"> on RCTs or studies with a quasi-experimental design such as analyses based on an instrumental variable. There is no expectation that such studies will be from Malawi or even from Africa.  If there are such local studies and in the unlikely event that they provide strong evidence to suggest that the causal link is substantively different in </w:t>
      </w:r>
      <w:proofErr w:type="gramStart"/>
      <w:r>
        <w:t>Malawi</w:t>
      </w:r>
      <w:proofErr w:type="gramEnd"/>
      <w:r>
        <w:t xml:space="preserve"> then the intent is that this is taken into account and the Malawi-specific link included.</w:t>
      </w:r>
    </w:p>
    <w:p w14:paraId="3433BEE2" w14:textId="77777777" w:rsidR="00460A79" w:rsidRDefault="00460A79" w:rsidP="00460A79">
      <w:r>
        <w:t xml:space="preserve">In the special case of a potential causal variable which relates to whether an individual has experienced or is experiencing an intervention the intent is to 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our intent has been to form our own opinion on intervention efficacy based on the source trials.  </w:t>
      </w:r>
    </w:p>
    <w:p w14:paraId="402EB207" w14:textId="77777777" w:rsidR="00460A79" w:rsidRDefault="00460A79" w:rsidP="00460A79">
      <w:r>
        <w:t xml:space="preserve">Unless there is evidence to the contrary, the intent is to summarize and incorporate intervention effects into the model as relative risks or rates rather than absolute differences </w:t>
      </w:r>
      <w:proofErr w:type="gramStart"/>
      <w:r>
        <w:t>due to the fact that</w:t>
      </w:r>
      <w:proofErr w:type="gramEnd"/>
      <w:r>
        <w:t xml:space="preserve"> such measures are less likely to differ substantively by context. Interactions between characteristics (on the multiplicative scale) are only to be incorporated if there is strong evidence. Again, we have not intended to rely on data from Malawi or Africa for such evidence but if local evidence exists which strongly suggests a different effect than elsewhere then the intent is that this modified effect is incorporated in the model.</w:t>
      </w:r>
    </w:p>
    <w:p w14:paraId="5A708CC9" w14:textId="77777777" w:rsidR="00460A79" w:rsidRPr="00B3649D" w:rsidRDefault="00460A79" w:rsidP="00364C36">
      <w:pPr>
        <w:pStyle w:val="Heading2"/>
      </w:pPr>
      <w:bookmarkStart w:id="9" w:name="_Toc64549661"/>
      <w:bookmarkStart w:id="10" w:name="_Toc71105490"/>
      <w:bookmarkStart w:id="11" w:name="_Toc74050876"/>
      <w:r w:rsidRPr="00B3649D">
        <w:t>Demographic and social characteristics modelled</w:t>
      </w:r>
      <w:bookmarkEnd w:id="9"/>
      <w:bookmarkEnd w:id="10"/>
      <w:bookmarkEnd w:id="11"/>
    </w:p>
    <w:p w14:paraId="2AD5D77C" w14:textId="77777777" w:rsidR="00460A79" w:rsidRDefault="00460A79" w:rsidP="00460A79">
      <w:r>
        <w:t xml:space="preserve">Based on data on the distribution of the population in Malawi according to geographic location we assign individuals a geographic location, which maps onto whether they are classified as living in a rural or urban area. Informed largely by data from the Malawi DHS, variables are also created indicating the person’s wealth level (based on 5 quintiles), whether the person has access to improved sanitation, clean drinking water, hand washing facilities, and whether they experience indoor air pollution (wood burning stove). We assign individuals a current education status (none, primary, secondary) which is updated 3 </w:t>
      </w:r>
      <w:proofErr w:type="gramStart"/>
      <w:r>
        <w:t>monthly</w:t>
      </w:r>
      <w:proofErr w:type="gramEnd"/>
      <w:r>
        <w:t xml:space="preserve"> from age 5 to 20. From age 15 BMI (in 5 groups) is assigned, as well as using tobacco, drinking excess alcohol, having low exercise, high salt intake, high sugar intake. The status </w:t>
      </w:r>
      <w:proofErr w:type="gramStart"/>
      <w:r>
        <w:t>with regard to</w:t>
      </w:r>
      <w:proofErr w:type="gramEnd"/>
      <w:r>
        <w:t xml:space="preserve"> such variables for individuals can change over time. The influences between these variables are described in detail in a separate document.</w:t>
      </w:r>
    </w:p>
    <w:p w14:paraId="68B86911" w14:textId="77777777" w:rsidR="00B6010E" w:rsidRDefault="00E120BC" w:rsidP="00364C36">
      <w:pPr>
        <w:pStyle w:val="Heading2"/>
      </w:pPr>
      <w:bookmarkStart w:id="12" w:name="_Toc71105491"/>
      <w:bookmarkStart w:id="13" w:name="_Toc74050877"/>
      <w:r>
        <w:lastRenderedPageBreak/>
        <w:t>Under</w:t>
      </w:r>
      <w:r w:rsidR="00B6010E">
        <w:t>nutrition forms modelled</w:t>
      </w:r>
      <w:bookmarkEnd w:id="12"/>
      <w:bookmarkEnd w:id="13"/>
    </w:p>
    <w:p w14:paraId="05A393C9" w14:textId="77777777" w:rsidR="00E120BC" w:rsidRPr="00E120BC" w:rsidRDefault="00E120BC" w:rsidP="00364C36">
      <w:pPr>
        <w:pStyle w:val="Heading3"/>
      </w:pPr>
      <w:bookmarkStart w:id="14" w:name="_Toc71105492"/>
      <w:r>
        <w:t>Definition</w:t>
      </w:r>
      <w:r w:rsidR="00493833">
        <w:t xml:space="preserve"> of undernutrition</w:t>
      </w:r>
      <w:bookmarkEnd w:id="14"/>
    </w:p>
    <w:p w14:paraId="6F693AFE" w14:textId="7568BC9B" w:rsidR="000005E8" w:rsidRDefault="004211F1" w:rsidP="000005E8">
      <w:r>
        <w:t>Undernutrition is defined as insufficient intake of energy and nutrients to meet an individual’s need to maintain good health</w:t>
      </w:r>
      <w:r>
        <w:fldChar w:fldCharType="begin" w:fldLock="1"/>
      </w:r>
      <w:r w:rsidR="00437F19">
        <w:instrText>ADDIN CSL_CITATION {"citationItems":[{"id":"ITEM-1","itemData":{"author":[{"dropping-particle":"","family":"Maleta","given":"Ken","non-dropping-particle":"","parse-names":false,"suffix":""}],"container-title":"Malawi Medical Journal","id":"ITEM-1","issued":{"date-parts":[["2006"]]},"page":"189-205","title":"Undernutrition","type":"article-journal"},"uris":["http://www.mendeley.com/documents/?uuid=775d1b7b-afbe-3666-8a5a-b990dc55e9fc"]}],"mendeley":{"formattedCitation":"&lt;sup&gt;1&lt;/sup&gt;","plainTextFormattedCitation":"1","previouslyFormattedCitation":"&lt;sup&gt;1&lt;/sup&gt;"},"properties":{"noteIndex":0},"schema":"https://github.com/citation-style-language/schema/raw/master/csl-citation.json"}</w:instrText>
      </w:r>
      <w:r>
        <w:fldChar w:fldCharType="separate"/>
      </w:r>
      <w:r w:rsidR="00A74826" w:rsidRPr="00A74826">
        <w:rPr>
          <w:noProof/>
          <w:vertAlign w:val="superscript"/>
        </w:rPr>
        <w:t>1</w:t>
      </w:r>
      <w:r>
        <w:fldChar w:fldCharType="end"/>
      </w:r>
      <w:r>
        <w:t xml:space="preserve">. In the literature, undernutrition and malnutrition are used interchangeably, although, the term malnutrition </w:t>
      </w:r>
      <w:r w:rsidR="00B6010E">
        <w:t>refers to</w:t>
      </w:r>
      <w:r>
        <w:t xml:space="preserve"> all forms of </w:t>
      </w:r>
      <w:r w:rsidR="00B6010E">
        <w:t>deficiencies, excesses, or imbalances in a person’s intake of energy and/or nutrients</w:t>
      </w:r>
      <w:r>
        <w:fldChar w:fldCharType="begin" w:fldLock="1"/>
      </w:r>
      <w:r w:rsidR="00437F19">
        <w:instrText>ADDIN CSL_CITATION {"citationItems":[{"id":"ITEM-1","itemData":{"URL":"https://www.who.int/news-room/fact-sheets/detail/malnutrition","accessed":{"date-parts":[["2021","4","26"]]},"id":"ITEM-1","issued":{"date-parts":[["0"]]},"title":"Fact sheets - Malnutrition","type":"webpage"},"uris":["http://www.mendeley.com/documents/?uuid=cf1a4149-e913-3b72-9c0b-25809df1e967"]}],"mendeley":{"formattedCitation":"&lt;sup&gt;2&lt;/sup&gt;","plainTextFormattedCitation":"2","previouslyFormattedCitation":"&lt;sup&gt;2&lt;/sup&gt;"},"properties":{"noteIndex":0},"schema":"https://github.com/citation-style-language/schema/raw/master/csl-citation.json"}</w:instrText>
      </w:r>
      <w:r>
        <w:fldChar w:fldCharType="separate"/>
      </w:r>
      <w:r w:rsidR="00A74826" w:rsidRPr="00A74826">
        <w:rPr>
          <w:noProof/>
          <w:vertAlign w:val="superscript"/>
        </w:rPr>
        <w:t>2</w:t>
      </w:r>
      <w:r>
        <w:fldChar w:fldCharType="end"/>
      </w:r>
      <w:r w:rsidR="000005E8">
        <w:t>, including undernutrition, micronutrient-related malnutrition, and overnutrition.</w:t>
      </w:r>
      <w:r w:rsidR="0016449C">
        <w:t xml:space="preserve"> </w:t>
      </w:r>
      <w:r w:rsidR="000005E8">
        <w:t>In Malawi, undernutrition in terms of protein-energy undernutrition and micronutrient deficiencies are considered of public health significance, particularly to the health of children. Overnutrition is modelled in TLO within other NDC modules that pertain to older ages (from 15 years of age onwards).</w:t>
      </w:r>
    </w:p>
    <w:p w14:paraId="33090C39" w14:textId="77777777" w:rsidR="0016449C" w:rsidRDefault="0016449C" w:rsidP="0016449C">
      <w:pPr>
        <w:pStyle w:val="Heading3"/>
      </w:pPr>
      <w:r>
        <w:t>Measures of nutritional status</w:t>
      </w:r>
    </w:p>
    <w:p w14:paraId="7D26BA8C" w14:textId="77777777" w:rsidR="0016449C" w:rsidRDefault="0016449C" w:rsidP="0016449C">
      <w:r>
        <w:t>There are several indicators used to measure nutritional imbalances resulting in undernutrition. The commonly used anthropometric measures in community studies are weight and height/length in combination with age and gender.</w:t>
      </w:r>
      <w:r w:rsidRPr="0016449C">
        <w:t xml:space="preserve"> </w:t>
      </w:r>
      <w:r>
        <w:t>These measurements are used to construct indices that are used to describe nutritional status of individuals or populations. The indices used in childhood are weight-for-height Z-score (WHZ), height-for-age Z-score (HAZ) and weight-for-age Z-score (WAZ). A Z-score is a measure of how far an observation is from the population mean as measured in standard deviations. A standard deviation score of a nutritional indicator for an individual = (individual’s value - median value of reference population)/ standard deviation value of reference population. The currently used reference population is the WHO multicentre Growth Reference Study (MGRS).</w:t>
      </w:r>
    </w:p>
    <w:p w14:paraId="51CF96E0" w14:textId="77777777" w:rsidR="00CA79F7" w:rsidRDefault="00CA79F7" w:rsidP="00580CF2">
      <w:pPr>
        <w:pStyle w:val="Caption"/>
        <w:keepNext/>
      </w:pPr>
    </w:p>
    <w:p w14:paraId="23DBFFB2" w14:textId="5D1368CB" w:rsidR="00580CF2" w:rsidRDefault="00580CF2" w:rsidP="00580CF2">
      <w:pPr>
        <w:pStyle w:val="Caption"/>
        <w:keepNext/>
      </w:pPr>
      <w:r>
        <w:t xml:space="preserve">Table </w:t>
      </w:r>
      <w:fldSimple w:instr=" SEQ Table \* ARABIC ">
        <w:r w:rsidR="00EC5D76">
          <w:rPr>
            <w:noProof/>
          </w:rPr>
          <w:t>1</w:t>
        </w:r>
      </w:fldSimple>
      <w:r>
        <w:t xml:space="preserve"> - </w:t>
      </w:r>
      <w:r w:rsidRPr="00384831">
        <w:t>K</w:t>
      </w:r>
      <w:r w:rsidR="00CA79F7">
        <w:t>ey definitions of undernutrition</w:t>
      </w:r>
    </w:p>
    <w:tbl>
      <w:tblPr>
        <w:tblStyle w:val="TableGridLight"/>
        <w:tblW w:w="10348" w:type="dxa"/>
        <w:tblLook w:val="04A0" w:firstRow="1" w:lastRow="0" w:firstColumn="1" w:lastColumn="0" w:noHBand="0" w:noVBand="1"/>
      </w:tblPr>
      <w:tblGrid>
        <w:gridCol w:w="3539"/>
        <w:gridCol w:w="6809"/>
      </w:tblGrid>
      <w:tr w:rsidR="00580CF2" w14:paraId="016EBE82" w14:textId="77777777" w:rsidTr="00096E3F">
        <w:trPr>
          <w:trHeight w:val="310"/>
        </w:trPr>
        <w:tc>
          <w:tcPr>
            <w:tcW w:w="3539" w:type="dxa"/>
            <w:shd w:val="clear" w:color="auto" w:fill="C5E0B3" w:themeFill="accent6" w:themeFillTint="66"/>
            <w:noWrap/>
            <w:hideMark/>
          </w:tcPr>
          <w:p w14:paraId="49ED0DDB" w14:textId="77777777" w:rsidR="00580CF2" w:rsidRPr="00122AB5" w:rsidRDefault="00580CF2" w:rsidP="00096E3F">
            <w:pPr>
              <w:pStyle w:val="NoSpacing"/>
              <w:rPr>
                <w:b/>
              </w:rPr>
            </w:pPr>
            <w:r w:rsidRPr="00122AB5">
              <w:rPr>
                <w:b/>
              </w:rPr>
              <w:t>Terminology</w:t>
            </w:r>
          </w:p>
        </w:tc>
        <w:tc>
          <w:tcPr>
            <w:tcW w:w="6809" w:type="dxa"/>
            <w:shd w:val="clear" w:color="auto" w:fill="C5E0B3" w:themeFill="accent6" w:themeFillTint="66"/>
            <w:noWrap/>
            <w:hideMark/>
          </w:tcPr>
          <w:p w14:paraId="26395B42" w14:textId="77777777" w:rsidR="00580CF2" w:rsidRPr="00122AB5" w:rsidRDefault="00580CF2" w:rsidP="00096E3F">
            <w:pPr>
              <w:pStyle w:val="NoSpacing"/>
              <w:rPr>
                <w:b/>
              </w:rPr>
            </w:pPr>
            <w:r w:rsidRPr="00122AB5">
              <w:rPr>
                <w:b/>
              </w:rPr>
              <w:t>Definition</w:t>
            </w:r>
          </w:p>
        </w:tc>
      </w:tr>
      <w:tr w:rsidR="00096E3F" w14:paraId="13ADB875" w14:textId="77777777" w:rsidTr="00096E3F">
        <w:trPr>
          <w:trHeight w:val="310"/>
        </w:trPr>
        <w:tc>
          <w:tcPr>
            <w:tcW w:w="3539" w:type="dxa"/>
            <w:shd w:val="clear" w:color="auto" w:fill="FFFFFF" w:themeFill="background1"/>
            <w:noWrap/>
          </w:tcPr>
          <w:p w14:paraId="108F384D" w14:textId="77777777" w:rsidR="00096E3F" w:rsidRPr="00096E3F" w:rsidRDefault="00CA79F7" w:rsidP="00096E3F">
            <w:pPr>
              <w:pStyle w:val="NoSpacing"/>
            </w:pPr>
            <w:r>
              <w:t>Weight-for-height/length</w:t>
            </w:r>
          </w:p>
        </w:tc>
        <w:tc>
          <w:tcPr>
            <w:tcW w:w="6809" w:type="dxa"/>
            <w:shd w:val="clear" w:color="auto" w:fill="FFFFFF" w:themeFill="background1"/>
            <w:noWrap/>
          </w:tcPr>
          <w:p w14:paraId="616FA8DB" w14:textId="77777777" w:rsidR="00096E3F" w:rsidRPr="00096E3F" w:rsidRDefault="00CA79F7" w:rsidP="00CA79F7">
            <w:pPr>
              <w:pStyle w:val="NoSpacing"/>
            </w:pPr>
            <w:r>
              <w:t>Measure of a child’s weight relative to the weight of a child of the same height or length in a reference population, expressed as a Z-score. Low weight-for-height (WHZ&lt;-2) is known as wasting, the acute form of undernutrition</w:t>
            </w:r>
          </w:p>
        </w:tc>
      </w:tr>
      <w:tr w:rsidR="00096E3F" w14:paraId="678DC739" w14:textId="77777777" w:rsidTr="00096E3F">
        <w:trPr>
          <w:trHeight w:val="310"/>
        </w:trPr>
        <w:tc>
          <w:tcPr>
            <w:tcW w:w="3539" w:type="dxa"/>
            <w:shd w:val="clear" w:color="auto" w:fill="FFFFFF" w:themeFill="background1"/>
            <w:noWrap/>
          </w:tcPr>
          <w:p w14:paraId="0A8A290A" w14:textId="77777777" w:rsidR="00096E3F" w:rsidRPr="00096E3F" w:rsidRDefault="00CA79F7" w:rsidP="00096E3F">
            <w:pPr>
              <w:pStyle w:val="NoSpacing"/>
            </w:pPr>
            <w:r>
              <w:t>Height/length-for-age</w:t>
            </w:r>
          </w:p>
        </w:tc>
        <w:tc>
          <w:tcPr>
            <w:tcW w:w="6809" w:type="dxa"/>
            <w:shd w:val="clear" w:color="auto" w:fill="FFFFFF" w:themeFill="background1"/>
            <w:noWrap/>
          </w:tcPr>
          <w:p w14:paraId="71551183" w14:textId="77777777" w:rsidR="00096E3F" w:rsidRPr="00096E3F" w:rsidRDefault="00CA79F7" w:rsidP="00CA79F7">
            <w:pPr>
              <w:pStyle w:val="NoSpacing"/>
            </w:pPr>
            <w:r>
              <w:t xml:space="preserve">Measure of a child’s height or length </w:t>
            </w:r>
            <w:r w:rsidRPr="00E86DA5">
              <w:t>relative to the length or height of a child of the same age in a reference population, expressed as a Z</w:t>
            </w:r>
            <w:r>
              <w:t>-</w:t>
            </w:r>
            <w:r w:rsidRPr="00E86DA5">
              <w:t>score</w:t>
            </w:r>
            <w:r>
              <w:t>. Low height-for-age (HAZ&lt;-2) is known as stunting, a result of chronic or recurrent undernutrition</w:t>
            </w:r>
          </w:p>
        </w:tc>
      </w:tr>
      <w:tr w:rsidR="00096E3F" w14:paraId="2A430CDE" w14:textId="77777777" w:rsidTr="00096E3F">
        <w:trPr>
          <w:trHeight w:val="310"/>
        </w:trPr>
        <w:tc>
          <w:tcPr>
            <w:tcW w:w="3539" w:type="dxa"/>
            <w:shd w:val="clear" w:color="auto" w:fill="FFFFFF" w:themeFill="background1"/>
            <w:noWrap/>
          </w:tcPr>
          <w:p w14:paraId="4520C0A1" w14:textId="77777777" w:rsidR="00096E3F" w:rsidRPr="00096E3F" w:rsidRDefault="00CA79F7" w:rsidP="00CA79F7">
            <w:pPr>
              <w:pStyle w:val="NoSpacing"/>
            </w:pPr>
            <w:r>
              <w:t>Weight-for-age</w:t>
            </w:r>
          </w:p>
        </w:tc>
        <w:tc>
          <w:tcPr>
            <w:tcW w:w="6809" w:type="dxa"/>
            <w:shd w:val="clear" w:color="auto" w:fill="FFFFFF" w:themeFill="background1"/>
            <w:noWrap/>
          </w:tcPr>
          <w:p w14:paraId="148AC20C" w14:textId="77777777" w:rsidR="00096E3F" w:rsidRPr="00096E3F" w:rsidRDefault="00CA79F7" w:rsidP="00CA79F7">
            <w:pPr>
              <w:pStyle w:val="NoSpacing"/>
            </w:pPr>
            <w:r>
              <w:t>Measure of a child’s weight relative to the weight of a child of the same age in a reference population, expressed as a Z-score. Low weight-for-age is known as underweight</w:t>
            </w:r>
          </w:p>
        </w:tc>
      </w:tr>
      <w:tr w:rsidR="00580CF2" w14:paraId="5CDD1048" w14:textId="77777777" w:rsidTr="00096E3F">
        <w:trPr>
          <w:trHeight w:val="310"/>
        </w:trPr>
        <w:tc>
          <w:tcPr>
            <w:tcW w:w="3539" w:type="dxa"/>
            <w:noWrap/>
            <w:hideMark/>
          </w:tcPr>
          <w:p w14:paraId="69517790" w14:textId="77777777" w:rsidR="00580CF2" w:rsidRDefault="00580CF2" w:rsidP="00096E3F">
            <w:pPr>
              <w:pStyle w:val="NoSpacing"/>
            </w:pPr>
            <w:r>
              <w:t>wasting</w:t>
            </w:r>
          </w:p>
        </w:tc>
        <w:tc>
          <w:tcPr>
            <w:tcW w:w="6809" w:type="dxa"/>
            <w:noWrap/>
            <w:hideMark/>
          </w:tcPr>
          <w:p w14:paraId="7564C41F" w14:textId="77777777" w:rsidR="00580CF2" w:rsidRDefault="00580CF2" w:rsidP="00096E3F">
            <w:pPr>
              <w:pStyle w:val="NoSpacing"/>
            </w:pPr>
            <w:r>
              <w:t xml:space="preserve">weight-for-height Z-score &lt;-2 SD, </w:t>
            </w:r>
          </w:p>
          <w:p w14:paraId="35C4E049" w14:textId="77777777" w:rsidR="00580CF2" w:rsidRDefault="00CA79F7" w:rsidP="00CA79F7">
            <w:pPr>
              <w:pStyle w:val="NoSpacing"/>
            </w:pPr>
            <w:r>
              <w:t>(</w:t>
            </w:r>
            <w:r w:rsidR="00580CF2">
              <w:t>severe wasting WHZ&lt;-3, moderate wasting -3</w:t>
            </w:r>
            <w:r w:rsidR="00580CF2">
              <w:rPr>
                <w:rFonts w:ascii="Calibri" w:hAnsi="Calibri" w:cs="Calibri"/>
              </w:rPr>
              <w:t>≥</w:t>
            </w:r>
            <w:r w:rsidR="00580CF2">
              <w:t>WHZ&lt;-2</w:t>
            </w:r>
            <w:r>
              <w:t>)</w:t>
            </w:r>
          </w:p>
        </w:tc>
      </w:tr>
      <w:tr w:rsidR="00580CF2" w14:paraId="03CA2367" w14:textId="77777777" w:rsidTr="00096E3F">
        <w:trPr>
          <w:trHeight w:val="310"/>
        </w:trPr>
        <w:tc>
          <w:tcPr>
            <w:tcW w:w="3539" w:type="dxa"/>
            <w:noWrap/>
            <w:hideMark/>
          </w:tcPr>
          <w:p w14:paraId="27C68A1A" w14:textId="77777777" w:rsidR="00580CF2" w:rsidRDefault="00580CF2" w:rsidP="00096E3F">
            <w:pPr>
              <w:pStyle w:val="NoSpacing"/>
            </w:pPr>
            <w:r>
              <w:t>stunting</w:t>
            </w:r>
          </w:p>
        </w:tc>
        <w:tc>
          <w:tcPr>
            <w:tcW w:w="6809" w:type="dxa"/>
            <w:noWrap/>
            <w:hideMark/>
          </w:tcPr>
          <w:p w14:paraId="06ACC929" w14:textId="77777777" w:rsidR="00580CF2" w:rsidRDefault="00580CF2" w:rsidP="00096E3F">
            <w:pPr>
              <w:pStyle w:val="NoSpacing"/>
            </w:pPr>
            <w:r>
              <w:t xml:space="preserve">height-for-age Z-score &lt;-2 SD, </w:t>
            </w:r>
          </w:p>
          <w:p w14:paraId="2DADE8D6" w14:textId="77777777" w:rsidR="00580CF2" w:rsidRDefault="00CA79F7" w:rsidP="00CA79F7">
            <w:pPr>
              <w:pStyle w:val="NoSpacing"/>
            </w:pPr>
            <w:r>
              <w:t>(</w:t>
            </w:r>
            <w:r w:rsidR="00580CF2">
              <w:t>severe stunting HAZ&lt;-3, moderate stunting -3</w:t>
            </w:r>
            <w:r w:rsidR="00580CF2">
              <w:rPr>
                <w:rFonts w:ascii="Calibri" w:hAnsi="Calibri" w:cs="Calibri"/>
              </w:rPr>
              <w:t>≥</w:t>
            </w:r>
            <w:r w:rsidR="00580CF2">
              <w:t>HAZ&lt;-2</w:t>
            </w:r>
            <w:r>
              <w:t>)</w:t>
            </w:r>
          </w:p>
        </w:tc>
      </w:tr>
      <w:tr w:rsidR="00580CF2" w14:paraId="30968696" w14:textId="77777777" w:rsidTr="00096E3F">
        <w:trPr>
          <w:trHeight w:val="310"/>
        </w:trPr>
        <w:tc>
          <w:tcPr>
            <w:tcW w:w="3539" w:type="dxa"/>
            <w:noWrap/>
            <w:hideMark/>
          </w:tcPr>
          <w:p w14:paraId="7CBCC8BB" w14:textId="77777777" w:rsidR="00580CF2" w:rsidRDefault="00580CF2" w:rsidP="00096E3F">
            <w:pPr>
              <w:pStyle w:val="NoSpacing"/>
            </w:pPr>
            <w:r>
              <w:t>underweight</w:t>
            </w:r>
          </w:p>
        </w:tc>
        <w:tc>
          <w:tcPr>
            <w:tcW w:w="6809" w:type="dxa"/>
            <w:noWrap/>
            <w:hideMark/>
          </w:tcPr>
          <w:p w14:paraId="716DB57A" w14:textId="77777777" w:rsidR="00580CF2" w:rsidRDefault="00580CF2" w:rsidP="00096E3F">
            <w:pPr>
              <w:pStyle w:val="NoSpacing"/>
            </w:pPr>
            <w:r>
              <w:t xml:space="preserve">weight-for-age Z-score &lt;-2 SD, </w:t>
            </w:r>
          </w:p>
          <w:p w14:paraId="18D7F9CA" w14:textId="77777777" w:rsidR="00580CF2" w:rsidRDefault="00CA79F7" w:rsidP="00CA79F7">
            <w:pPr>
              <w:pStyle w:val="NoSpacing"/>
            </w:pPr>
            <w:r>
              <w:t>(</w:t>
            </w:r>
            <w:r w:rsidR="00580CF2">
              <w:t>severe underweight WAZ&lt;-3, moderate underweight -3</w:t>
            </w:r>
            <w:r w:rsidR="00580CF2">
              <w:rPr>
                <w:rFonts w:ascii="Calibri" w:hAnsi="Calibri" w:cs="Calibri"/>
              </w:rPr>
              <w:t>≥</w:t>
            </w:r>
            <w:r w:rsidR="00580CF2">
              <w:t>WAZ&lt;-3</w:t>
            </w:r>
            <w:r>
              <w:t>)</w:t>
            </w:r>
          </w:p>
        </w:tc>
      </w:tr>
    </w:tbl>
    <w:p w14:paraId="19B5F7EB" w14:textId="77777777" w:rsidR="00CA79F7" w:rsidRDefault="00580CF2" w:rsidP="00CA79F7">
      <w:pPr>
        <w:rPr>
          <w:shd w:val="clear" w:color="auto" w:fill="FFFFFF"/>
        </w:rPr>
      </w:pPr>
      <w:r>
        <w:rPr>
          <w:shd w:val="clear" w:color="auto" w:fill="FFFFFF"/>
        </w:rPr>
        <w:t xml:space="preserve"> </w:t>
      </w:r>
    </w:p>
    <w:p w14:paraId="74F4BA86" w14:textId="77777777" w:rsidR="007036DD" w:rsidRDefault="00BF5534" w:rsidP="00CA79F7">
      <w:pPr>
        <w:rPr>
          <w:shd w:val="clear" w:color="auto" w:fill="FFFFFF"/>
        </w:rPr>
      </w:pPr>
      <w:r>
        <w:rPr>
          <w:shd w:val="clear" w:color="auto" w:fill="FFFFFF"/>
        </w:rPr>
        <w:t>The following sections describe the</w:t>
      </w:r>
      <w:r w:rsidR="00F71CC7">
        <w:rPr>
          <w:shd w:val="clear" w:color="auto" w:fill="FFFFFF"/>
        </w:rPr>
        <w:t xml:space="preserve"> rationale for the model structures of wasting and stunting. </w:t>
      </w:r>
      <w:r w:rsidR="007676D7">
        <w:rPr>
          <w:shd w:val="clear" w:color="auto" w:fill="FFFFFF"/>
        </w:rPr>
        <w:t>As u</w:t>
      </w:r>
      <w:r w:rsidR="003936FC">
        <w:rPr>
          <w:shd w:val="clear" w:color="auto" w:fill="FFFFFF"/>
        </w:rPr>
        <w:t xml:space="preserve">nderweight can reflect </w:t>
      </w:r>
      <w:r w:rsidR="007676D7">
        <w:rPr>
          <w:shd w:val="clear" w:color="auto" w:fill="FFFFFF"/>
        </w:rPr>
        <w:t xml:space="preserve">wasting, stunting, or both, it is </w:t>
      </w:r>
      <w:r w:rsidR="007036DD">
        <w:rPr>
          <w:shd w:val="clear" w:color="auto" w:fill="FFFFFF"/>
        </w:rPr>
        <w:t xml:space="preserve">difficult to interpret and </w:t>
      </w:r>
      <w:r w:rsidR="007676D7">
        <w:rPr>
          <w:shd w:val="clear" w:color="auto" w:fill="FFFFFF"/>
        </w:rPr>
        <w:t xml:space="preserve">therefore, </w:t>
      </w:r>
      <w:r w:rsidR="00F71CC7">
        <w:rPr>
          <w:shd w:val="clear" w:color="auto" w:fill="FFFFFF"/>
        </w:rPr>
        <w:t>not include</w:t>
      </w:r>
      <w:r w:rsidR="007036DD">
        <w:rPr>
          <w:shd w:val="clear" w:color="auto" w:fill="FFFFFF"/>
        </w:rPr>
        <w:t>d in the undernutrition module</w:t>
      </w:r>
      <w:r w:rsidR="003936FC">
        <w:rPr>
          <w:shd w:val="clear" w:color="auto" w:fill="FFFFFF"/>
        </w:rPr>
        <w:t>s</w:t>
      </w:r>
      <w:r w:rsidR="007036DD">
        <w:rPr>
          <w:shd w:val="clear" w:color="auto" w:fill="FFFFFF"/>
        </w:rPr>
        <w:t>.</w:t>
      </w:r>
    </w:p>
    <w:p w14:paraId="6BA4A3CF" w14:textId="77777777" w:rsidR="00CA79F7" w:rsidRDefault="00CA79F7" w:rsidP="00F71CC7">
      <w:pPr>
        <w:rPr>
          <w:shd w:val="clear" w:color="auto" w:fill="FFFFFF"/>
        </w:rPr>
      </w:pPr>
    </w:p>
    <w:p w14:paraId="262D233A" w14:textId="77777777" w:rsidR="00CA79F7" w:rsidRDefault="00CA79F7" w:rsidP="00F71CC7">
      <w:pPr>
        <w:rPr>
          <w:shd w:val="clear" w:color="auto" w:fill="FFFFFF"/>
        </w:rPr>
      </w:pPr>
    </w:p>
    <w:p w14:paraId="2CAD389F" w14:textId="77777777" w:rsidR="007036DD" w:rsidRDefault="007036DD">
      <w:pPr>
        <w:spacing w:after="160" w:line="259" w:lineRule="auto"/>
        <w:ind w:firstLine="0"/>
        <w:jc w:val="left"/>
        <w:rPr>
          <w:rFonts w:eastAsiaTheme="majorEastAsia" w:cstheme="majorBidi"/>
          <w:b/>
          <w:color w:val="1F4E79" w:themeColor="accent1" w:themeShade="80"/>
          <w:sz w:val="25"/>
          <w:szCs w:val="32"/>
          <w:shd w:val="clear" w:color="auto" w:fill="FFFFFF"/>
        </w:rPr>
      </w:pPr>
      <w:r>
        <w:rPr>
          <w:shd w:val="clear" w:color="auto" w:fill="FFFFFF"/>
        </w:rPr>
        <w:br w:type="page"/>
      </w:r>
    </w:p>
    <w:p w14:paraId="0C61E95B" w14:textId="77777777" w:rsidR="007053A1" w:rsidRDefault="007053A1" w:rsidP="007053A1">
      <w:pPr>
        <w:pStyle w:val="Heading1"/>
        <w:jc w:val="left"/>
        <w:rPr>
          <w:shd w:val="clear" w:color="auto" w:fill="FFFFFF"/>
        </w:rPr>
      </w:pPr>
      <w:bookmarkStart w:id="15" w:name="_Toc71105494"/>
      <w:bookmarkStart w:id="16" w:name="_Toc74050878"/>
      <w:r>
        <w:rPr>
          <w:shd w:val="clear" w:color="auto" w:fill="FFFFFF"/>
        </w:rPr>
        <w:lastRenderedPageBreak/>
        <w:t>Conceptualisation of</w:t>
      </w:r>
      <w:r w:rsidR="00755224">
        <w:rPr>
          <w:shd w:val="clear" w:color="auto" w:fill="FFFFFF"/>
        </w:rPr>
        <w:t xml:space="preserve"> </w:t>
      </w:r>
      <w:r w:rsidRPr="007053A1">
        <w:rPr>
          <w:color w:val="538135" w:themeColor="accent6" w:themeShade="BF"/>
          <w:shd w:val="clear" w:color="auto" w:fill="FFFFFF"/>
        </w:rPr>
        <w:t>wasting</w:t>
      </w:r>
      <w:r>
        <w:rPr>
          <w:shd w:val="clear" w:color="auto" w:fill="FFFFFF"/>
        </w:rPr>
        <w:t xml:space="preserve"> </w:t>
      </w:r>
      <w:r w:rsidR="00755224">
        <w:rPr>
          <w:shd w:val="clear" w:color="auto" w:fill="FFFFFF"/>
        </w:rPr>
        <w:t>model structure</w:t>
      </w:r>
      <w:bookmarkEnd w:id="15"/>
      <w:bookmarkEnd w:id="16"/>
      <w:r w:rsidR="00755224">
        <w:rPr>
          <w:shd w:val="clear" w:color="auto" w:fill="FFFFFF"/>
        </w:rPr>
        <w:t xml:space="preserve"> </w:t>
      </w:r>
    </w:p>
    <w:p w14:paraId="23420760" w14:textId="77777777" w:rsidR="00460A79" w:rsidRDefault="00460A79" w:rsidP="007053A1">
      <w:pPr>
        <w:pStyle w:val="Heading2"/>
      </w:pPr>
      <w:bookmarkStart w:id="17" w:name="_Toc71105495"/>
      <w:bookmarkStart w:id="18" w:name="_Toc74050879"/>
      <w:r>
        <w:t>Summary</w:t>
      </w:r>
      <w:bookmarkEnd w:id="17"/>
      <w:bookmarkEnd w:id="18"/>
      <w:r>
        <w:t xml:space="preserve"> </w:t>
      </w:r>
    </w:p>
    <w:p w14:paraId="23038B2B" w14:textId="25B3030E" w:rsidR="00DA4974" w:rsidRDefault="00DA4974" w:rsidP="00B961E2">
      <w:r>
        <w:t>Wasting classification by the WHO</w:t>
      </w:r>
      <w:r w:rsidR="00724FCA">
        <w:t xml:space="preserve"> guidelines</w:t>
      </w:r>
      <w:r>
        <w:t xml:space="preserve"> </w:t>
      </w:r>
      <w:r w:rsidR="00122BC3">
        <w:t>has two categories: moderate (-3</w:t>
      </w:r>
      <w:r w:rsidR="00122BC3">
        <w:rPr>
          <w:rFonts w:cs="Arial"/>
        </w:rPr>
        <w:t>≤</w:t>
      </w:r>
      <w:r w:rsidR="00122BC3">
        <w:t>WHZ&lt;-2) or severe (WHZ&lt;-3).</w:t>
      </w:r>
      <w:r>
        <w:t xml:space="preserve"> This definition of wasting does not include nutritional oedema (</w:t>
      </w:r>
      <w:r w:rsidR="00204FE9">
        <w:t>kwashiorkor</w:t>
      </w:r>
      <w:r>
        <w:t>), a form of acute undernutrition that results from similar causal pathways to wasting</w:t>
      </w:r>
      <w:r w:rsidR="004A468D">
        <w:t xml:space="preserve">, or other forms of anthropometric measurements, such as </w:t>
      </w:r>
      <w:r w:rsidR="00204FE9">
        <w:t>mid-upper arm circumference (MUAC) tape</w:t>
      </w:r>
      <w:r w:rsidR="004A468D">
        <w:t>, which is widely used in community-settings for the identification of acutely undernourished children aged 6-59 months.</w:t>
      </w:r>
    </w:p>
    <w:p w14:paraId="313DA2AB" w14:textId="3D3BB5BC" w:rsidR="00C818A4" w:rsidRDefault="00DA4974" w:rsidP="00C818A4">
      <w:pPr>
        <w:rPr>
          <w:shd w:val="clear" w:color="auto" w:fill="FFFFFF"/>
        </w:rPr>
      </w:pPr>
      <w:r>
        <w:t>Clinical acute malnutrition in children aged 6-59 months can be either moderate or severe. Table 2 shows the definition of moderate acute malnutrition (MAM) and severe acute malnutrition (SAM).</w:t>
      </w:r>
      <w:r w:rsidR="00C818A4" w:rsidRPr="00C818A4">
        <w:rPr>
          <w:shd w:val="clear" w:color="auto" w:fill="FFFFFF"/>
        </w:rPr>
        <w:t xml:space="preserve"> </w:t>
      </w:r>
      <w:r w:rsidR="00C818A4">
        <w:rPr>
          <w:shd w:val="clear" w:color="auto" w:fill="FFFFFF"/>
        </w:rPr>
        <w:t xml:space="preserve">SAM is defined by two distinct clinical identities: marasmus and kwashiorkor. Children with SAM are further classified according to the presence or absence of medical </w:t>
      </w:r>
      <w:proofErr w:type="gramStart"/>
      <w:r w:rsidR="00C818A4">
        <w:rPr>
          <w:shd w:val="clear" w:color="auto" w:fill="FFFFFF"/>
        </w:rPr>
        <w:t>complications, and</w:t>
      </w:r>
      <w:proofErr w:type="gramEnd"/>
      <w:r w:rsidR="00C818A4">
        <w:rPr>
          <w:shd w:val="clear" w:color="auto" w:fill="FFFFFF"/>
        </w:rPr>
        <w:t xml:space="preserve"> managed accordingly. Uncomplicated SAM includes children without signs of infections and with retained appetite </w:t>
      </w:r>
      <w:r w:rsidR="00C818A4">
        <w:t>which is regarded as indicative of the absence of severe metabolic disturbance. Complicated SAM includes children with clinical features of infection, metabolic disturbance, severe oedema, hypothermia, vomiting, severe dehydration, severe anaemia or a lack of appetite who require inpatient treatment</w:t>
      </w:r>
      <w:r w:rsidR="00C818A4">
        <w:fldChar w:fldCharType="begin" w:fldLock="1"/>
      </w:r>
      <w:r w:rsidR="00437F19">
        <w:instrText>ADDIN CSL_CITATION {"citationItems":[{"id":"ITEM-1","itemData":{"DOI":"10.1080/20469047.2017.1409453","ISSN":"20469055","PMID":"29790840","abstract":"Background: Severe acute malnutrition (SAM) affects nearly 20 million children worldwide and is responsible for up to 1 million deaths per year in children under the age of 5 years. Current WHO guidelines recommend oral amoxicillin for children with uncomplicated malnutrition and parenteral benzylpenicillin and gentamicin for those with complicated malnutrition. Because of cost pressures and increasing antimicrobial resistance, the administration of empirical antibiotics for children with SAM has recently been debated. Methods: A systematic review of the current published literature was undertaken to assess the efficacy, safety, cost-effectiveness and pharmacokinetics of antimicrobial treatment of children with SAM in accordance with the Preferred Reporting Items for Systematic Reviews and Meta-Analyses. Results: The initial search found 712 papers, eight of which met the inclusion criteria. Quality assessment of the studies was performed as per the Grading of Recommendations Assessment, Development and Evaluation guidelines. International guidelines and clinical data registries were also reviewed which identified inconsistencies in current first- and second-line therapies and dosing regimens. Conclusion: Current evidence supports the continued use of broad-spectrum oral amoxicillin for treating children with uncomplicated SAM as outpatients. There is no strong evidence to justify changing the current parenteral therapy guidelines for children admitted with complicated SAM, although they should be clarified to harmonise the dosage regimen of amoxicillin for the treatment of SAM to 40 mg/kg twice daily, and to continue parenteral antimicrobials beyond 2 days if indicated by the clinical condition.","author":[{"dropping-particle":"","family":"Williams","given":"Phoebe C.M.","non-dropping-particle":"","parse-names":false,"suffix":""},{"dropping-particle":"","family":"Berkley","given":"James A.","non-dropping-particle":"","parse-names":false,"suffix":""}],"container-title":"Paediatrics and International Child Health","id":"ITEM-1","issue":"Suppl 1","issued":{"date-parts":[["2018","12","21"]]},"page":"S32-S49","publisher":"Taylor and Francis Ltd.","title":"Guidelines for the treatment of severe acute malnutrition: a systematic review of the evidence for antimicrobial therapy","type":"article","volume":"38"},"uris":["http://www.mendeley.com/documents/?uuid=9cc13056-4028-357e-9365-49bdb3f0a0d6"]}],"mendeley":{"formattedCitation":"&lt;sup&gt;3&lt;/sup&gt;","plainTextFormattedCitation":"3","previouslyFormattedCitation":"&lt;sup&gt;3&lt;/sup&gt;"},"properties":{"noteIndex":0},"schema":"https://github.com/citation-style-language/schema/raw/master/csl-citation.json"}</w:instrText>
      </w:r>
      <w:r w:rsidR="00C818A4">
        <w:fldChar w:fldCharType="separate"/>
      </w:r>
      <w:r w:rsidR="00A74826" w:rsidRPr="00A74826">
        <w:rPr>
          <w:noProof/>
          <w:vertAlign w:val="superscript"/>
        </w:rPr>
        <w:t>3</w:t>
      </w:r>
      <w:r w:rsidR="00C818A4">
        <w:fldChar w:fldCharType="end"/>
      </w:r>
      <w:r w:rsidR="00C818A4">
        <w:rPr>
          <w:shd w:val="clear" w:color="auto" w:fill="FFFFFF"/>
        </w:rPr>
        <w:t xml:space="preserve">. </w:t>
      </w:r>
    </w:p>
    <w:p w14:paraId="1A4BB4D9" w14:textId="77777777" w:rsidR="00CA79F7" w:rsidRDefault="00CA79F7" w:rsidP="00C818A4">
      <w:pPr>
        <w:ind w:firstLine="0"/>
      </w:pPr>
    </w:p>
    <w:p w14:paraId="6565BA0D" w14:textId="3C0F3479" w:rsidR="003A0CDC" w:rsidRDefault="003A0CDC" w:rsidP="003A0CDC">
      <w:pPr>
        <w:pStyle w:val="Caption"/>
        <w:keepNext/>
      </w:pPr>
      <w:r>
        <w:t xml:space="preserve">Table </w:t>
      </w:r>
      <w:fldSimple w:instr=" SEQ Table \* ARABIC ">
        <w:r w:rsidR="00EC5D76">
          <w:rPr>
            <w:noProof/>
          </w:rPr>
          <w:t>2</w:t>
        </w:r>
      </w:fldSimple>
      <w:r>
        <w:t xml:space="preserve"> - </w:t>
      </w:r>
      <w:r w:rsidRPr="00882C82">
        <w:t xml:space="preserve">Key definitions of </w:t>
      </w:r>
      <w:r w:rsidR="004A468D">
        <w:t>acute undernutrition</w:t>
      </w:r>
    </w:p>
    <w:tbl>
      <w:tblPr>
        <w:tblStyle w:val="TableGridLight"/>
        <w:tblW w:w="10348" w:type="dxa"/>
        <w:tblLook w:val="04A0" w:firstRow="1" w:lastRow="0" w:firstColumn="1" w:lastColumn="0" w:noHBand="0" w:noVBand="1"/>
      </w:tblPr>
      <w:tblGrid>
        <w:gridCol w:w="3539"/>
        <w:gridCol w:w="6809"/>
      </w:tblGrid>
      <w:tr w:rsidR="00CA79F7" w14:paraId="59BC61A4" w14:textId="77777777" w:rsidTr="003A0CDC">
        <w:trPr>
          <w:trHeight w:val="310"/>
        </w:trPr>
        <w:tc>
          <w:tcPr>
            <w:tcW w:w="3539" w:type="dxa"/>
            <w:shd w:val="clear" w:color="auto" w:fill="C5E0B3" w:themeFill="accent6" w:themeFillTint="66"/>
            <w:noWrap/>
          </w:tcPr>
          <w:p w14:paraId="0A9F8108" w14:textId="77777777" w:rsidR="00CA79F7" w:rsidRPr="00122AB5" w:rsidRDefault="00CA79F7" w:rsidP="004A468D">
            <w:pPr>
              <w:pStyle w:val="NoSpacing"/>
              <w:rPr>
                <w:b/>
              </w:rPr>
            </w:pPr>
            <w:r w:rsidRPr="00122AB5">
              <w:rPr>
                <w:b/>
              </w:rPr>
              <w:t>Terminology</w:t>
            </w:r>
          </w:p>
        </w:tc>
        <w:tc>
          <w:tcPr>
            <w:tcW w:w="6809" w:type="dxa"/>
            <w:shd w:val="clear" w:color="auto" w:fill="C5E0B3" w:themeFill="accent6" w:themeFillTint="66"/>
            <w:noWrap/>
          </w:tcPr>
          <w:p w14:paraId="2425D07F" w14:textId="77777777" w:rsidR="00CA79F7" w:rsidRPr="00122AB5" w:rsidRDefault="00CA79F7" w:rsidP="004A468D">
            <w:pPr>
              <w:pStyle w:val="NoSpacing"/>
              <w:rPr>
                <w:b/>
              </w:rPr>
            </w:pPr>
            <w:r w:rsidRPr="00122AB5">
              <w:rPr>
                <w:b/>
              </w:rPr>
              <w:t>Definition</w:t>
            </w:r>
          </w:p>
        </w:tc>
      </w:tr>
      <w:tr w:rsidR="00CA79F7" w14:paraId="29F87948" w14:textId="77777777" w:rsidTr="004A468D">
        <w:trPr>
          <w:trHeight w:val="310"/>
        </w:trPr>
        <w:tc>
          <w:tcPr>
            <w:tcW w:w="3539" w:type="dxa"/>
            <w:noWrap/>
            <w:hideMark/>
          </w:tcPr>
          <w:p w14:paraId="2AFAB1B0" w14:textId="77777777" w:rsidR="00CA79F7" w:rsidRPr="00C818A4" w:rsidRDefault="00CA79F7" w:rsidP="004A468D">
            <w:pPr>
              <w:pStyle w:val="NoSpacing"/>
            </w:pPr>
            <w:r w:rsidRPr="00C818A4">
              <w:t>severe acute malnutrition (SAM)</w:t>
            </w:r>
          </w:p>
        </w:tc>
        <w:tc>
          <w:tcPr>
            <w:tcW w:w="6809" w:type="dxa"/>
            <w:noWrap/>
            <w:hideMark/>
          </w:tcPr>
          <w:p w14:paraId="6E7F6FFF" w14:textId="23252C13" w:rsidR="00CA79F7" w:rsidRPr="00C818A4" w:rsidRDefault="00CA79F7" w:rsidP="004A468D">
            <w:pPr>
              <w:pStyle w:val="NoSpacing"/>
            </w:pPr>
            <w:r w:rsidRPr="00C818A4">
              <w:t>severe wasting (WHZ&lt;-3) and/or MUAC&lt;115mm and/or bilateral oedema</w:t>
            </w:r>
            <w:r w:rsidR="00304913">
              <w:t xml:space="preserve"> </w:t>
            </w:r>
            <w:r w:rsidR="00304913">
              <w:fldChar w:fldCharType="begin" w:fldLock="1"/>
            </w:r>
            <w:r w:rsidR="00C12542">
              <w:instrText>ADDIN CSL_CITATION {"citationItems":[{"id":"ITEM-1","itemData":{"id":"ITEM-1","issued":{"date-parts":[["0"]]},"title":"WHO child growth standards and the identification of severe acute malnutrition in infants and children","type":"report"},"uris":["http://www.mendeley.com/documents/?uuid=0fcf119f-362d-3e10-9c52-ec00a84f70bb"]}],"mendeley":{"formattedCitation":"&lt;sup&gt;4&lt;/sup&gt;","plainTextFormattedCitation":"4","previouslyFormattedCitation":"&lt;sup&gt;4&lt;/sup&gt;"},"properties":{"noteIndex":0},"schema":"https://github.com/citation-style-language/schema/raw/master/csl-citation.json"}</w:instrText>
            </w:r>
            <w:r w:rsidR="00304913">
              <w:fldChar w:fldCharType="separate"/>
            </w:r>
            <w:r w:rsidR="00304913" w:rsidRPr="00304913">
              <w:rPr>
                <w:noProof/>
                <w:vertAlign w:val="superscript"/>
              </w:rPr>
              <w:t>4</w:t>
            </w:r>
            <w:r w:rsidR="00304913">
              <w:fldChar w:fldCharType="end"/>
            </w:r>
          </w:p>
        </w:tc>
      </w:tr>
      <w:tr w:rsidR="00CA79F7" w14:paraId="07987BC6" w14:textId="77777777" w:rsidTr="004A468D">
        <w:trPr>
          <w:trHeight w:val="310"/>
        </w:trPr>
        <w:tc>
          <w:tcPr>
            <w:tcW w:w="3539" w:type="dxa"/>
            <w:noWrap/>
            <w:hideMark/>
          </w:tcPr>
          <w:p w14:paraId="3C518B82" w14:textId="77777777" w:rsidR="00CA79F7" w:rsidRPr="00C818A4" w:rsidRDefault="00CA79F7" w:rsidP="004A468D">
            <w:pPr>
              <w:pStyle w:val="NoSpacing"/>
            </w:pPr>
            <w:r w:rsidRPr="00C818A4">
              <w:t>moderate acute malnutrition (MAM)</w:t>
            </w:r>
          </w:p>
        </w:tc>
        <w:tc>
          <w:tcPr>
            <w:tcW w:w="6809" w:type="dxa"/>
            <w:noWrap/>
            <w:hideMark/>
          </w:tcPr>
          <w:p w14:paraId="1F61D797" w14:textId="7A8E3CFF" w:rsidR="00CA79F7" w:rsidRPr="00C818A4" w:rsidRDefault="00CA79F7" w:rsidP="00122BC3">
            <w:pPr>
              <w:pStyle w:val="NoSpacing"/>
            </w:pPr>
            <w:r w:rsidRPr="00C818A4">
              <w:t>moderate wasting (-3</w:t>
            </w:r>
            <w:r w:rsidR="00122BC3" w:rsidRPr="00C818A4">
              <w:rPr>
                <w:rFonts w:cs="Arial"/>
              </w:rPr>
              <w:t>≤</w:t>
            </w:r>
            <w:r w:rsidRPr="00C818A4">
              <w:t>WHZ&lt;-2) and/or 115mm</w:t>
            </w:r>
            <w:r w:rsidR="00122BC3" w:rsidRPr="00C818A4">
              <w:rPr>
                <w:rFonts w:cs="Arial"/>
              </w:rPr>
              <w:t>≤</w:t>
            </w:r>
            <w:r w:rsidRPr="00C818A4">
              <w:t>MUAC&lt;125mm</w:t>
            </w:r>
            <w:r w:rsidR="00304913">
              <w:t xml:space="preserve"> </w:t>
            </w:r>
            <w:r w:rsidR="00304913">
              <w:fldChar w:fldCharType="begin" w:fldLock="1"/>
            </w:r>
            <w:r w:rsidR="00C12542">
              <w:instrText>ADDIN CSL_CITATION {"citationItems":[{"id":"ITEM-1","itemData":{"id":"ITEM-1","issued":{"date-parts":[["0"]]},"title":"WHO child growth standards and the identification of severe acute malnutrition in infants and children","type":"report"},"uris":["http://www.mendeley.com/documents/?uuid=0fcf119f-362d-3e10-9c52-ec00a84f70bb"]}],"mendeley":{"formattedCitation":"&lt;sup&gt;4&lt;/sup&gt;","plainTextFormattedCitation":"4","previouslyFormattedCitation":"&lt;sup&gt;4&lt;/sup&gt;"},"properties":{"noteIndex":0},"schema":"https://github.com/citation-style-language/schema/raw/master/csl-citation.json"}</w:instrText>
            </w:r>
            <w:r w:rsidR="00304913">
              <w:fldChar w:fldCharType="separate"/>
            </w:r>
            <w:r w:rsidR="00304913" w:rsidRPr="00304913">
              <w:rPr>
                <w:noProof/>
                <w:vertAlign w:val="superscript"/>
              </w:rPr>
              <w:t>4</w:t>
            </w:r>
            <w:r w:rsidR="00304913">
              <w:fldChar w:fldCharType="end"/>
            </w:r>
          </w:p>
        </w:tc>
      </w:tr>
      <w:tr w:rsidR="00CA79F7" w14:paraId="75ACD1FE" w14:textId="77777777" w:rsidTr="004A468D">
        <w:trPr>
          <w:trHeight w:val="310"/>
        </w:trPr>
        <w:tc>
          <w:tcPr>
            <w:tcW w:w="3539" w:type="dxa"/>
            <w:noWrap/>
            <w:hideMark/>
          </w:tcPr>
          <w:p w14:paraId="7FD10C14" w14:textId="77777777" w:rsidR="00CA79F7" w:rsidRDefault="00CA79F7" w:rsidP="004A468D">
            <w:pPr>
              <w:pStyle w:val="NoSpacing"/>
            </w:pPr>
            <w:r>
              <w:t>global acute malnutrition (GAM)</w:t>
            </w:r>
          </w:p>
        </w:tc>
        <w:tc>
          <w:tcPr>
            <w:tcW w:w="6809" w:type="dxa"/>
            <w:noWrap/>
            <w:hideMark/>
          </w:tcPr>
          <w:p w14:paraId="0F691820" w14:textId="77777777" w:rsidR="00CA79F7" w:rsidRPr="00333B9F" w:rsidRDefault="00CA79F7" w:rsidP="00333B9F">
            <w:pPr>
              <w:pStyle w:val="NoSpacing"/>
            </w:pPr>
            <w:r>
              <w:t>all acute malnutrition types (MAM + SAM)</w:t>
            </w:r>
          </w:p>
          <w:p w14:paraId="11C96177" w14:textId="1553DD3F" w:rsidR="00333B9F" w:rsidRDefault="00333B9F" w:rsidP="00333B9F">
            <w:pPr>
              <w:pStyle w:val="NoSpacing"/>
            </w:pPr>
            <w:r w:rsidRPr="00333B9F">
              <w:t>WFH &lt;−2 SD and/or MUAC &lt;125 mm and/or</w:t>
            </w:r>
            <w:r>
              <w:t xml:space="preserve"> oe</w:t>
            </w:r>
            <w:r w:rsidRPr="00333B9F">
              <w:t>dema</w:t>
            </w:r>
          </w:p>
        </w:tc>
      </w:tr>
      <w:tr w:rsidR="00CA79F7" w14:paraId="2A1AA122" w14:textId="77777777" w:rsidTr="004A468D">
        <w:trPr>
          <w:trHeight w:val="310"/>
        </w:trPr>
        <w:tc>
          <w:tcPr>
            <w:tcW w:w="3539" w:type="dxa"/>
            <w:noWrap/>
          </w:tcPr>
          <w:p w14:paraId="0200ED38" w14:textId="77777777" w:rsidR="00CA79F7" w:rsidRDefault="00CA79F7" w:rsidP="004A468D">
            <w:pPr>
              <w:pStyle w:val="NoSpacing"/>
            </w:pPr>
            <w:r>
              <w:t>marasmus</w:t>
            </w:r>
          </w:p>
        </w:tc>
        <w:tc>
          <w:tcPr>
            <w:tcW w:w="6809" w:type="dxa"/>
            <w:noWrap/>
          </w:tcPr>
          <w:p w14:paraId="78993F34" w14:textId="77777777" w:rsidR="00CA79F7" w:rsidRDefault="00CA79F7" w:rsidP="004A468D">
            <w:pPr>
              <w:pStyle w:val="NoSpacing"/>
            </w:pPr>
            <w:r>
              <w:t>MUAC &lt; 115mm in children aged 6-59 months or WHZ &lt;-3 in children aged 0-59 months</w:t>
            </w:r>
          </w:p>
        </w:tc>
      </w:tr>
      <w:tr w:rsidR="00CA79F7" w14:paraId="10A29551" w14:textId="77777777" w:rsidTr="004A468D">
        <w:trPr>
          <w:trHeight w:val="310"/>
        </w:trPr>
        <w:tc>
          <w:tcPr>
            <w:tcW w:w="3539" w:type="dxa"/>
            <w:noWrap/>
          </w:tcPr>
          <w:p w14:paraId="5AA46DD7" w14:textId="77777777" w:rsidR="00CA79F7" w:rsidRDefault="00204FE9" w:rsidP="004A468D">
            <w:pPr>
              <w:pStyle w:val="NoSpacing"/>
            </w:pPr>
            <w:r>
              <w:t>kwashiorkor</w:t>
            </w:r>
          </w:p>
        </w:tc>
        <w:tc>
          <w:tcPr>
            <w:tcW w:w="6809" w:type="dxa"/>
            <w:noWrap/>
          </w:tcPr>
          <w:p w14:paraId="7116BECC" w14:textId="77777777" w:rsidR="00CA79F7" w:rsidRDefault="00204FE9" w:rsidP="00204FE9">
            <w:pPr>
              <w:pStyle w:val="NoSpacing"/>
            </w:pPr>
            <w:r>
              <w:t>Nutritional oedema, clinically diagnosed by b</w:t>
            </w:r>
            <w:r w:rsidR="00CA79F7">
              <w:t>ilateral pitting oedema</w:t>
            </w:r>
          </w:p>
        </w:tc>
      </w:tr>
      <w:tr w:rsidR="004B240E" w14:paraId="64A296F1" w14:textId="77777777" w:rsidTr="004A468D">
        <w:trPr>
          <w:trHeight w:val="310"/>
        </w:trPr>
        <w:tc>
          <w:tcPr>
            <w:tcW w:w="3539" w:type="dxa"/>
            <w:noWrap/>
          </w:tcPr>
          <w:p w14:paraId="48470BFB" w14:textId="77777777" w:rsidR="004B240E" w:rsidRDefault="004B240E" w:rsidP="004A468D">
            <w:pPr>
              <w:pStyle w:val="NoSpacing"/>
            </w:pPr>
            <w:r>
              <w:t xml:space="preserve">Marasmic </w:t>
            </w:r>
            <w:r w:rsidR="00041756">
              <w:t>kwashiorkor</w:t>
            </w:r>
          </w:p>
        </w:tc>
        <w:tc>
          <w:tcPr>
            <w:tcW w:w="6809" w:type="dxa"/>
            <w:noWrap/>
          </w:tcPr>
          <w:p w14:paraId="68A387EE" w14:textId="77777777" w:rsidR="004B240E" w:rsidRDefault="00041756" w:rsidP="00041756">
            <w:pPr>
              <w:pStyle w:val="NoSpacing"/>
            </w:pPr>
            <w:r>
              <w:t xml:space="preserve">Presents both features of </w:t>
            </w:r>
            <w:r w:rsidR="004B240E">
              <w:t>marasmus and kwashiorkor</w:t>
            </w:r>
          </w:p>
        </w:tc>
      </w:tr>
    </w:tbl>
    <w:p w14:paraId="1CE91733" w14:textId="33A425B1" w:rsidR="00096E3F" w:rsidRDefault="00724FCA" w:rsidP="00304913">
      <w:pPr>
        <w:tabs>
          <w:tab w:val="left" w:pos="6470"/>
        </w:tabs>
        <w:ind w:firstLine="0"/>
        <w:rPr>
          <w:sz w:val="20"/>
          <w:szCs w:val="20"/>
        </w:rPr>
      </w:pPr>
      <w:r w:rsidRPr="00C818A4">
        <w:rPr>
          <w:sz w:val="20"/>
          <w:szCs w:val="20"/>
        </w:rPr>
        <w:t>For the wasting module</w:t>
      </w:r>
      <w:r w:rsidR="00C818A4" w:rsidRPr="00C818A4">
        <w:rPr>
          <w:sz w:val="20"/>
          <w:szCs w:val="20"/>
        </w:rPr>
        <w:t>, on</w:t>
      </w:r>
      <w:r w:rsidRPr="00C818A4">
        <w:rPr>
          <w:sz w:val="20"/>
          <w:szCs w:val="20"/>
        </w:rPr>
        <w:t>ly</w:t>
      </w:r>
      <w:r w:rsidR="00C818A4" w:rsidRPr="00C818A4">
        <w:rPr>
          <w:sz w:val="20"/>
          <w:szCs w:val="20"/>
        </w:rPr>
        <w:t xml:space="preserve"> definitions of</w:t>
      </w:r>
      <w:r w:rsidRPr="00C818A4">
        <w:rPr>
          <w:sz w:val="20"/>
          <w:szCs w:val="20"/>
        </w:rPr>
        <w:t xml:space="preserve"> MAM and SAM are </w:t>
      </w:r>
      <w:r w:rsidR="00C818A4" w:rsidRPr="00C818A4">
        <w:rPr>
          <w:sz w:val="20"/>
          <w:szCs w:val="20"/>
        </w:rPr>
        <w:t>used.</w:t>
      </w:r>
    </w:p>
    <w:p w14:paraId="3B46D3B0" w14:textId="77777777" w:rsidR="00304913" w:rsidRPr="0022170E" w:rsidRDefault="00304913" w:rsidP="00304913">
      <w:pPr>
        <w:tabs>
          <w:tab w:val="left" w:pos="6470"/>
        </w:tabs>
        <w:ind w:firstLine="0"/>
      </w:pPr>
    </w:p>
    <w:p w14:paraId="352BD3BF" w14:textId="059BD779" w:rsidR="007053A1" w:rsidRDefault="007053A1" w:rsidP="007053A1">
      <w:r>
        <w:t>In the design of a model for acute malnutrition, the underlying ‘truth’ of an individual’s condition is determined by the weight-for-height Z-score, or wasting status</w:t>
      </w:r>
      <w:r w:rsidR="007036DD">
        <w:t xml:space="preserve">, following the WHO 2006 </w:t>
      </w:r>
      <w:r w:rsidR="00B714AE">
        <w:t>Child Growth S</w:t>
      </w:r>
      <w:r w:rsidR="007036DD">
        <w:t>tandards</w:t>
      </w:r>
      <w:r>
        <w:t>. The clinical syndromes of MAM and SAM are further determined using MUAC measurement and presence of bilateral oedema.</w:t>
      </w:r>
    </w:p>
    <w:p w14:paraId="46F2ACD3" w14:textId="74007B51" w:rsidR="009F24C3" w:rsidRDefault="009F24C3" w:rsidP="007053A1">
      <w:r>
        <w:t>The wasting module updates the acute nutritional status in the simulation for children under 5 years of age. This includes weight-for-height Z-score category (WHZ&lt;-3, -3</w:t>
      </w:r>
      <w:r>
        <w:rPr>
          <w:rFonts w:cs="Arial"/>
        </w:rPr>
        <w:t>≤</w:t>
      </w:r>
      <w:r>
        <w:t>WHZ&lt;-2, WHZ</w:t>
      </w:r>
      <w:r>
        <w:rPr>
          <w:rFonts w:cs="Arial"/>
        </w:rPr>
        <w:t>≥</w:t>
      </w:r>
      <w:r>
        <w:t xml:space="preserve">-2), presence of bilateral oedema (indicative of Kwashiorkor), MUAC measurement category (&lt;115mm, 115mm to &lt;125mm, </w:t>
      </w:r>
      <w:r>
        <w:rPr>
          <w:rFonts w:cs="Arial"/>
        </w:rPr>
        <w:t>≥125mm),</w:t>
      </w:r>
      <w:r>
        <w:t xml:space="preserve"> clinical severity of acute malnutrition (MAM, SAM), and complications in SAM. The module is responsible for assigning the prevalence of wasting at initiation of the simulation in 2010, the onset of new wasting episodes every month, changes between wasting states (with progression or recovery), death events due to SAM, and scheduling health system interactions where interventions are deployed.</w:t>
      </w:r>
    </w:p>
    <w:p w14:paraId="293D97E1" w14:textId="77777777" w:rsidR="007053A1" w:rsidRDefault="007053A1" w:rsidP="007053A1">
      <w:pPr>
        <w:ind w:firstLine="0"/>
      </w:pPr>
    </w:p>
    <w:p w14:paraId="5C92BA57" w14:textId="77777777" w:rsidR="004841D3" w:rsidRDefault="004841D3">
      <w:pPr>
        <w:spacing w:after="160" w:line="259" w:lineRule="auto"/>
        <w:ind w:firstLine="0"/>
        <w:jc w:val="left"/>
        <w:rPr>
          <w:rFonts w:eastAsiaTheme="majorEastAsia" w:cstheme="majorBidi"/>
          <w:b/>
          <w:color w:val="1F3864" w:themeColor="accent5" w:themeShade="80"/>
          <w:sz w:val="24"/>
          <w:szCs w:val="26"/>
        </w:rPr>
      </w:pPr>
      <w:bookmarkStart w:id="19" w:name="_Toc71105496"/>
      <w:r>
        <w:br w:type="page"/>
      </w:r>
    </w:p>
    <w:p w14:paraId="3AF86B61" w14:textId="7ED8C1E0" w:rsidR="007053A1" w:rsidRDefault="007676D7" w:rsidP="007053A1">
      <w:pPr>
        <w:pStyle w:val="Heading2"/>
      </w:pPr>
      <w:bookmarkStart w:id="20" w:name="_Toc74050880"/>
      <w:r>
        <w:lastRenderedPageBreak/>
        <w:t>Module p</w:t>
      </w:r>
      <w:r w:rsidR="007053A1">
        <w:t>roperties</w:t>
      </w:r>
      <w:bookmarkEnd w:id="19"/>
      <w:bookmarkEnd w:id="20"/>
    </w:p>
    <w:p w14:paraId="673C3D81" w14:textId="01BC3E92" w:rsidR="007053A1" w:rsidRDefault="007053A1" w:rsidP="007053A1">
      <w:pPr>
        <w:pStyle w:val="Caption"/>
        <w:keepNext/>
      </w:pPr>
      <w:r>
        <w:t xml:space="preserve">Table </w:t>
      </w:r>
      <w:fldSimple w:instr=" SEQ Table \* ARABIC ">
        <w:r w:rsidR="00EC5D76">
          <w:rPr>
            <w:noProof/>
          </w:rPr>
          <w:t>3</w:t>
        </w:r>
      </w:fldSimple>
      <w:r>
        <w:t xml:space="preserve"> - Properties of the wasting module, and respective type and description</w:t>
      </w:r>
    </w:p>
    <w:tbl>
      <w:tblPr>
        <w:tblStyle w:val="PlainTable2"/>
        <w:tblW w:w="5000" w:type="pct"/>
        <w:tblLayout w:type="fixed"/>
        <w:tblLook w:val="04A0" w:firstRow="1" w:lastRow="0" w:firstColumn="1" w:lastColumn="0" w:noHBand="0" w:noVBand="1"/>
      </w:tblPr>
      <w:tblGrid>
        <w:gridCol w:w="3402"/>
        <w:gridCol w:w="3261"/>
        <w:gridCol w:w="3803"/>
      </w:tblGrid>
      <w:tr w:rsidR="000436B3" w:rsidRPr="000436B3" w14:paraId="3F48FB84" w14:textId="77777777" w:rsidTr="000436B3">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25" w:type="pct"/>
            <w:shd w:val="clear" w:color="auto" w:fill="B4C6E7" w:themeFill="accent5" w:themeFillTint="66"/>
            <w:noWrap/>
            <w:hideMark/>
          </w:tcPr>
          <w:p w14:paraId="0D1072D4" w14:textId="77777777" w:rsidR="000436B3" w:rsidRPr="000436B3" w:rsidRDefault="000436B3" w:rsidP="000436B3">
            <w:pPr>
              <w:pStyle w:val="NoSpacing"/>
              <w:rPr>
                <w:lang w:eastAsia="en-GB"/>
              </w:rPr>
            </w:pPr>
            <w:r w:rsidRPr="000436B3">
              <w:rPr>
                <w:lang w:eastAsia="en-GB"/>
              </w:rPr>
              <w:t>Property name</w:t>
            </w:r>
          </w:p>
        </w:tc>
        <w:tc>
          <w:tcPr>
            <w:tcW w:w="1558" w:type="pct"/>
            <w:shd w:val="clear" w:color="auto" w:fill="B4C6E7" w:themeFill="accent5" w:themeFillTint="66"/>
            <w:noWrap/>
            <w:hideMark/>
          </w:tcPr>
          <w:p w14:paraId="4B11F73F" w14:textId="77777777" w:rsidR="000436B3" w:rsidRPr="000436B3" w:rsidRDefault="000436B3" w:rsidP="000436B3">
            <w:pPr>
              <w:pStyle w:val="NoSpacing"/>
              <w:cnfStyle w:val="100000000000" w:firstRow="1" w:lastRow="0" w:firstColumn="0" w:lastColumn="0" w:oddVBand="0" w:evenVBand="0" w:oddHBand="0" w:evenHBand="0" w:firstRowFirstColumn="0" w:firstRowLastColumn="0" w:lastRowFirstColumn="0" w:lastRowLastColumn="0"/>
              <w:rPr>
                <w:lang w:eastAsia="en-GB"/>
              </w:rPr>
            </w:pPr>
            <w:r w:rsidRPr="000436B3">
              <w:rPr>
                <w:lang w:eastAsia="en-GB"/>
              </w:rPr>
              <w:t>Type</w:t>
            </w:r>
          </w:p>
        </w:tc>
        <w:tc>
          <w:tcPr>
            <w:tcW w:w="1817" w:type="pct"/>
            <w:shd w:val="clear" w:color="auto" w:fill="B4C6E7" w:themeFill="accent5" w:themeFillTint="66"/>
            <w:noWrap/>
            <w:hideMark/>
          </w:tcPr>
          <w:p w14:paraId="0B4709A0" w14:textId="77777777" w:rsidR="000436B3" w:rsidRPr="000436B3" w:rsidRDefault="000436B3" w:rsidP="000436B3">
            <w:pPr>
              <w:pStyle w:val="NoSpacing"/>
              <w:cnfStyle w:val="100000000000" w:firstRow="1" w:lastRow="0" w:firstColumn="0" w:lastColumn="0" w:oddVBand="0" w:evenVBand="0" w:oddHBand="0" w:evenHBand="0" w:firstRowFirstColumn="0" w:firstRowLastColumn="0" w:lastRowFirstColumn="0" w:lastRowLastColumn="0"/>
              <w:rPr>
                <w:lang w:eastAsia="en-GB"/>
              </w:rPr>
            </w:pPr>
            <w:r w:rsidRPr="000436B3">
              <w:rPr>
                <w:lang w:eastAsia="en-GB"/>
              </w:rPr>
              <w:t>Description</w:t>
            </w:r>
          </w:p>
        </w:tc>
      </w:tr>
      <w:tr w:rsidR="00C06328" w:rsidRPr="000436B3" w14:paraId="361A90F5" w14:textId="77777777" w:rsidTr="00C0632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noWrap/>
          </w:tcPr>
          <w:p w14:paraId="55ABAD0C" w14:textId="3FC6735D" w:rsidR="00C06328" w:rsidRPr="00C06328" w:rsidRDefault="00C06328" w:rsidP="000436B3">
            <w:pPr>
              <w:pStyle w:val="NoSpacing"/>
              <w:rPr>
                <w:b w:val="0"/>
                <w:bCs w:val="0"/>
                <w:lang w:eastAsia="en-GB"/>
              </w:rPr>
            </w:pPr>
            <w:r w:rsidRPr="00C06328">
              <w:rPr>
                <w:b w:val="0"/>
                <w:bCs w:val="0"/>
                <w:lang w:eastAsia="en-GB"/>
              </w:rPr>
              <w:t>Properties related to wasting</w:t>
            </w:r>
          </w:p>
        </w:tc>
      </w:tr>
      <w:tr w:rsidR="000436B3" w:rsidRPr="000436B3" w14:paraId="49827156" w14:textId="77777777" w:rsidTr="000436B3">
        <w:trPr>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6DE5E03A" w14:textId="77777777" w:rsidR="000436B3" w:rsidRPr="000436B3" w:rsidRDefault="000436B3" w:rsidP="000436B3">
            <w:pPr>
              <w:pStyle w:val="NoSpacing"/>
              <w:rPr>
                <w:lang w:eastAsia="en-GB"/>
              </w:rPr>
            </w:pPr>
            <w:proofErr w:type="spellStart"/>
            <w:r w:rsidRPr="000436B3">
              <w:rPr>
                <w:lang w:eastAsia="en-GB"/>
              </w:rPr>
              <w:t>un_ever_wasted</w:t>
            </w:r>
            <w:proofErr w:type="spellEnd"/>
          </w:p>
        </w:tc>
        <w:tc>
          <w:tcPr>
            <w:tcW w:w="1558" w:type="pct"/>
            <w:noWrap/>
            <w:hideMark/>
          </w:tcPr>
          <w:p w14:paraId="26D7F2C7"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Boolean</w:t>
            </w:r>
          </w:p>
        </w:tc>
        <w:tc>
          <w:tcPr>
            <w:tcW w:w="1817" w:type="pct"/>
            <w:noWrap/>
            <w:hideMark/>
          </w:tcPr>
          <w:p w14:paraId="458990BD"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ever had an episode of wasting (WHZ&lt;-2)</w:t>
            </w:r>
          </w:p>
        </w:tc>
      </w:tr>
      <w:tr w:rsidR="000436B3" w:rsidRPr="000436B3" w14:paraId="18561938" w14:textId="77777777" w:rsidTr="000436B3">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2C42BF71" w14:textId="77777777" w:rsidR="000436B3" w:rsidRPr="000436B3" w:rsidRDefault="000436B3" w:rsidP="000436B3">
            <w:pPr>
              <w:pStyle w:val="NoSpacing"/>
              <w:rPr>
                <w:lang w:eastAsia="en-GB"/>
              </w:rPr>
            </w:pPr>
            <w:proofErr w:type="spellStart"/>
            <w:r w:rsidRPr="000436B3">
              <w:rPr>
                <w:lang w:eastAsia="en-GB"/>
              </w:rPr>
              <w:t>un_WHZ_category</w:t>
            </w:r>
            <w:proofErr w:type="spellEnd"/>
          </w:p>
        </w:tc>
        <w:tc>
          <w:tcPr>
            <w:tcW w:w="1558" w:type="pct"/>
            <w:noWrap/>
            <w:hideMark/>
          </w:tcPr>
          <w:p w14:paraId="17B72BAB"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Categorical ['WHZ&lt;-3', '-3&lt;=WHZ&lt;-2', 'WHZ&gt;=-2']</w:t>
            </w:r>
          </w:p>
        </w:tc>
        <w:tc>
          <w:tcPr>
            <w:tcW w:w="1817" w:type="pct"/>
            <w:noWrap/>
            <w:hideMark/>
          </w:tcPr>
          <w:p w14:paraId="6912FBE3"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weight-for-height z-score category</w:t>
            </w:r>
          </w:p>
        </w:tc>
      </w:tr>
      <w:tr w:rsidR="000436B3" w:rsidRPr="000436B3" w14:paraId="5C95510C" w14:textId="77777777" w:rsidTr="000436B3">
        <w:trPr>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3A124672" w14:textId="77777777" w:rsidR="000436B3" w:rsidRPr="000436B3" w:rsidRDefault="000436B3" w:rsidP="000436B3">
            <w:pPr>
              <w:pStyle w:val="NoSpacing"/>
              <w:rPr>
                <w:lang w:eastAsia="en-GB"/>
              </w:rPr>
            </w:pPr>
            <w:proofErr w:type="spellStart"/>
            <w:r w:rsidRPr="000436B3">
              <w:rPr>
                <w:lang w:eastAsia="en-GB"/>
              </w:rPr>
              <w:t>un_clinical_acute_malnutrition</w:t>
            </w:r>
            <w:proofErr w:type="spellEnd"/>
          </w:p>
        </w:tc>
        <w:tc>
          <w:tcPr>
            <w:tcW w:w="1558" w:type="pct"/>
            <w:noWrap/>
            <w:hideMark/>
          </w:tcPr>
          <w:p w14:paraId="6A2559BB"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Categorical ['MAM', 'SAM']</w:t>
            </w:r>
          </w:p>
        </w:tc>
        <w:tc>
          <w:tcPr>
            <w:tcW w:w="1817" w:type="pct"/>
            <w:noWrap/>
            <w:hideMark/>
          </w:tcPr>
          <w:p w14:paraId="35F03E5D"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clinical acute malnutrition state based on WHZ and/or MUAC and/or oedema</w:t>
            </w:r>
          </w:p>
        </w:tc>
      </w:tr>
      <w:tr w:rsidR="000436B3" w:rsidRPr="000436B3" w14:paraId="0B33AC6A" w14:textId="77777777" w:rsidTr="000436B3">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67531C56" w14:textId="77777777" w:rsidR="000436B3" w:rsidRPr="000436B3" w:rsidRDefault="000436B3" w:rsidP="000436B3">
            <w:pPr>
              <w:pStyle w:val="NoSpacing"/>
              <w:rPr>
                <w:lang w:eastAsia="en-GB"/>
              </w:rPr>
            </w:pPr>
            <w:proofErr w:type="spellStart"/>
            <w:r w:rsidRPr="000436B3">
              <w:rPr>
                <w:lang w:eastAsia="en-GB"/>
              </w:rPr>
              <w:t>un_last_wasting_date_of_onset</w:t>
            </w:r>
            <w:proofErr w:type="spellEnd"/>
          </w:p>
        </w:tc>
        <w:tc>
          <w:tcPr>
            <w:tcW w:w="1558" w:type="pct"/>
            <w:noWrap/>
            <w:hideMark/>
          </w:tcPr>
          <w:p w14:paraId="7A730D6B"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Date</w:t>
            </w:r>
          </w:p>
        </w:tc>
        <w:tc>
          <w:tcPr>
            <w:tcW w:w="1817" w:type="pct"/>
            <w:noWrap/>
            <w:hideMark/>
          </w:tcPr>
          <w:p w14:paraId="2AD6BD94"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Date of onset of last episode of wasting</w:t>
            </w:r>
          </w:p>
        </w:tc>
      </w:tr>
      <w:tr w:rsidR="000436B3" w:rsidRPr="000436B3" w14:paraId="0746BD95" w14:textId="77777777" w:rsidTr="000436B3">
        <w:trPr>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586A0339" w14:textId="77777777" w:rsidR="000436B3" w:rsidRPr="000436B3" w:rsidRDefault="000436B3" w:rsidP="000436B3">
            <w:pPr>
              <w:pStyle w:val="NoSpacing"/>
              <w:rPr>
                <w:lang w:eastAsia="en-GB"/>
              </w:rPr>
            </w:pPr>
            <w:proofErr w:type="spellStart"/>
            <w:r w:rsidRPr="000436B3">
              <w:rPr>
                <w:lang w:eastAsia="en-GB"/>
              </w:rPr>
              <w:t>un_wasting_death_date</w:t>
            </w:r>
            <w:proofErr w:type="spellEnd"/>
          </w:p>
        </w:tc>
        <w:tc>
          <w:tcPr>
            <w:tcW w:w="1558" w:type="pct"/>
            <w:noWrap/>
            <w:hideMark/>
          </w:tcPr>
          <w:p w14:paraId="760A7BB1"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Date</w:t>
            </w:r>
          </w:p>
        </w:tc>
        <w:tc>
          <w:tcPr>
            <w:tcW w:w="1817" w:type="pct"/>
            <w:noWrap/>
            <w:hideMark/>
          </w:tcPr>
          <w:p w14:paraId="0B383B47"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death date from (severe) wasting</w:t>
            </w:r>
          </w:p>
        </w:tc>
      </w:tr>
      <w:tr w:rsidR="00C06328" w:rsidRPr="000436B3" w14:paraId="7653E2E0" w14:textId="77777777" w:rsidTr="00C0632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000" w:type="pct"/>
            <w:gridSpan w:val="3"/>
            <w:noWrap/>
          </w:tcPr>
          <w:p w14:paraId="0C2158AF" w14:textId="7F5FA45D" w:rsidR="00C06328" w:rsidRPr="00C06328" w:rsidRDefault="00C06328" w:rsidP="000436B3">
            <w:pPr>
              <w:pStyle w:val="NoSpacing"/>
              <w:rPr>
                <w:b w:val="0"/>
                <w:bCs w:val="0"/>
                <w:lang w:eastAsia="en-GB"/>
              </w:rPr>
            </w:pPr>
            <w:r w:rsidRPr="00C06328">
              <w:rPr>
                <w:b w:val="0"/>
                <w:bCs w:val="0"/>
                <w:lang w:eastAsia="en-GB"/>
              </w:rPr>
              <w:t>Properties related to acute malnutrition</w:t>
            </w:r>
          </w:p>
        </w:tc>
      </w:tr>
      <w:tr w:rsidR="000436B3" w:rsidRPr="000436B3" w14:paraId="6D205939" w14:textId="77777777" w:rsidTr="000436B3">
        <w:trPr>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3FE3A5BE" w14:textId="77777777" w:rsidR="000436B3" w:rsidRPr="000436B3" w:rsidRDefault="000436B3" w:rsidP="000436B3">
            <w:pPr>
              <w:pStyle w:val="NoSpacing"/>
              <w:rPr>
                <w:lang w:eastAsia="en-GB"/>
              </w:rPr>
            </w:pPr>
            <w:proofErr w:type="spellStart"/>
            <w:r w:rsidRPr="000436B3">
              <w:rPr>
                <w:lang w:eastAsia="en-GB"/>
              </w:rPr>
              <w:t>un_wasting_bilateral_oedema</w:t>
            </w:r>
            <w:proofErr w:type="spellEnd"/>
          </w:p>
        </w:tc>
        <w:tc>
          <w:tcPr>
            <w:tcW w:w="1558" w:type="pct"/>
            <w:noWrap/>
            <w:hideMark/>
          </w:tcPr>
          <w:p w14:paraId="1B5A2EBC"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Boolean</w:t>
            </w:r>
          </w:p>
        </w:tc>
        <w:tc>
          <w:tcPr>
            <w:tcW w:w="1817" w:type="pct"/>
            <w:noWrap/>
            <w:hideMark/>
          </w:tcPr>
          <w:p w14:paraId="6DBFAB6D"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bilateral pitting oedema present in wasting episode</w:t>
            </w:r>
          </w:p>
        </w:tc>
      </w:tr>
      <w:tr w:rsidR="000436B3" w:rsidRPr="000436B3" w14:paraId="694F475D" w14:textId="77777777" w:rsidTr="000436B3">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0D0BDDD1" w14:textId="77777777" w:rsidR="000436B3" w:rsidRPr="000436B3" w:rsidRDefault="000436B3" w:rsidP="000436B3">
            <w:pPr>
              <w:pStyle w:val="NoSpacing"/>
              <w:rPr>
                <w:lang w:eastAsia="en-GB"/>
              </w:rPr>
            </w:pPr>
            <w:proofErr w:type="spellStart"/>
            <w:r w:rsidRPr="000436B3">
              <w:rPr>
                <w:lang w:eastAsia="en-GB"/>
              </w:rPr>
              <w:t>un_wasting_MUAC_category</w:t>
            </w:r>
            <w:proofErr w:type="spellEnd"/>
          </w:p>
        </w:tc>
        <w:tc>
          <w:tcPr>
            <w:tcW w:w="1558" w:type="pct"/>
            <w:noWrap/>
            <w:hideMark/>
          </w:tcPr>
          <w:p w14:paraId="1B494304"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Categorical ['&lt;115mm', '115-&lt;125mm', '&gt;=125mm']</w:t>
            </w:r>
          </w:p>
        </w:tc>
        <w:tc>
          <w:tcPr>
            <w:tcW w:w="1817" w:type="pct"/>
            <w:noWrap/>
            <w:hideMark/>
          </w:tcPr>
          <w:p w14:paraId="649CAABF"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MUAC measurement categories, based on WHO cut-offs</w:t>
            </w:r>
          </w:p>
        </w:tc>
      </w:tr>
      <w:tr w:rsidR="00E25C34" w:rsidRPr="000436B3" w14:paraId="20D9AAB7" w14:textId="77777777" w:rsidTr="000436B3">
        <w:trPr>
          <w:trHeight w:val="310"/>
        </w:trPr>
        <w:tc>
          <w:tcPr>
            <w:cnfStyle w:val="001000000000" w:firstRow="0" w:lastRow="0" w:firstColumn="1" w:lastColumn="0" w:oddVBand="0" w:evenVBand="0" w:oddHBand="0" w:evenHBand="0" w:firstRowFirstColumn="0" w:firstRowLastColumn="0" w:lastRowFirstColumn="0" w:lastRowLastColumn="0"/>
            <w:tcW w:w="1625" w:type="pct"/>
            <w:noWrap/>
          </w:tcPr>
          <w:p w14:paraId="4539473D" w14:textId="0164012A" w:rsidR="00E25C34" w:rsidRPr="000436B3" w:rsidRDefault="00E25C34" w:rsidP="000436B3">
            <w:pPr>
              <w:pStyle w:val="NoSpacing"/>
              <w:rPr>
                <w:lang w:eastAsia="en-GB"/>
              </w:rPr>
            </w:pPr>
            <w:proofErr w:type="spellStart"/>
            <w:r w:rsidRPr="00E25C34">
              <w:rPr>
                <w:lang w:eastAsia="en-GB"/>
              </w:rPr>
              <w:t>un_am_recovery</w:t>
            </w:r>
            <w:proofErr w:type="spellEnd"/>
            <w:r w:rsidRPr="00E25C34">
              <w:rPr>
                <w:lang w:eastAsia="en-GB"/>
              </w:rPr>
              <w:t>/</w:t>
            </w:r>
            <w:proofErr w:type="spellStart"/>
            <w:r w:rsidRPr="00E25C34">
              <w:rPr>
                <w:lang w:eastAsia="en-GB"/>
              </w:rPr>
              <w:t>discharge_date</w:t>
            </w:r>
            <w:proofErr w:type="spellEnd"/>
          </w:p>
        </w:tc>
        <w:tc>
          <w:tcPr>
            <w:tcW w:w="1558" w:type="pct"/>
            <w:noWrap/>
          </w:tcPr>
          <w:p w14:paraId="416EBD76" w14:textId="3C6B0F26" w:rsidR="00E25C34" w:rsidRPr="000436B3" w:rsidRDefault="00E25C34"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Pr>
                <w:lang w:eastAsia="en-GB"/>
              </w:rPr>
              <w:t>Date</w:t>
            </w:r>
          </w:p>
        </w:tc>
        <w:tc>
          <w:tcPr>
            <w:tcW w:w="1817" w:type="pct"/>
            <w:noWrap/>
          </w:tcPr>
          <w:p w14:paraId="50672A96" w14:textId="5FE0DCEE" w:rsidR="00E25C34" w:rsidRPr="000436B3" w:rsidRDefault="00E25C34"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Pr>
                <w:lang w:eastAsia="en-GB"/>
              </w:rPr>
              <w:t>Date of recovery or discharge date</w:t>
            </w:r>
          </w:p>
        </w:tc>
      </w:tr>
      <w:tr w:rsidR="000436B3" w:rsidRPr="000436B3" w14:paraId="20E048D4" w14:textId="77777777" w:rsidTr="000436B3">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21719CCB" w14:textId="77777777" w:rsidR="000436B3" w:rsidRPr="000436B3" w:rsidRDefault="000436B3" w:rsidP="000436B3">
            <w:pPr>
              <w:pStyle w:val="NoSpacing"/>
              <w:rPr>
                <w:lang w:eastAsia="en-GB"/>
              </w:rPr>
            </w:pPr>
            <w:proofErr w:type="spellStart"/>
            <w:r w:rsidRPr="000436B3">
              <w:rPr>
                <w:lang w:eastAsia="en-GB"/>
              </w:rPr>
              <w:t>un_SAM_with_complications</w:t>
            </w:r>
            <w:proofErr w:type="spellEnd"/>
          </w:p>
        </w:tc>
        <w:tc>
          <w:tcPr>
            <w:tcW w:w="1558" w:type="pct"/>
            <w:noWrap/>
            <w:hideMark/>
          </w:tcPr>
          <w:p w14:paraId="1E98E1B4"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Boolean</w:t>
            </w:r>
          </w:p>
        </w:tc>
        <w:tc>
          <w:tcPr>
            <w:tcW w:w="1817" w:type="pct"/>
            <w:noWrap/>
            <w:hideMark/>
          </w:tcPr>
          <w:p w14:paraId="6A177494"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medical complications in SAM episode</w:t>
            </w:r>
          </w:p>
        </w:tc>
      </w:tr>
      <w:tr w:rsidR="000436B3" w:rsidRPr="000436B3" w14:paraId="0ACB5F27" w14:textId="77777777" w:rsidTr="000436B3">
        <w:trPr>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5756B88B" w14:textId="77777777" w:rsidR="000436B3" w:rsidRPr="000436B3" w:rsidRDefault="000436B3" w:rsidP="000436B3">
            <w:pPr>
              <w:pStyle w:val="NoSpacing"/>
              <w:rPr>
                <w:lang w:eastAsia="en-GB"/>
              </w:rPr>
            </w:pPr>
            <w:proofErr w:type="spellStart"/>
            <w:r w:rsidRPr="000436B3">
              <w:rPr>
                <w:lang w:eastAsia="en-GB"/>
              </w:rPr>
              <w:t>un_</w:t>
            </w:r>
            <w:r>
              <w:rPr>
                <w:lang w:eastAsia="en-GB"/>
              </w:rPr>
              <w:t>AM</w:t>
            </w:r>
            <w:r w:rsidRPr="000436B3">
              <w:rPr>
                <w:lang w:eastAsia="en-GB"/>
              </w:rPr>
              <w:t>_treatment_type</w:t>
            </w:r>
            <w:proofErr w:type="spellEnd"/>
          </w:p>
        </w:tc>
        <w:tc>
          <w:tcPr>
            <w:tcW w:w="1558" w:type="pct"/>
            <w:noWrap/>
            <w:hideMark/>
          </w:tcPr>
          <w:p w14:paraId="34F289EF"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Categorical ['</w:t>
            </w:r>
            <w:proofErr w:type="spellStart"/>
            <w:r w:rsidRPr="000436B3">
              <w:rPr>
                <w:lang w:eastAsia="en-GB"/>
              </w:rPr>
              <w:t>standard_RUTF</w:t>
            </w:r>
            <w:proofErr w:type="spellEnd"/>
            <w:r w:rsidRPr="000436B3">
              <w:rPr>
                <w:lang w:eastAsia="en-GB"/>
              </w:rPr>
              <w:t>', '</w:t>
            </w:r>
            <w:proofErr w:type="spellStart"/>
            <w:r w:rsidRPr="000436B3">
              <w:rPr>
                <w:lang w:eastAsia="en-GB"/>
              </w:rPr>
              <w:t>soy_RUSF</w:t>
            </w:r>
            <w:proofErr w:type="spellEnd"/>
            <w:r w:rsidRPr="000436B3">
              <w:rPr>
                <w:lang w:eastAsia="en-GB"/>
              </w:rPr>
              <w:t>', 'CSB++', '</w:t>
            </w:r>
            <w:proofErr w:type="spellStart"/>
            <w:r w:rsidRPr="000436B3">
              <w:rPr>
                <w:lang w:eastAsia="en-GB"/>
              </w:rPr>
              <w:t>inpatient_care</w:t>
            </w:r>
            <w:proofErr w:type="spellEnd"/>
            <w:r w:rsidRPr="000436B3">
              <w:rPr>
                <w:lang w:eastAsia="en-GB"/>
              </w:rPr>
              <w:t>']</w:t>
            </w:r>
          </w:p>
        </w:tc>
        <w:tc>
          <w:tcPr>
            <w:tcW w:w="1817" w:type="pct"/>
            <w:noWrap/>
            <w:hideMark/>
          </w:tcPr>
          <w:p w14:paraId="57A25CB5" w14:textId="77777777" w:rsidR="000436B3" w:rsidRPr="000436B3" w:rsidRDefault="000436B3" w:rsidP="000436B3">
            <w:pPr>
              <w:pStyle w:val="NoSpacing"/>
              <w:cnfStyle w:val="000000000000" w:firstRow="0" w:lastRow="0" w:firstColumn="0" w:lastColumn="0" w:oddVBand="0" w:evenVBand="0" w:oddHBand="0" w:evenHBand="0" w:firstRowFirstColumn="0" w:firstRowLastColumn="0" w:lastRowFirstColumn="0" w:lastRowLastColumn="0"/>
              <w:rPr>
                <w:lang w:eastAsia="en-GB"/>
              </w:rPr>
            </w:pPr>
            <w:r w:rsidRPr="000436B3">
              <w:rPr>
                <w:lang w:eastAsia="en-GB"/>
              </w:rPr>
              <w:t>treatment types for acute malnutrition</w:t>
            </w:r>
          </w:p>
        </w:tc>
      </w:tr>
      <w:tr w:rsidR="000436B3" w:rsidRPr="000436B3" w14:paraId="4B3A0E0F" w14:textId="77777777" w:rsidTr="000436B3">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25" w:type="pct"/>
            <w:noWrap/>
            <w:hideMark/>
          </w:tcPr>
          <w:p w14:paraId="370E1503" w14:textId="77777777" w:rsidR="000436B3" w:rsidRPr="000436B3" w:rsidRDefault="000436B3" w:rsidP="000436B3">
            <w:pPr>
              <w:pStyle w:val="NoSpacing"/>
              <w:rPr>
                <w:lang w:eastAsia="en-GB"/>
              </w:rPr>
            </w:pPr>
            <w:proofErr w:type="spellStart"/>
            <w:r w:rsidRPr="000436B3">
              <w:rPr>
                <w:lang w:eastAsia="en-GB"/>
              </w:rPr>
              <w:t>un_SAM_management_facility_type</w:t>
            </w:r>
            <w:proofErr w:type="spellEnd"/>
          </w:p>
        </w:tc>
        <w:tc>
          <w:tcPr>
            <w:tcW w:w="1558" w:type="pct"/>
            <w:noWrap/>
            <w:hideMark/>
          </w:tcPr>
          <w:p w14:paraId="3248F69F"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Categorical ['outpatient', 'inpatient']</w:t>
            </w:r>
          </w:p>
        </w:tc>
        <w:tc>
          <w:tcPr>
            <w:tcW w:w="1817" w:type="pct"/>
            <w:noWrap/>
            <w:hideMark/>
          </w:tcPr>
          <w:p w14:paraId="342A0622" w14:textId="77777777" w:rsidR="000436B3" w:rsidRPr="000436B3" w:rsidRDefault="000436B3" w:rsidP="000436B3">
            <w:pPr>
              <w:pStyle w:val="NoSpacing"/>
              <w:cnfStyle w:val="000000100000" w:firstRow="0" w:lastRow="0" w:firstColumn="0" w:lastColumn="0" w:oddVBand="0" w:evenVBand="0" w:oddHBand="1" w:evenHBand="0" w:firstRowFirstColumn="0" w:firstRowLastColumn="0" w:lastRowFirstColumn="0" w:lastRowLastColumn="0"/>
              <w:rPr>
                <w:lang w:eastAsia="en-GB"/>
              </w:rPr>
            </w:pPr>
            <w:r w:rsidRPr="000436B3">
              <w:rPr>
                <w:lang w:eastAsia="en-GB"/>
              </w:rPr>
              <w:t>treatment of SAM at facility level</w:t>
            </w:r>
          </w:p>
        </w:tc>
      </w:tr>
    </w:tbl>
    <w:p w14:paraId="0D3A28C6" w14:textId="6AE1B9F4" w:rsidR="004D43DC" w:rsidRDefault="000436B3" w:rsidP="007053A1">
      <w:pPr>
        <w:ind w:firstLine="0"/>
        <w:rPr>
          <w:sz w:val="20"/>
          <w:szCs w:val="20"/>
        </w:rPr>
      </w:pPr>
      <w:r w:rsidRPr="000436B3">
        <w:rPr>
          <w:sz w:val="20"/>
          <w:szCs w:val="20"/>
        </w:rPr>
        <w:t>un_ prefix stands for undernutrition</w:t>
      </w:r>
    </w:p>
    <w:p w14:paraId="70A7BB20" w14:textId="77777777" w:rsidR="00C818A4" w:rsidRPr="000436B3" w:rsidRDefault="00C818A4" w:rsidP="007053A1">
      <w:pPr>
        <w:ind w:firstLine="0"/>
        <w:rPr>
          <w:sz w:val="20"/>
          <w:szCs w:val="20"/>
        </w:rPr>
      </w:pPr>
    </w:p>
    <w:p w14:paraId="0B3AE6CF" w14:textId="77777777" w:rsidR="00EC6445" w:rsidRDefault="00EC6445" w:rsidP="008C1095">
      <w:pPr>
        <w:pStyle w:val="Heading2"/>
      </w:pPr>
      <w:bookmarkStart w:id="21" w:name="_Toc71105497"/>
      <w:bookmarkStart w:id="22" w:name="_Toc74050881"/>
      <w:r>
        <w:t>Prevalence of wasting at start of simulation</w:t>
      </w:r>
      <w:bookmarkEnd w:id="21"/>
      <w:bookmarkEnd w:id="22"/>
    </w:p>
    <w:p w14:paraId="6DB5537C" w14:textId="0C65C93A" w:rsidR="00F50F62" w:rsidRDefault="00EC6445" w:rsidP="00F50F62">
      <w:r>
        <w:t>At initiation</w:t>
      </w:r>
      <w:r w:rsidR="00F50F62">
        <w:t xml:space="preserve"> of simulation</w:t>
      </w:r>
      <w:r>
        <w:t>, the prevalence of wasting is set. Based on the DHS 2015-16 data, the mean and standard deviation of</w:t>
      </w:r>
      <w:r w:rsidR="0070722F">
        <w:t xml:space="preserve"> the normal distribution of</w:t>
      </w:r>
      <w:r>
        <w:t xml:space="preserve"> WHZ scores for each age group: &lt;6, 6-11, 12-23, 24-35, 36-47, 48-59</w:t>
      </w:r>
      <w:r w:rsidRPr="00EC6445">
        <w:t xml:space="preserve"> </w:t>
      </w:r>
      <w:r>
        <w:t>months are used to determine the probability of WHZ&lt; -</w:t>
      </w:r>
      <w:r w:rsidR="0070722F">
        <w:t>2</w:t>
      </w:r>
      <w:r>
        <w:t xml:space="preserve"> </w:t>
      </w:r>
      <w:r w:rsidR="0070722F">
        <w:t>(wasted) for each age category. T</w:t>
      </w:r>
      <w:r>
        <w:t xml:space="preserve">hen </w:t>
      </w:r>
      <w:r w:rsidR="0070722F">
        <w:t xml:space="preserve">this probability of wasting </w:t>
      </w:r>
      <w:r w:rsidR="009208ED">
        <w:t xml:space="preserve">is </w:t>
      </w:r>
      <w:r>
        <w:t>convert</w:t>
      </w:r>
      <w:r w:rsidR="009208ED">
        <w:t xml:space="preserve">ed </w:t>
      </w:r>
      <w:r>
        <w:t xml:space="preserve">into odds of </w:t>
      </w:r>
      <w:r w:rsidR="0070722F">
        <w:t>wasting, for which the odds ratios of risk factors are added to the linear model of wasting prevalence.</w:t>
      </w:r>
      <w:r w:rsidR="00D068C0">
        <w:t xml:space="preserve"> Currently, t</w:t>
      </w:r>
      <w:r w:rsidR="0062682F">
        <w:t>he risk factors for w</w:t>
      </w:r>
      <w:r w:rsidR="00F50F62">
        <w:t>asting include household wealth, preterm birth, and gestational size.</w:t>
      </w:r>
      <w:r w:rsidR="009208ED">
        <w:t xml:space="preserve"> The severity of wasting (moderate</w:t>
      </w:r>
      <w:r w:rsidR="009F24C3">
        <w:t xml:space="preserve"> </w:t>
      </w:r>
      <w:r w:rsidR="009208ED">
        <w:t>3</w:t>
      </w:r>
      <w:r w:rsidR="009208ED">
        <w:rPr>
          <w:rFonts w:cs="Arial"/>
        </w:rPr>
        <w:t>≥</w:t>
      </w:r>
      <w:r w:rsidR="009208ED">
        <w:t>WHZ&lt;-2, or severe WHZ&lt;-3) is also assigned based on th</w:t>
      </w:r>
      <w:r w:rsidR="009F24C3">
        <w:t>e probability attained from the</w:t>
      </w:r>
      <w:r w:rsidR="009208ED">
        <w:t xml:space="preserve"> normal distribution of Z-scores. </w:t>
      </w:r>
    </w:p>
    <w:p w14:paraId="65E009B0" w14:textId="26AADC8B" w:rsidR="009208ED" w:rsidRDefault="009208ED" w:rsidP="00F50F62">
      <w:r>
        <w:t>A distribution of MUAC &lt;115mm and presence of oedema is applied. These two indicators</w:t>
      </w:r>
      <w:r w:rsidR="009F24C3">
        <w:t xml:space="preserve">, </w:t>
      </w:r>
      <w:r>
        <w:t>together with wasting state</w:t>
      </w:r>
      <w:r w:rsidR="009F24C3">
        <w:t>,</w:t>
      </w:r>
      <w:r>
        <w:t xml:space="preserve"> will then be used to compute the clinical acute malnutrition state: either MAM, or SAM, </w:t>
      </w:r>
      <w:r w:rsidR="009927F2">
        <w:t>to which</w:t>
      </w:r>
      <w:r>
        <w:t xml:space="preserve"> the interventions are targeted to</w:t>
      </w:r>
      <w:r w:rsidR="009927F2">
        <w:t>. Clinical acute malnutrition i</w:t>
      </w:r>
      <w:r>
        <w:t>s not determined by weight-for-height alone.</w:t>
      </w:r>
    </w:p>
    <w:p w14:paraId="03DB886E" w14:textId="40215023" w:rsidR="009927F2" w:rsidRDefault="009927F2" w:rsidP="00F50F62">
      <w:r>
        <w:t>Treatment coverage and cure rates at initiation are applied.</w:t>
      </w:r>
      <w:r w:rsidR="004841D3">
        <w:t xml:space="preserve"> These prevalence parameters and respective values are listed in Table 4.</w:t>
      </w:r>
    </w:p>
    <w:p w14:paraId="6050B667" w14:textId="77777777" w:rsidR="00EC6445" w:rsidRDefault="00EC6445" w:rsidP="0070722F">
      <w:pPr>
        <w:ind w:firstLine="0"/>
      </w:pPr>
    </w:p>
    <w:p w14:paraId="13727F16" w14:textId="77777777" w:rsidR="007053A1" w:rsidRDefault="007053A1" w:rsidP="007053A1">
      <w:pPr>
        <w:pStyle w:val="Heading2"/>
      </w:pPr>
      <w:bookmarkStart w:id="23" w:name="_Toc71105498"/>
      <w:bookmarkStart w:id="24" w:name="_Toc74050882"/>
      <w:r>
        <w:t xml:space="preserve">Incidence of wasting </w:t>
      </w:r>
      <w:r w:rsidR="002444E3">
        <w:t>and disease progression</w:t>
      </w:r>
      <w:bookmarkEnd w:id="23"/>
      <w:bookmarkEnd w:id="24"/>
    </w:p>
    <w:p w14:paraId="2A823786" w14:textId="34862A68" w:rsidR="003018AF" w:rsidRDefault="00751F97" w:rsidP="003018AF">
      <w:r>
        <w:t xml:space="preserve">The figure below (Figure 1) shows the proposed model structure for wasting (low weight-for-height), the acute </w:t>
      </w:r>
      <w:r w:rsidR="00B3647F">
        <w:t>form</w:t>
      </w:r>
      <w:r>
        <w:t xml:space="preserve"> </w:t>
      </w:r>
      <w:r w:rsidR="00BF5A2D">
        <w:t>of</w:t>
      </w:r>
      <w:r>
        <w:t xml:space="preserve"> undernutrition. </w:t>
      </w:r>
      <w:r w:rsidR="00BF5A2D">
        <w:t xml:space="preserve">It focuses on the natural history of </w:t>
      </w:r>
      <w:r w:rsidR="003018AF">
        <w:t>wasting</w:t>
      </w:r>
      <w:r w:rsidR="00BF5A2D">
        <w:t xml:space="preserve"> </w:t>
      </w:r>
      <w:r>
        <w:t>without input of the h</w:t>
      </w:r>
      <w:r w:rsidR="0070722F">
        <w:t>ealthcare system interventions.</w:t>
      </w:r>
      <w:r w:rsidR="003018AF" w:rsidRPr="003018AF">
        <w:t xml:space="preserve"> </w:t>
      </w:r>
      <w:r w:rsidR="003018AF">
        <w:t xml:space="preserve">A regular event, occurring every </w:t>
      </w:r>
      <w:r w:rsidR="009927F2">
        <w:t>month</w:t>
      </w:r>
      <w:r w:rsidR="003018AF">
        <w:t>, applies the incidence of new wasting cases</w:t>
      </w:r>
      <w:r w:rsidR="009927F2">
        <w:t xml:space="preserve"> by age, </w:t>
      </w:r>
      <w:r w:rsidR="003A3D62">
        <w:t xml:space="preserve">and updates the clinical acute malnutrition state for all children, it also applies the probability of </w:t>
      </w:r>
      <w:r w:rsidR="003018AF">
        <w:t>progression to severe wasting of current cases</w:t>
      </w:r>
      <w:r w:rsidR="003A3D62">
        <w:t xml:space="preserve">, re-updating the clinical acute malnutrition state. Another regular event </w:t>
      </w:r>
      <w:r w:rsidR="003018AF">
        <w:t xml:space="preserve">and applies </w:t>
      </w:r>
      <w:r w:rsidR="003A3D62">
        <w:t>the</w:t>
      </w:r>
      <w:r w:rsidR="003018AF">
        <w:t xml:space="preserve"> death rate for current SAM cases. </w:t>
      </w:r>
    </w:p>
    <w:p w14:paraId="6098E2EC" w14:textId="77777777" w:rsidR="0070722F" w:rsidRPr="00751F97" w:rsidRDefault="0070722F" w:rsidP="00BA19D5"/>
    <w:p w14:paraId="6446705E" w14:textId="4F3C4799" w:rsidR="004C2FAF" w:rsidRDefault="004C2FAF" w:rsidP="004C2FAF">
      <w:pPr>
        <w:pStyle w:val="Caption"/>
        <w:keepNext/>
      </w:pPr>
      <w:r>
        <w:lastRenderedPageBreak/>
        <w:t xml:space="preserve">Figure </w:t>
      </w:r>
      <w:fldSimple w:instr=" SEQ Figure \* ARABIC ">
        <w:r w:rsidR="00CD679E">
          <w:rPr>
            <w:noProof/>
          </w:rPr>
          <w:t>1</w:t>
        </w:r>
      </w:fldSimple>
      <w:r>
        <w:t xml:space="preserve"> - </w:t>
      </w:r>
      <w:r w:rsidRPr="00C44A42">
        <w:t>Model structure of the natural history of acute malnutrition</w:t>
      </w:r>
    </w:p>
    <w:p w14:paraId="7D51B0EB" w14:textId="26779320" w:rsidR="0070722F" w:rsidRDefault="00922675" w:rsidP="0070722F">
      <w:pPr>
        <w:ind w:firstLine="0"/>
      </w:pPr>
      <w:r>
        <w:rPr>
          <w:noProof/>
        </w:rPr>
        <w:drawing>
          <wp:inline distT="0" distB="0" distL="0" distR="0" wp14:anchorId="37BF2C12" wp14:editId="15BFBDE6">
            <wp:extent cx="4260301" cy="404191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6368" b="5337"/>
                    <a:stretch/>
                  </pic:blipFill>
                  <pic:spPr bwMode="auto">
                    <a:xfrm>
                      <a:off x="0" y="0"/>
                      <a:ext cx="4260850" cy="4042434"/>
                    </a:xfrm>
                    <a:prstGeom prst="rect">
                      <a:avLst/>
                    </a:prstGeom>
                    <a:noFill/>
                    <a:ln>
                      <a:noFill/>
                    </a:ln>
                    <a:extLst>
                      <a:ext uri="{53640926-AAD7-44D8-BBD7-CCE9431645EC}">
                        <a14:shadowObscured xmlns:a14="http://schemas.microsoft.com/office/drawing/2010/main"/>
                      </a:ext>
                    </a:extLst>
                  </pic:spPr>
                </pic:pic>
              </a:graphicData>
            </a:graphic>
          </wp:inline>
        </w:drawing>
      </w:r>
    </w:p>
    <w:p w14:paraId="41FD215B" w14:textId="4D39C2DF" w:rsidR="00D545E1" w:rsidRDefault="003018AF" w:rsidP="0070722F">
      <w:r>
        <w:t xml:space="preserve">As shown in </w:t>
      </w:r>
      <w:r w:rsidR="00C818A4">
        <w:t>the proposed model structure</w:t>
      </w:r>
      <w:r>
        <w:t xml:space="preserve">, the incidence of wasting </w:t>
      </w:r>
      <w:r w:rsidR="00751F97">
        <w:t xml:space="preserve">is dependent on </w:t>
      </w:r>
      <w:r w:rsidR="000B12B6">
        <w:t xml:space="preserve">age and </w:t>
      </w:r>
      <w:r w:rsidR="00D545E1">
        <w:t xml:space="preserve">several risk factors including, birth size (preterm birth, gestational age), </w:t>
      </w:r>
      <w:commentRangeStart w:id="25"/>
      <w:r w:rsidR="00D545E1">
        <w:t>HIV status, household wealth, exclusive breastfeeding until 6 months of age, prior episodes of diarrhoea, and components of WASH.</w:t>
      </w:r>
      <w:commentRangeEnd w:id="25"/>
      <w:r w:rsidR="003A3D62">
        <w:rPr>
          <w:rStyle w:val="CommentReference"/>
        </w:rPr>
        <w:commentReference w:id="25"/>
      </w:r>
    </w:p>
    <w:p w14:paraId="5A28B0B1" w14:textId="501D39A5" w:rsidR="00E5171F" w:rsidRDefault="003018AF" w:rsidP="00E5171F">
      <w:r>
        <w:t>Once</w:t>
      </w:r>
      <w:r w:rsidR="00D545E1">
        <w:t xml:space="preserve"> in a state of moderate wasting (-3</w:t>
      </w:r>
      <w:r w:rsidR="00D545E1">
        <w:rPr>
          <w:rFonts w:cs="Arial"/>
        </w:rPr>
        <w:t>≥</w:t>
      </w:r>
      <w:r w:rsidR="00D545E1">
        <w:t xml:space="preserve">WHZ&lt;-2), the individual </w:t>
      </w:r>
      <w:r w:rsidR="00751F97">
        <w:t xml:space="preserve">will </w:t>
      </w:r>
      <w:r w:rsidR="00D545E1">
        <w:t>remain</w:t>
      </w:r>
      <w:r w:rsidR="00751F97">
        <w:t xml:space="preserve"> in that s</w:t>
      </w:r>
      <w:r w:rsidR="000B12B6">
        <w:t>tate for a mean duration of MAM</w:t>
      </w:r>
      <w:r w:rsidR="00D545E1">
        <w:fldChar w:fldCharType="begin" w:fldLock="1"/>
      </w:r>
      <w:r w:rsidR="00C12542">
        <w:instrText>ADDIN CSL_CITATION {"citationItems":[{"id":"ITEM-1","itemData":{"DOI":"10.1093/aje/kwq436","ISSN":"0002-9262","abstract":"Expected incidence of acute malnutrition is the most appropriate measure for projecting the needs of a nutritional treatment program over time in terms of staffing, food, and other treatments, but direct estimation of incidence is rarely feasible at the onset of an intervention. While incidence may be approximated as prevalence/average duration, ethical constraints preclude measurement of the duration of acute malnutrition in the absence of treatment. The authors used a compartmental model to estimate the duration of untreated moderate acute malnutrition (MAM) and severe acute malnutrition (SAM) in children aged 6-60 months. The model was informed by data from a community-based cohort of children in Niger followed from August 2006 to March 2007. Maximum likelihood estimates for the duration of untreated MAM, defined by weight-for-height z score and middle upper arm circumference, were 75-81 days and 101-116 days, respectively. The duration of untreated SAM, defined by weight-for-height z score, was 45 days. The duration of untreated MAM appears to have been shorter among children aged 6-35 months compared with those aged 36-60 months. Such estimates of the duration, and thus incidence, of untreated malnutrition can be used to improve projections of program needs and estimates of the global burden of acute malnutrition. © 2011 The Author.","author":[{"dropping-particle":"","family":"Isanaka","given":"S.","non-dropping-particle":"","parse-names":false,"suffix":""},{"dropping-particle":"","family":"Grais","given":"R. F.","non-dropping-particle":"","parse-names":false,"suffix":""},{"dropping-particle":"","family":"Briend","given":"A.","non-dropping-particle":"","parse-names":false,"suffix":""},{"dropping-particle":"","family":"Checchi","given":"F.","non-dropping-particle":"","parse-names":false,"suffix":""}],"container-title":"American Journal of Epidemiology","id":"ITEM-1","issue":"8","issued":{"date-parts":[["2011","4","15"]]},"page":"932-940","publisher":"Oxford Academic","title":"Estimates of the Duration of Untreated Acute Malnutrition in Children From Niger","type":"article-journal","volume":"173"},"uris":["http://www.mendeley.com/documents/?uuid=47abac88-383d-315c-bd25-a4adbe9adcb2"]}],"mendeley":{"formattedCitation":"&lt;sup&gt;5&lt;/sup&gt;","plainTextFormattedCitation":"5","previouslyFormattedCitation":"&lt;sup&gt;5&lt;/sup&gt;"},"properties":{"noteIndex":0},"schema":"https://github.com/citation-style-language/schema/raw/master/csl-citation.json"}</w:instrText>
      </w:r>
      <w:r w:rsidR="00D545E1">
        <w:fldChar w:fldCharType="separate"/>
      </w:r>
      <w:r w:rsidR="00304913" w:rsidRPr="00304913">
        <w:rPr>
          <w:noProof/>
          <w:vertAlign w:val="superscript"/>
        </w:rPr>
        <w:t>5</w:t>
      </w:r>
      <w:r w:rsidR="00D545E1">
        <w:fldChar w:fldCharType="end"/>
      </w:r>
      <w:r w:rsidR="00D545E1">
        <w:t xml:space="preserve">, at the end of which they will either progress to severe wasting (WHZ&lt;-3), recover naturally to </w:t>
      </w:r>
      <w:r w:rsidR="00C818A4">
        <w:t xml:space="preserve">a </w:t>
      </w:r>
      <w:r w:rsidR="00D545E1">
        <w:t>normal nutritional state of WHZ&gt;-2, or</w:t>
      </w:r>
      <w:r w:rsidR="003A3D62">
        <w:t xml:space="preserve"> will have</w:t>
      </w:r>
      <w:r w:rsidR="00D545E1">
        <w:t xml:space="preserve"> die</w:t>
      </w:r>
      <w:r w:rsidR="003A3D62">
        <w:t>d</w:t>
      </w:r>
      <w:r w:rsidR="00D545E1">
        <w:t xml:space="preserve"> due to other </w:t>
      </w:r>
      <w:r>
        <w:t>comorbidities</w:t>
      </w:r>
      <w:r w:rsidR="00E5171F">
        <w:t xml:space="preserve"> </w:t>
      </w:r>
      <w:r w:rsidR="003A3D62">
        <w:t xml:space="preserve">in other disease modules </w:t>
      </w:r>
      <w:r w:rsidR="00E5171F">
        <w:t>(</w:t>
      </w:r>
      <w:r w:rsidR="003A3D62">
        <w:t xml:space="preserve">moderate wasting and/or </w:t>
      </w:r>
      <w:r w:rsidR="00E5171F">
        <w:t>MAM is a major risk factor for other infectious diseases and death)</w:t>
      </w:r>
      <w:r w:rsidR="00D545E1">
        <w:t>.</w:t>
      </w:r>
      <w:r w:rsidR="0088469E">
        <w:t xml:space="preserve"> The rate of progression to severe wasting depends </w:t>
      </w:r>
      <w:r w:rsidR="009957FA">
        <w:t>solely on age, assuming all other risk factors associated with incidence remain constant for the individual.</w:t>
      </w:r>
      <w:r w:rsidR="00E5171F">
        <w:t xml:space="preserve"> </w:t>
      </w:r>
      <w:r w:rsidR="009957FA">
        <w:t>When</w:t>
      </w:r>
      <w:r w:rsidR="0088469E">
        <w:t xml:space="preserve"> in the severe wasting state, the individual will remain in that state for a mean duration of SAM</w:t>
      </w:r>
      <w:r w:rsidR="0088469E">
        <w:fldChar w:fldCharType="begin" w:fldLock="1"/>
      </w:r>
      <w:r w:rsidR="00C12542">
        <w:instrText>ADDIN CSL_CITATION {"citationItems":[{"id":"ITEM-1","itemData":{"DOI":"10.1093/aje/kwq436","ISSN":"0002-9262","abstract":"Expected incidence of acute malnutrition is the most appropriate measure for projecting the needs of a nutritional treatment program over time in terms of staffing, food, and other treatments, but direct estimation of incidence is rarely feasible at the onset of an intervention. While incidence may be approximated as prevalence/average duration, ethical constraints preclude measurement of the duration of acute malnutrition in the absence of treatment. The authors used a compartmental model to estimate the duration of untreated moderate acute malnutrition (MAM) and severe acute malnutrition (SAM) in children aged 6-60 months. The model was informed by data from a community-based cohort of children in Niger followed from August 2006 to March 2007. Maximum likelihood estimates for the duration of untreated MAM, defined by weight-for-height z score and middle upper arm circumference, were 75-81 days and 101-116 days, respectively. The duration of untreated SAM, defined by weight-for-height z score, was 45 days. The duration of untreated MAM appears to have been shorter among children aged 6-35 months compared with those aged 36-60 months. Such estimates of the duration, and thus incidence, of untreated malnutrition can be used to improve projections of program needs and estimates of the global burden of acute malnutrition. © 2011 The Author.","author":[{"dropping-particle":"","family":"Isanaka","given":"S.","non-dropping-particle":"","parse-names":false,"suffix":""},{"dropping-particle":"","family":"Grais","given":"R. F.","non-dropping-particle":"","parse-names":false,"suffix":""},{"dropping-particle":"","family":"Briend","given":"A.","non-dropping-particle":"","parse-names":false,"suffix":""},{"dropping-particle":"","family":"Checchi","given":"F.","non-dropping-particle":"","parse-names":false,"suffix":""}],"container-title":"American Journal of Epidemiology","id":"ITEM-1","issue":"8","issued":{"date-parts":[["2011","4","15"]]},"page":"932-940","publisher":"Oxford Academic","title":"Estimates of the Duration of Untreated Acute Malnutrition in Children From Niger","type":"article-journal","volume":"173"},"uris":["http://www.mendeley.com/documents/?uuid=47abac88-383d-315c-bd25-a4adbe9adcb2"]}],"mendeley":{"formattedCitation":"&lt;sup&gt;5&lt;/sup&gt;","plainTextFormattedCitation":"5","previouslyFormattedCitation":"&lt;sup&gt;5&lt;/sup&gt;"},"properties":{"noteIndex":0},"schema":"https://github.com/citation-style-language/schema/raw/master/csl-citation.json"}</w:instrText>
      </w:r>
      <w:r w:rsidR="0088469E">
        <w:fldChar w:fldCharType="separate"/>
      </w:r>
      <w:r w:rsidR="00304913" w:rsidRPr="00304913">
        <w:rPr>
          <w:noProof/>
          <w:vertAlign w:val="superscript"/>
        </w:rPr>
        <w:t>5</w:t>
      </w:r>
      <w:r w:rsidR="0088469E">
        <w:fldChar w:fldCharType="end"/>
      </w:r>
      <w:r w:rsidR="0088469E">
        <w:t>, at the end of which they will have either improved the nutritional state by 1 standard deviation</w:t>
      </w:r>
      <w:r w:rsidR="003A3D62">
        <w:t xml:space="preserve"> (moderate wasting)</w:t>
      </w:r>
      <w:r w:rsidR="0088469E">
        <w:t xml:space="preserve">, or died. </w:t>
      </w:r>
    </w:p>
    <w:p w14:paraId="60503A54" w14:textId="45DEFFE0" w:rsidR="003A3D62" w:rsidRPr="001129AA" w:rsidRDefault="00E5171F" w:rsidP="001129AA">
      <w:pPr>
        <w:rPr>
          <w:shd w:val="clear" w:color="auto" w:fill="FFFFFF"/>
        </w:rPr>
      </w:pPr>
      <w:r>
        <w:t>Both MUAC measurement and the presence of bilateral oedema on both feet are indicators of severity of acute malnutrition. For the clinical classification of SAM or MAM, all three indicators (WHZ, MUAC, oedema) are used to determine clinical severity</w:t>
      </w:r>
      <w:r w:rsidR="003922B6">
        <w:t xml:space="preserve">. As defined in Table 2, the diagnostic criteria for SAM </w:t>
      </w:r>
      <w:r w:rsidR="003922B6">
        <w:rPr>
          <w:shd w:val="clear" w:color="auto" w:fill="FFFFFF"/>
        </w:rPr>
        <w:t>in children aged 6-60 months is severe wating (WHZ&lt;-3), and/or MUAC &lt; 115</w:t>
      </w:r>
      <w:r w:rsidR="003A3D62">
        <w:rPr>
          <w:shd w:val="clear" w:color="auto" w:fill="FFFFFF"/>
        </w:rPr>
        <w:t xml:space="preserve">, </w:t>
      </w:r>
      <w:r w:rsidR="003922B6">
        <w:rPr>
          <w:shd w:val="clear" w:color="auto" w:fill="FFFFFF"/>
        </w:rPr>
        <w:t>and/or clinical sign of bilateral oedema</w:t>
      </w:r>
      <w:r w:rsidR="003922B6">
        <w:rPr>
          <w:shd w:val="clear" w:color="auto" w:fill="FFFFFF"/>
        </w:rPr>
        <w:fldChar w:fldCharType="begin" w:fldLock="1"/>
      </w:r>
      <w:r w:rsidR="00C12542">
        <w:rPr>
          <w:shd w:val="clear" w:color="auto" w:fill="FFFFFF"/>
        </w:rPr>
        <w:instrText>ADDIN CSL_CITATION {"citationItems":[{"id":"ITEM-1","itemData":{"id":"ITEM-1","issued":{"date-parts":[["0"]]},"title":"WHO child growth standards and the identification of severe acute malnutrition in infants and children","type":"report"},"uris":["http://www.mendeley.com/documents/?uuid=0fcf119f-362d-3e10-9c52-ec00a84f70bb"]}],"mendeley":{"formattedCitation":"&lt;sup&gt;4&lt;/sup&gt;","plainTextFormattedCitation":"4","previouslyFormattedCitation":"&lt;sup&gt;4&lt;/sup&gt;"},"properties":{"noteIndex":0},"schema":"https://github.com/citation-style-language/schema/raw/master/csl-citation.json"}</w:instrText>
      </w:r>
      <w:r w:rsidR="003922B6">
        <w:rPr>
          <w:shd w:val="clear" w:color="auto" w:fill="FFFFFF"/>
        </w:rPr>
        <w:fldChar w:fldCharType="separate"/>
      </w:r>
      <w:r w:rsidR="00304913" w:rsidRPr="00304913">
        <w:rPr>
          <w:noProof/>
          <w:shd w:val="clear" w:color="auto" w:fill="FFFFFF"/>
          <w:vertAlign w:val="superscript"/>
        </w:rPr>
        <w:t>4</w:t>
      </w:r>
      <w:r w:rsidR="003922B6">
        <w:rPr>
          <w:shd w:val="clear" w:color="auto" w:fill="FFFFFF"/>
        </w:rPr>
        <w:fldChar w:fldCharType="end"/>
      </w:r>
      <w:r w:rsidR="003922B6">
        <w:t>. All three measures</w:t>
      </w:r>
      <w:r>
        <w:t xml:space="preserve"> are </w:t>
      </w:r>
      <w:r>
        <w:rPr>
          <w:shd w:val="clear" w:color="auto" w:fill="FFFFFF"/>
        </w:rPr>
        <w:t>considered independent indicators of SAM.</w:t>
      </w:r>
      <w:r w:rsidR="003922B6">
        <w:rPr>
          <w:shd w:val="clear" w:color="auto" w:fill="FFFFFF"/>
        </w:rPr>
        <w:t xml:space="preserve"> Whereas </w:t>
      </w:r>
      <w:r w:rsidR="003922B6">
        <w:t xml:space="preserve">the diagnostic </w:t>
      </w:r>
      <w:proofErr w:type="gramStart"/>
      <w:r w:rsidR="003A3D62">
        <w:t>criteria</w:t>
      </w:r>
      <w:proofErr w:type="gramEnd"/>
      <w:r w:rsidR="003922B6">
        <w:t xml:space="preserve"> for </w:t>
      </w:r>
      <w:r w:rsidR="003922B6">
        <w:rPr>
          <w:shd w:val="clear" w:color="auto" w:fill="FFFFFF"/>
        </w:rPr>
        <w:t>MAM is moderate wasting (-3</w:t>
      </w:r>
      <w:r w:rsidR="003922B6">
        <w:rPr>
          <w:rFonts w:cs="Arial"/>
          <w:shd w:val="clear" w:color="auto" w:fill="FFFFFF"/>
        </w:rPr>
        <w:t>≤</w:t>
      </w:r>
      <w:r w:rsidR="003922B6">
        <w:rPr>
          <w:shd w:val="clear" w:color="auto" w:fill="FFFFFF"/>
        </w:rPr>
        <w:t xml:space="preserve">WHZ&lt;-2) and/or MUAC </w:t>
      </w:r>
      <w:r w:rsidR="003922B6">
        <w:rPr>
          <w:rFonts w:cs="Arial"/>
          <w:shd w:val="clear" w:color="auto" w:fill="FFFFFF"/>
        </w:rPr>
        <w:t>≥</w:t>
      </w:r>
      <w:r w:rsidR="003922B6">
        <w:rPr>
          <w:shd w:val="clear" w:color="auto" w:fill="FFFFFF"/>
        </w:rPr>
        <w:t>115mm and &lt;125mm without oedema.</w:t>
      </w:r>
      <w:r w:rsidR="003A3D62">
        <w:rPr>
          <w:shd w:val="clear" w:color="auto" w:fill="FFFFFF"/>
        </w:rPr>
        <w:t xml:space="preserve"> </w:t>
      </w:r>
      <w:r w:rsidR="001129AA">
        <w:rPr>
          <w:shd w:val="clear" w:color="auto" w:fill="FFFFFF"/>
        </w:rPr>
        <w:t xml:space="preserve">Based on the wasting state, probabilities of MUAC measures and the presence of oedema is applied to the children. </w:t>
      </w:r>
      <w:r w:rsidR="003A3D62">
        <w:rPr>
          <w:shd w:val="clear" w:color="auto" w:fill="FFFFFF"/>
        </w:rPr>
        <w:t xml:space="preserve">Figure 2 shows </w:t>
      </w:r>
      <w:r w:rsidR="001129AA">
        <w:rPr>
          <w:shd w:val="clear" w:color="auto" w:fill="FFFFFF"/>
        </w:rPr>
        <w:t>the relation</w:t>
      </w:r>
      <w:r w:rsidR="003A3D62">
        <w:rPr>
          <w:shd w:val="clear" w:color="auto" w:fill="FFFFFF"/>
        </w:rPr>
        <w:t xml:space="preserve"> between wasting</w:t>
      </w:r>
      <w:r w:rsidR="001129AA">
        <w:rPr>
          <w:shd w:val="clear" w:color="auto" w:fill="FFFFFF"/>
        </w:rPr>
        <w:t xml:space="preserve"> states</w:t>
      </w:r>
      <w:r w:rsidR="003A3D62">
        <w:rPr>
          <w:shd w:val="clear" w:color="auto" w:fill="FFFFFF"/>
        </w:rPr>
        <w:t xml:space="preserve"> and other anthropometric/clinical factors that determine the clinical acute malnutrition state. </w:t>
      </w:r>
    </w:p>
    <w:p w14:paraId="0CFB88F5" w14:textId="5242832D" w:rsidR="00922675" w:rsidRDefault="00922675" w:rsidP="00922675">
      <w:pPr>
        <w:pStyle w:val="Caption"/>
        <w:keepNext/>
      </w:pPr>
      <w:r>
        <w:lastRenderedPageBreak/>
        <w:t xml:space="preserve">Figure </w:t>
      </w:r>
      <w:fldSimple w:instr=" SEQ Figure \* ARABIC ">
        <w:r w:rsidR="00CD679E">
          <w:rPr>
            <w:noProof/>
          </w:rPr>
          <w:t>2</w:t>
        </w:r>
      </w:fldSimple>
      <w:r>
        <w:t xml:space="preserve"> </w:t>
      </w:r>
      <w:r w:rsidR="000E4EEA">
        <w:t>–</w:t>
      </w:r>
      <w:r>
        <w:t xml:space="preserve"> </w:t>
      </w:r>
      <w:r w:rsidR="000E4EEA">
        <w:t>Wasting state, MUAC and oedema in determining c</w:t>
      </w:r>
      <w:r>
        <w:t>linical acute malnutrition</w:t>
      </w:r>
    </w:p>
    <w:p w14:paraId="4B32A1C8" w14:textId="5D5B7691" w:rsidR="00304913" w:rsidRDefault="00304913" w:rsidP="00304913">
      <w:pPr>
        <w:ind w:firstLine="0"/>
        <w:rPr>
          <w:shd w:val="clear" w:color="auto" w:fill="FFFFFF"/>
        </w:rPr>
      </w:pPr>
      <w:r>
        <w:rPr>
          <w:noProof/>
        </w:rPr>
        <w:drawing>
          <wp:inline distT="0" distB="0" distL="0" distR="0" wp14:anchorId="0E739A97" wp14:editId="2C876009">
            <wp:extent cx="5969479" cy="458925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452" t="5323" r="4719" b="8857"/>
                    <a:stretch/>
                  </pic:blipFill>
                  <pic:spPr bwMode="auto">
                    <a:xfrm>
                      <a:off x="0" y="0"/>
                      <a:ext cx="5970001" cy="4589655"/>
                    </a:xfrm>
                    <a:prstGeom prst="rect">
                      <a:avLst/>
                    </a:prstGeom>
                    <a:noFill/>
                    <a:ln>
                      <a:noFill/>
                    </a:ln>
                    <a:extLst>
                      <a:ext uri="{53640926-AAD7-44D8-BBD7-CCE9431645EC}">
                        <a14:shadowObscured xmlns:a14="http://schemas.microsoft.com/office/drawing/2010/main"/>
                      </a:ext>
                    </a:extLst>
                  </pic:spPr>
                </pic:pic>
              </a:graphicData>
            </a:graphic>
          </wp:inline>
        </w:drawing>
      </w:r>
    </w:p>
    <w:p w14:paraId="482E5481" w14:textId="3ACFC863" w:rsidR="000E4EEA" w:rsidRPr="00FD30AD" w:rsidRDefault="000E4EEA" w:rsidP="000E4EEA">
      <w:pPr>
        <w:rPr>
          <w:b/>
          <w:bCs/>
          <w:shd w:val="clear" w:color="auto" w:fill="FFFFFF"/>
        </w:rPr>
      </w:pPr>
      <w:r>
        <w:rPr>
          <w:shd w:val="clear" w:color="auto" w:fill="FFFFFF"/>
        </w:rPr>
        <w:t xml:space="preserve">Parameter values and </w:t>
      </w:r>
      <w:r w:rsidR="001129AA">
        <w:rPr>
          <w:shd w:val="clear" w:color="auto" w:fill="FFFFFF"/>
        </w:rPr>
        <w:t>reference</w:t>
      </w:r>
      <w:r>
        <w:rPr>
          <w:shd w:val="clear" w:color="auto" w:fill="FFFFFF"/>
        </w:rPr>
        <w:t xml:space="preserve"> are </w:t>
      </w:r>
      <w:r w:rsidR="001129AA">
        <w:rPr>
          <w:shd w:val="clear" w:color="auto" w:fill="FFFFFF"/>
        </w:rPr>
        <w:t>listed</w:t>
      </w:r>
      <w:r>
        <w:rPr>
          <w:shd w:val="clear" w:color="auto" w:fill="FFFFFF"/>
        </w:rPr>
        <w:t xml:space="preserve"> in Table </w:t>
      </w:r>
      <w:r w:rsidR="001129AA">
        <w:rPr>
          <w:shd w:val="clear" w:color="auto" w:fill="FFFFFF"/>
        </w:rPr>
        <w:t>4</w:t>
      </w:r>
      <w:r>
        <w:rPr>
          <w:shd w:val="clear" w:color="auto" w:fill="FFFFFF"/>
        </w:rPr>
        <w:t>.</w:t>
      </w:r>
      <w:r w:rsidR="00FD30AD">
        <w:rPr>
          <w:shd w:val="clear" w:color="auto" w:fill="FFFFFF"/>
        </w:rPr>
        <w:t xml:space="preserve"> The wasting module focuses on the incidence of wasting (low weight-for-height index), however, not all wasting cases will have the respective MUAC cut-off measure, and most nutritional oedema cases have WHZ</w:t>
      </w:r>
      <w:r w:rsidR="00FD30AD">
        <w:rPr>
          <w:rFonts w:cs="Arial"/>
          <w:shd w:val="clear" w:color="auto" w:fill="FFFFFF"/>
        </w:rPr>
        <w:t>≥</w:t>
      </w:r>
      <w:r w:rsidR="00FD30AD">
        <w:rPr>
          <w:shd w:val="clear" w:color="auto" w:fill="FFFFFF"/>
        </w:rPr>
        <w:t xml:space="preserve">-2 </w:t>
      </w:r>
      <w:r w:rsidR="00FD30AD">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{"citationItems":[{"id":"ITEM-1","itemData":{"DOI":"10.3945/ajcn.115.108282","ISSN":"19383207","PMID":"26377162","abstract":"Background: Acute malnutrition is a major public health issue in low-income countries. It includes both wasting and edematous malnutrition, but the terms wasting and acute malnutrition are often used interchangeably. Little is known about the burden of edematous malnutrition, and few large-scale surveys measure it. Objective: Most acute malnutrition might be captured by the measurement of wasting alone, but this is unknown. This article aims to fill this gap. Design: This article presents a secondary data analysis of 852 nutrition cross-sectional survey data sets of children aged 6-59 mo. The data sets assembled included surveys from East, West, South, and Central Africa; the Caribbean; and Asia. The overlap between edematous malnutrition and wasting was assessed, and the impact of including/excluding edema on acute malnutrition prevalence estimates was evaluated. Results: The prevalence of edematous malnutrition varied from 0% to 32.9%, and children were more likely to have bilateral edema in Central and South Africa (OR: 4; 95% CI: 2.8, 5.6). A large proportion of children with edematous malnutrition were not wasted [62% and 66% based on midupper arm circumference (MUAC) and weight-for-height (WFH), respectively], and most were not severely wasted (83% and 86% based on MUAC and WFH, respectively). When wasting and global acute malnutrition prevalence estimates as well as severe wasting and severe acute malnutrition prevalence estimates overall were compared, the differences between estimates were small (median of 0.0% and mean of 0.3% based on WFH and MUAC for global estimates and slightly higher median of 0.1% and mean of 0.4% based on MUAC and WFH, respectively, for the severe forms), but the picture was different at the regional level. Conclusions: The terms acute malnutrition and wasting should not be used interchangeably. The omission of the measurement of edema can have important repercussions, especially at the nutrition program level.","author":[{"dropping-particle":"","family":"Frison","given":"Severine","non-dropping-particle":"","parse-names":false,"suffix":""},{"dropping-particle":"","family":"Checchi","given":"Francesco","non-dropping-particle":"","parse-names":false,"suffix":""},{"dropping-particle":"","family":"Kerac","given":"Marko","non-dropping-particle":"","parse-names":false,"suffix":""}],"container-title":"American Journal of Clinical Nutrition","id":"ITEM-1","issue":"5","issued":{"date-parts":[["2015","11","1"]]},"page":"1176-1181","publisher":"American Society for Nutrition","title":"Omitting edema measurement: How much acute malnutrition are we missing?","type":"article-journal","volume":"102"},"uris":["http://www.mendeley.com/documents/?uuid=fd57dc6a-2d3f-3b5c-853e-d25c43eecb9d"]}],"mendeley":{"formattedCitation":"&lt;sup&gt;6&lt;/sup&gt;","plainTextFormattedCitation":"6","previouslyFormattedCitation":"&lt;sup&gt;6&lt;/sup&gt;"},"properties":{"noteIndex":0},"schema":"https://github.com/citation-style-language/schema/raw/master/csl-citation.json"}</w:instrText>
      </w:r>
      <w:r w:rsidR="00FD30AD">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6</w:t>
      </w:r>
      <w:r w:rsidR="00FD30AD">
        <w:rPr>
          <w:rFonts w:ascii="Calibri" w:hAnsi="Calibri" w:cs="Calibri"/>
          <w:color w:val="000000"/>
          <w:szCs w:val="21"/>
          <w:lang w:eastAsia="en-GB"/>
        </w:rPr>
        <w:fldChar w:fldCharType="end"/>
      </w:r>
      <w:r w:rsidR="00FD30AD" w:rsidRPr="00FD30AD">
        <w:t>. Particularly in Mal</w:t>
      </w:r>
      <w:r w:rsidR="00FD30AD">
        <w:t>a</w:t>
      </w:r>
      <w:r w:rsidR="00FD30AD" w:rsidRPr="00FD30AD">
        <w:t>wi, more children with acute undernutrition are detected with MUAC than with weight-for-height measure</w:t>
      </w:r>
      <w:r w:rsidR="00FD30AD">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sidR="00FD30AD">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7</w:t>
      </w:r>
      <w:r w:rsidR="00FD30AD">
        <w:rPr>
          <w:rFonts w:ascii="Calibri" w:hAnsi="Calibri" w:cs="Calibri"/>
          <w:color w:val="000000"/>
          <w:szCs w:val="21"/>
          <w:lang w:eastAsia="en-GB"/>
        </w:rPr>
        <w:fldChar w:fldCharType="end"/>
      </w:r>
      <w:r w:rsidR="00FD30AD" w:rsidRPr="00FD30AD">
        <w:t>. Therefore</w:t>
      </w:r>
      <w:r w:rsidR="00FD30AD">
        <w:t xml:space="preserve">, detecting these cases that fulfil the clinical definition of acute malnutrition is also important. </w:t>
      </w:r>
    </w:p>
    <w:p w14:paraId="5B6ED90B" w14:textId="37EE9003" w:rsidR="000E4EEA" w:rsidRPr="005D2F5C" w:rsidRDefault="000E4EEA" w:rsidP="005D2F5C">
      <w:r>
        <w:t>Death is applied to SAM cases, not wasting (weight-for-height)</w:t>
      </w:r>
      <w:r w:rsidRPr="00E5171F">
        <w:t xml:space="preserve"> </w:t>
      </w:r>
      <w:r>
        <w:t xml:space="preserve">alone. </w:t>
      </w:r>
      <w:r w:rsidRPr="00E5171F">
        <w:t>The risk factors for death due include young age,</w:t>
      </w:r>
      <w:r w:rsidR="00FD30AD" w:rsidRPr="00FD30AD">
        <w:t xml:space="preserve"> </w:t>
      </w:r>
      <w:r w:rsidR="00FD30AD">
        <w:t>HIV status,</w:t>
      </w:r>
      <w:r w:rsidRPr="00E5171F">
        <w:t xml:space="preserve"> clinica</w:t>
      </w:r>
      <w:r>
        <w:t xml:space="preserve">l kwashiorkor (oedema only), marasmic kwashiorkor (wasting and oedema), </w:t>
      </w:r>
      <w:r w:rsidR="00FD30AD">
        <w:t>and complications</w:t>
      </w:r>
      <w:r>
        <w:t xml:space="preserve">. SAM serves as the major risk factor for death from infectious diseases including diarrhoea and pneumonia. </w:t>
      </w:r>
    </w:p>
    <w:p w14:paraId="4EC4A60F" w14:textId="77777777" w:rsidR="000E4EEA" w:rsidRDefault="000E4EEA" w:rsidP="003922B6">
      <w:pPr>
        <w:ind w:firstLine="0"/>
        <w:rPr>
          <w:shd w:val="clear" w:color="auto" w:fill="FFFFFF"/>
        </w:rPr>
      </w:pPr>
    </w:p>
    <w:p w14:paraId="2969C73B" w14:textId="45F5E92E" w:rsidR="003922B6" w:rsidRDefault="003922B6" w:rsidP="003922B6">
      <w:pPr>
        <w:pStyle w:val="Caption"/>
        <w:keepNext/>
      </w:pPr>
      <w:r>
        <w:t xml:space="preserve">Figure </w:t>
      </w:r>
      <w:fldSimple w:instr=" SEQ Figure \* ARABIC ">
        <w:r w:rsidR="00CD679E">
          <w:rPr>
            <w:noProof/>
          </w:rPr>
          <w:t>3</w:t>
        </w:r>
      </w:fldSimple>
      <w:r>
        <w:t xml:space="preserve"> - </w:t>
      </w:r>
      <w:r w:rsidRPr="00780E73">
        <w:t>Death from SAM</w:t>
      </w:r>
    </w:p>
    <w:p w14:paraId="79A6F428" w14:textId="2277A403" w:rsidR="003922B6" w:rsidRDefault="00D11AE3" w:rsidP="00D11AE3">
      <w:pPr>
        <w:keepNext/>
        <w:ind w:firstLine="0"/>
      </w:pPr>
      <w:r>
        <w:rPr>
          <w:noProof/>
        </w:rPr>
        <w:drawing>
          <wp:inline distT="0" distB="0" distL="0" distR="0" wp14:anchorId="0C66E204" wp14:editId="78D55037">
            <wp:extent cx="6465175" cy="182852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a:extLst>
                        <a:ext uri="{28A0092B-C50C-407E-A947-70E740481C1C}">
                          <a14:useLocalDpi xmlns:a14="http://schemas.microsoft.com/office/drawing/2010/main" val="0"/>
                        </a:ext>
                      </a:extLst>
                    </a:blip>
                    <a:srcRect t="6857" b="14297"/>
                    <a:stretch/>
                  </pic:blipFill>
                  <pic:spPr bwMode="auto">
                    <a:xfrm>
                      <a:off x="0" y="0"/>
                      <a:ext cx="6473502" cy="1830878"/>
                    </a:xfrm>
                    <a:prstGeom prst="rect">
                      <a:avLst/>
                    </a:prstGeom>
                    <a:noFill/>
                    <a:ln>
                      <a:noFill/>
                    </a:ln>
                    <a:extLst>
                      <a:ext uri="{53640926-AAD7-44D8-BBD7-CCE9431645EC}">
                        <a14:shadowObscured xmlns:a14="http://schemas.microsoft.com/office/drawing/2010/main"/>
                      </a:ext>
                    </a:extLst>
                  </pic:spPr>
                </pic:pic>
              </a:graphicData>
            </a:graphic>
          </wp:inline>
        </w:drawing>
      </w:r>
    </w:p>
    <w:p w14:paraId="22E4A5C2" w14:textId="77777777" w:rsidR="00FD30AD" w:rsidRDefault="00FD30AD">
      <w:pPr>
        <w:spacing w:after="160" w:line="259" w:lineRule="auto"/>
        <w:ind w:firstLine="0"/>
        <w:jc w:val="left"/>
        <w:rPr>
          <w:rFonts w:eastAsiaTheme="majorEastAsia" w:cstheme="majorBidi"/>
          <w:b/>
          <w:color w:val="1F3864" w:themeColor="accent5" w:themeShade="80"/>
          <w:sz w:val="24"/>
          <w:szCs w:val="26"/>
        </w:rPr>
      </w:pPr>
      <w:r>
        <w:br w:type="page"/>
      </w:r>
    </w:p>
    <w:p w14:paraId="419A1033" w14:textId="2A73432C" w:rsidR="00FA747C" w:rsidRDefault="00FA747C" w:rsidP="00FA747C">
      <w:pPr>
        <w:pStyle w:val="Heading2"/>
      </w:pPr>
      <w:bookmarkStart w:id="26" w:name="_Toc74050883"/>
      <w:r>
        <w:lastRenderedPageBreak/>
        <w:t>Health System Interactions</w:t>
      </w:r>
      <w:bookmarkEnd w:id="26"/>
    </w:p>
    <w:p w14:paraId="1FDB02CA" w14:textId="3E1E8BEF" w:rsidR="00FA747C" w:rsidRDefault="00FA747C" w:rsidP="004721E1">
      <w:r>
        <w:t>Malawi Ministry of Health has implemented the community-based management of acute malnutrition (CMAM)</w:t>
      </w:r>
      <w:r w:rsidR="00F45C18">
        <w:fldChar w:fldCharType="begin" w:fldLock="1"/>
      </w:r>
      <w:r w:rsidR="00437F19">
        <w:instrText>ADDIN CSL_CITATION {"citationItems":[{"id":"ITEM-1","itemData":{"author":[{"dropping-particle":"","family":"Ministry of Health (MOH)","given":"","non-dropping-particle":"","parse-names":false,"suffix":""}],"id":"ITEM-1","issued":{"date-parts":[["2016"]]},"publisher-place":"Lilongwe, Malawi","title":"Malawi Guidelines for Community-Based Management of Acute Malnutrition, 2nd Edition","type":"report"},"uris":["http://www.mendeley.com/documents/?uuid=0bbfaa4d-30b3-3118-a9e2-90e8a74d41b5"]}],"mendeley":{"formattedCitation":"&lt;sup&gt;8&lt;/sup&gt;","plainTextFormattedCitation":"8","previouslyFormattedCitation":"&lt;sup&gt;8&lt;/sup&gt;"},"properties":{"noteIndex":0},"schema":"https://github.com/citation-style-language/schema/raw/master/csl-citation.json"}</w:instrText>
      </w:r>
      <w:r w:rsidR="00F45C18">
        <w:fldChar w:fldCharType="separate"/>
      </w:r>
      <w:r w:rsidR="00437F19" w:rsidRPr="00437F19">
        <w:rPr>
          <w:noProof/>
          <w:vertAlign w:val="superscript"/>
        </w:rPr>
        <w:t>8</w:t>
      </w:r>
      <w:r w:rsidR="00F45C18">
        <w:fldChar w:fldCharType="end"/>
      </w:r>
      <w:r>
        <w:t xml:space="preserve"> approach</w:t>
      </w:r>
      <w:r w:rsidR="00BE4E99">
        <w:t xml:space="preserve"> since 2012</w:t>
      </w:r>
      <w:r>
        <w:t xml:space="preserve">, as part of the EHP. These guidelines guide the delivery of four components of CMAM: </w:t>
      </w:r>
    </w:p>
    <w:p w14:paraId="0F45CF85" w14:textId="77777777" w:rsidR="00FA747C" w:rsidRDefault="00FA747C" w:rsidP="00FA747C">
      <w:pPr>
        <w:pStyle w:val="ListParagraph"/>
        <w:numPr>
          <w:ilvl w:val="0"/>
          <w:numId w:val="18"/>
        </w:numPr>
      </w:pPr>
      <w:r>
        <w:t xml:space="preserve">community outreach, </w:t>
      </w:r>
    </w:p>
    <w:p w14:paraId="4A1A988D" w14:textId="77777777" w:rsidR="00FA747C" w:rsidRDefault="00FA747C" w:rsidP="00FA747C">
      <w:pPr>
        <w:pStyle w:val="ListParagraph"/>
        <w:numPr>
          <w:ilvl w:val="0"/>
          <w:numId w:val="18"/>
        </w:numPr>
      </w:pPr>
      <w:r>
        <w:t>s</w:t>
      </w:r>
      <w:r w:rsidR="004721E1">
        <w:t xml:space="preserve">upplementary feeding </w:t>
      </w:r>
      <w:r>
        <w:t xml:space="preserve">for MAM, </w:t>
      </w:r>
    </w:p>
    <w:p w14:paraId="2DF3BAC3" w14:textId="35266B79" w:rsidR="00FA747C" w:rsidRDefault="00FA747C" w:rsidP="00FA747C">
      <w:pPr>
        <w:pStyle w:val="ListParagraph"/>
        <w:numPr>
          <w:ilvl w:val="0"/>
          <w:numId w:val="18"/>
        </w:numPr>
      </w:pPr>
      <w:r>
        <w:t>o</w:t>
      </w:r>
      <w:r w:rsidR="004721E1">
        <w:t xml:space="preserve">utpatient </w:t>
      </w:r>
      <w:r>
        <w:t xml:space="preserve">care for SAM without medical complications, </w:t>
      </w:r>
      <w:r w:rsidR="00F45C18">
        <w:t>and</w:t>
      </w:r>
    </w:p>
    <w:p w14:paraId="1F8C4EB9" w14:textId="08651640" w:rsidR="004721E1" w:rsidRDefault="00FA747C" w:rsidP="00FA747C">
      <w:pPr>
        <w:pStyle w:val="ListParagraph"/>
        <w:numPr>
          <w:ilvl w:val="0"/>
          <w:numId w:val="18"/>
        </w:numPr>
      </w:pPr>
      <w:r>
        <w:t>inpatient care for SAM with medical complications.</w:t>
      </w:r>
    </w:p>
    <w:p w14:paraId="7138BF97" w14:textId="3726DAEC" w:rsidR="00F45C18" w:rsidRDefault="00F45C18" w:rsidP="00F45C18"/>
    <w:p w14:paraId="68A95C02" w14:textId="1009B0AC" w:rsidR="00F45C18" w:rsidRDefault="00F45C18" w:rsidP="00F45C18">
      <w:pPr>
        <w:pStyle w:val="Heading3"/>
      </w:pPr>
      <w:r>
        <w:t>Community outreach</w:t>
      </w:r>
    </w:p>
    <w:p w14:paraId="38E3BCA6" w14:textId="77777777" w:rsidR="00320AE6" w:rsidRDefault="00F45C18" w:rsidP="00320AE6">
      <w:r>
        <w:t>The community outreach component focuses on the community sensitisation, mobilisation, active case finding, referral, follow-up, and counselling</w:t>
      </w:r>
    </w:p>
    <w:p w14:paraId="13C90AB8" w14:textId="77777777" w:rsidR="00320AE6" w:rsidRPr="00F45C18" w:rsidRDefault="00320AE6" w:rsidP="00320AE6">
      <w:r>
        <w:t>The community outreach component is not yet in the code.</w:t>
      </w:r>
    </w:p>
    <w:p w14:paraId="493140BC" w14:textId="22ACE33A" w:rsidR="00F45C18" w:rsidRDefault="00F45C18" w:rsidP="00F45C18"/>
    <w:p w14:paraId="62FE50A1" w14:textId="263C9139" w:rsidR="00F45C18" w:rsidRDefault="00F45C18" w:rsidP="00F45C18">
      <w:pPr>
        <w:pStyle w:val="Heading3"/>
      </w:pPr>
      <w:r>
        <w:t>Supplementary feeding for MAM</w:t>
      </w:r>
    </w:p>
    <w:p w14:paraId="59BAC7E2" w14:textId="6D92FF91" w:rsidR="00D75BDA" w:rsidRDefault="00F45C18" w:rsidP="00D75BDA">
      <w:r>
        <w:t xml:space="preserve">Supplementary feeding programmes (SFP) provide support to children (0–15 years) and pregnant and lactating women (up to 6 months postpartum), </w:t>
      </w:r>
      <w:commentRangeStart w:id="27"/>
      <w:r>
        <w:t>including</w:t>
      </w:r>
      <w:commentRangeEnd w:id="27"/>
      <w:r w:rsidR="00320AE6">
        <w:rPr>
          <w:rStyle w:val="CommentReference"/>
        </w:rPr>
        <w:commentReference w:id="27"/>
      </w:r>
      <w:r>
        <w:t xml:space="preserve">: </w:t>
      </w:r>
    </w:p>
    <w:p w14:paraId="6BDC2C17" w14:textId="0D3F5DC8" w:rsidR="00D75BDA" w:rsidRDefault="00F45C18" w:rsidP="009D26F9">
      <w:pPr>
        <w:pStyle w:val="ListParagraph"/>
        <w:numPr>
          <w:ilvl w:val="0"/>
          <w:numId w:val="24"/>
        </w:numPr>
      </w:pPr>
      <w:r>
        <w:t xml:space="preserve">Children with MAM, good appetite, and no medical complications </w:t>
      </w:r>
    </w:p>
    <w:p w14:paraId="6E293ABC" w14:textId="60EE8DD9" w:rsidR="00D75BDA" w:rsidRDefault="00F45C18" w:rsidP="009D26F9">
      <w:pPr>
        <w:pStyle w:val="ListParagraph"/>
        <w:numPr>
          <w:ilvl w:val="0"/>
          <w:numId w:val="24"/>
        </w:numPr>
      </w:pPr>
      <w:r>
        <w:t>Children discharged from inpatient care</w:t>
      </w:r>
      <w:r w:rsidR="00320AE6">
        <w:t xml:space="preserve"> and outpatient care</w:t>
      </w:r>
      <w:r>
        <w:t xml:space="preserve"> after recovery from SAM </w:t>
      </w:r>
    </w:p>
    <w:p w14:paraId="43BB37A9" w14:textId="29F717C1" w:rsidR="00320AE6" w:rsidRDefault="00320AE6" w:rsidP="00F45C18">
      <w:r>
        <w:t xml:space="preserve">There children are referred to SFP for continuum of care. The </w:t>
      </w:r>
      <w:r w:rsidR="00101B26">
        <w:t>nutritional treatment is based on Super Cereal Plus (Corn Soy Blend ++ (CSB++))</w:t>
      </w:r>
    </w:p>
    <w:p w14:paraId="6CE8308A" w14:textId="229B1A37" w:rsidR="00F45C18" w:rsidRDefault="00F45C18" w:rsidP="00101B26">
      <w:pPr>
        <w:ind w:firstLine="0"/>
      </w:pPr>
    </w:p>
    <w:p w14:paraId="33498207" w14:textId="69811171" w:rsidR="00F45C18" w:rsidRDefault="00F45C18" w:rsidP="00F45C18">
      <w:pPr>
        <w:pStyle w:val="Heading3"/>
      </w:pPr>
      <w:r>
        <w:t>Outpatient Therapeutic Programme (OTP)</w:t>
      </w:r>
    </w:p>
    <w:p w14:paraId="2BCE89FB" w14:textId="139D60B5" w:rsidR="00C82482" w:rsidRDefault="00F45C18" w:rsidP="00C12542">
      <w:r>
        <w:t xml:space="preserve">OTP provides home-based treatment and rehabilitation for children with SAM who have an appetite and no medical complications. </w:t>
      </w:r>
      <w:r w:rsidR="00101B26">
        <w:t>Medical treatment in OTP</w:t>
      </w:r>
      <w:r w:rsidR="009D26F9">
        <w:t>, include, a</w:t>
      </w:r>
      <w:r w:rsidR="00101B26">
        <w:t xml:space="preserve">ntibiotic </w:t>
      </w:r>
      <w:r w:rsidR="009D26F9">
        <w:t>t</w:t>
      </w:r>
      <w:r w:rsidR="00101B26">
        <w:t xml:space="preserve">reatment with </w:t>
      </w:r>
      <w:r w:rsidR="009D26F9">
        <w:t>a</w:t>
      </w:r>
      <w:r w:rsidR="00101B26">
        <w:t>moxicillin</w:t>
      </w:r>
      <w:r w:rsidR="009D26F9">
        <w:t>, t</w:t>
      </w:r>
      <w:r w:rsidR="00101B26">
        <w:t>est all children for malaria using a rapid diagnostic test (</w:t>
      </w:r>
      <w:proofErr w:type="spellStart"/>
      <w:r w:rsidR="00101B26">
        <w:t>mRDT</w:t>
      </w:r>
      <w:proofErr w:type="spellEnd"/>
      <w:r w:rsidR="00101B26">
        <w:t>), and treat accordingly</w:t>
      </w:r>
      <w:r w:rsidR="009D26F9">
        <w:t>, d</w:t>
      </w:r>
      <w:r w:rsidR="00101B26">
        <w:t xml:space="preserve">eworming treatment with </w:t>
      </w:r>
      <w:r w:rsidR="009D26F9">
        <w:t>a</w:t>
      </w:r>
      <w:r w:rsidR="00101B26">
        <w:t xml:space="preserve">lbendazole or </w:t>
      </w:r>
      <w:r w:rsidR="009D26F9">
        <w:t>m</w:t>
      </w:r>
      <w:r w:rsidR="00101B26">
        <w:t>ebendazole</w:t>
      </w:r>
      <w:r w:rsidR="009D26F9">
        <w:t>, m</w:t>
      </w:r>
      <w:r w:rsidR="00C82482">
        <w:t>easles vaccination</w:t>
      </w:r>
      <w:r w:rsidR="009D26F9">
        <w:t>, v</w:t>
      </w:r>
      <w:r w:rsidR="00C82482">
        <w:t>itamin A</w:t>
      </w:r>
      <w:r w:rsidR="009D26F9">
        <w:t>, i</w:t>
      </w:r>
      <w:r w:rsidR="00C82482">
        <w:t>ron and folic acid</w:t>
      </w:r>
      <w:r w:rsidR="009D26F9">
        <w:t>, z</w:t>
      </w:r>
      <w:r w:rsidR="00C82482">
        <w:t>inc</w:t>
      </w:r>
      <w:r w:rsidR="009D26F9">
        <w:t>, O</w:t>
      </w:r>
      <w:r w:rsidR="00C82482">
        <w:t>RS</w:t>
      </w:r>
      <w:r w:rsidR="009D26F9">
        <w:t xml:space="preserve">. </w:t>
      </w:r>
      <w:r w:rsidR="00101B26">
        <w:t xml:space="preserve">Nutritional treatment in the OTP with </w:t>
      </w:r>
      <w:r w:rsidR="00C82482">
        <w:t>Ready to use therapeutic foods (RUTF)</w:t>
      </w:r>
      <w:r w:rsidR="00101B26">
        <w:t>.</w:t>
      </w:r>
    </w:p>
    <w:p w14:paraId="20E8F0BB" w14:textId="77777777" w:rsidR="00101B26" w:rsidRDefault="00C82482" w:rsidP="00C82482">
      <w:r>
        <w:t xml:space="preserve">Children with severe acute malnutrition should be discharged from the nutritional treatment programme only when their: </w:t>
      </w:r>
    </w:p>
    <w:p w14:paraId="651BCB2F" w14:textId="0F399B29" w:rsidR="00101B26" w:rsidRDefault="00C82482" w:rsidP="009D26F9">
      <w:pPr>
        <w:pStyle w:val="ListParagraph"/>
        <w:numPr>
          <w:ilvl w:val="0"/>
          <w:numId w:val="22"/>
        </w:numPr>
      </w:pPr>
      <w:r>
        <w:t xml:space="preserve">weight-for-height/length is at least ≥ -2 z score and they have had no oedema for at least 2 weeks, or </w:t>
      </w:r>
    </w:p>
    <w:p w14:paraId="2D901DE7" w14:textId="60A432C3" w:rsidR="00C82482" w:rsidRPr="006E4069" w:rsidRDefault="00C82482" w:rsidP="009D26F9">
      <w:pPr>
        <w:pStyle w:val="ListParagraph"/>
        <w:numPr>
          <w:ilvl w:val="0"/>
          <w:numId w:val="22"/>
        </w:numPr>
      </w:pPr>
      <w:r>
        <w:t>mid-upper-arm circumference is ≥ 125 mm and they have had no oedema for at least 2 weeks.</w:t>
      </w:r>
    </w:p>
    <w:p w14:paraId="720ABF97" w14:textId="77777777" w:rsidR="00F45C18" w:rsidRDefault="00F45C18" w:rsidP="00F45C18"/>
    <w:p w14:paraId="3BAC6FB1" w14:textId="14C9FF99" w:rsidR="00F45C18" w:rsidRPr="00F45C18" w:rsidRDefault="00F45C18" w:rsidP="00F45C18">
      <w:pPr>
        <w:pStyle w:val="Heading3"/>
      </w:pPr>
      <w:r>
        <w:t>Nutrition Rehabilitation Unit (NRU)</w:t>
      </w:r>
    </w:p>
    <w:p w14:paraId="46348FE5" w14:textId="4EBA46BA" w:rsidR="00F45C18" w:rsidRDefault="00F45C18" w:rsidP="00F73538">
      <w:r>
        <w:t>Intensive inpatient therapeutic care should be provided in a specialised unit in the health facility (NRU) or in the children’s ward at a health facility with 24-hour care at the secondary or tertiary level. Inpatient care targets</w:t>
      </w:r>
      <w:r w:rsidR="00C12542">
        <w:t xml:space="preserve"> c</w:t>
      </w:r>
      <w:r>
        <w:t>hildren 6 months–15 years with SAM who have medical complications or have no appetite (10– 20 percent of all SAM children)</w:t>
      </w:r>
      <w:r w:rsidR="00C12542">
        <w:t>, and c</w:t>
      </w:r>
      <w:r>
        <w:t>hildren &lt; 6 months who have SAM or have feeding difficulties and are not gaining weight or are losing weight</w:t>
      </w:r>
      <w:r w:rsidR="00F73538">
        <w:t xml:space="preserve">. </w:t>
      </w:r>
    </w:p>
    <w:p w14:paraId="0EFC9358" w14:textId="77777777" w:rsidR="009D26F9" w:rsidRDefault="00C82482" w:rsidP="00F45C18">
      <w:r>
        <w:t xml:space="preserve">Treatment for SAM in an inpatient setting involves following the 10 steps outlined by the WHO in two phases: </w:t>
      </w:r>
    </w:p>
    <w:p w14:paraId="3FF007D2" w14:textId="7F9461D3" w:rsidR="00D0242F" w:rsidRDefault="00C82482" w:rsidP="00F45C18">
      <w:r>
        <w:sym w:font="Symbol" w:char="F0B7"/>
      </w:r>
      <w:r>
        <w:t xml:space="preserve"> Stabilisation phase (Phase 1). F-75</w:t>
      </w:r>
      <w:r w:rsidR="00D0242F">
        <w:t xml:space="preserve"> therapeutic milk</w:t>
      </w:r>
      <w:r>
        <w:t xml:space="preserve"> is used to promote repair of physiological and metabolic functions and electrolyte balance</w:t>
      </w:r>
      <w:r w:rsidR="00D0242F">
        <w:t>.</w:t>
      </w:r>
    </w:p>
    <w:p w14:paraId="31897FFF" w14:textId="7C92E98C" w:rsidR="00D0242F" w:rsidRDefault="00C82482" w:rsidP="00F45C18">
      <w:r>
        <w:sym w:font="Symbol" w:char="F0B7"/>
      </w:r>
      <w:r>
        <w:t xml:space="preserve"> Transition phase in which the diet is changed to RUTF (or F-100) to increase the energy intake by about 30 percent, such that the child starts to gain weight. </w:t>
      </w:r>
    </w:p>
    <w:p w14:paraId="373720A3" w14:textId="5B3822D6" w:rsidR="003D615D" w:rsidRDefault="00C82482" w:rsidP="00C12542">
      <w:r>
        <w:sym w:font="Symbol" w:char="F0B7"/>
      </w:r>
      <w:r>
        <w:t xml:space="preserve"> Rehabilitation Phase (Phase 2), in which the child is transferred to OTP to complete recovery</w:t>
      </w:r>
      <w:r w:rsidR="00D0242F">
        <w:t xml:space="preserve"> where RUTF is given for nutritional treatment.</w:t>
      </w:r>
      <w:r w:rsidR="003D615D">
        <w:br w:type="page"/>
      </w:r>
    </w:p>
    <w:p w14:paraId="298ED64E" w14:textId="42F25803" w:rsidR="002C0F9A" w:rsidRDefault="00005E4B" w:rsidP="00005E4B">
      <w:pPr>
        <w:pStyle w:val="Heading2"/>
      </w:pPr>
      <w:bookmarkStart w:id="28" w:name="_Toc74050884"/>
      <w:r>
        <w:lastRenderedPageBreak/>
        <w:t>Parameters of the wasting module</w:t>
      </w:r>
      <w:bookmarkEnd w:id="28"/>
    </w:p>
    <w:p w14:paraId="6627412E" w14:textId="20D69880" w:rsidR="00005E4B" w:rsidRPr="00005E4B" w:rsidRDefault="00005E4B" w:rsidP="00005E4B">
      <w:r>
        <w:t xml:space="preserve">Table 4 list all the parameters used in modelling wasting and acute malnutrition. </w:t>
      </w:r>
    </w:p>
    <w:p w14:paraId="3AE411A2" w14:textId="1BF10433" w:rsidR="00A74826" w:rsidRDefault="00A74826" w:rsidP="00A74826">
      <w:pPr>
        <w:pStyle w:val="Caption"/>
        <w:keepNext/>
      </w:pPr>
      <w:r>
        <w:t xml:space="preserve">Table </w:t>
      </w:r>
      <w:fldSimple w:instr=" SEQ Table \* ARABIC ">
        <w:r w:rsidR="00EC5D76">
          <w:rPr>
            <w:noProof/>
          </w:rPr>
          <w:t>4</w:t>
        </w:r>
      </w:fldSimple>
      <w:r>
        <w:t xml:space="preserve"> - Parameters </w:t>
      </w:r>
      <w:r w:rsidR="00C226F8">
        <w:t>of the wasting module and respective values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
        <w:gridCol w:w="2415"/>
        <w:gridCol w:w="1422"/>
        <w:gridCol w:w="991"/>
        <w:gridCol w:w="3540"/>
        <w:gridCol w:w="1673"/>
      </w:tblGrid>
      <w:tr w:rsidR="003229FE" w:rsidRPr="00BD679D" w14:paraId="67889185" w14:textId="5C653E88" w:rsidTr="006820D5">
        <w:trPr>
          <w:trHeight w:val="320"/>
        </w:trPr>
        <w:tc>
          <w:tcPr>
            <w:tcW w:w="198" w:type="pct"/>
            <w:shd w:val="clear" w:color="auto" w:fill="auto"/>
            <w:noWrap/>
            <w:vAlign w:val="bottom"/>
            <w:hideMark/>
          </w:tcPr>
          <w:p w14:paraId="399E6AC7" w14:textId="77777777" w:rsidR="003229FE" w:rsidRPr="00C226F8" w:rsidRDefault="003229FE" w:rsidP="00C226F8">
            <w:pPr>
              <w:pStyle w:val="NoSpacing"/>
              <w:jc w:val="center"/>
              <w:rPr>
                <w:b/>
                <w:bCs/>
              </w:rPr>
            </w:pPr>
          </w:p>
        </w:tc>
        <w:tc>
          <w:tcPr>
            <w:tcW w:w="1155" w:type="pct"/>
            <w:shd w:val="clear" w:color="000000" w:fill="C6E0B4"/>
            <w:noWrap/>
            <w:vAlign w:val="bottom"/>
            <w:hideMark/>
          </w:tcPr>
          <w:p w14:paraId="0D73225F" w14:textId="77777777" w:rsidR="003229FE" w:rsidRPr="00B035C5" w:rsidRDefault="003229FE" w:rsidP="00B035C5">
            <w:pPr>
              <w:pStyle w:val="NoSpacing"/>
              <w:rPr>
                <w:b/>
                <w:bCs/>
              </w:rPr>
            </w:pPr>
            <w:r w:rsidRPr="00B035C5">
              <w:rPr>
                <w:b/>
                <w:bCs/>
              </w:rPr>
              <w:t>Parameter</w:t>
            </w:r>
          </w:p>
        </w:tc>
        <w:tc>
          <w:tcPr>
            <w:tcW w:w="680" w:type="pct"/>
            <w:shd w:val="clear" w:color="000000" w:fill="C6E0B4"/>
            <w:noWrap/>
            <w:vAlign w:val="bottom"/>
            <w:hideMark/>
          </w:tcPr>
          <w:p w14:paraId="14FA5455" w14:textId="77777777" w:rsidR="003229FE" w:rsidRPr="00B035C5" w:rsidRDefault="003229FE" w:rsidP="00B035C5">
            <w:pPr>
              <w:pStyle w:val="NoSpacing"/>
              <w:rPr>
                <w:b/>
                <w:bCs/>
              </w:rPr>
            </w:pPr>
            <w:r w:rsidRPr="00B035C5">
              <w:rPr>
                <w:b/>
                <w:bCs/>
              </w:rPr>
              <w:t>Value</w:t>
            </w:r>
          </w:p>
        </w:tc>
        <w:tc>
          <w:tcPr>
            <w:tcW w:w="474" w:type="pct"/>
            <w:shd w:val="clear" w:color="000000" w:fill="C6E0B4"/>
            <w:noWrap/>
            <w:vAlign w:val="bottom"/>
            <w:hideMark/>
          </w:tcPr>
          <w:p w14:paraId="6281EEBC" w14:textId="77777777" w:rsidR="003229FE" w:rsidRPr="00B035C5" w:rsidRDefault="003229FE" w:rsidP="00B035C5">
            <w:pPr>
              <w:pStyle w:val="NoSpacing"/>
              <w:rPr>
                <w:b/>
                <w:bCs/>
              </w:rPr>
            </w:pPr>
            <w:r w:rsidRPr="00B035C5">
              <w:rPr>
                <w:b/>
                <w:bCs/>
              </w:rPr>
              <w:t>Source</w:t>
            </w:r>
          </w:p>
        </w:tc>
        <w:tc>
          <w:tcPr>
            <w:tcW w:w="1693" w:type="pct"/>
            <w:shd w:val="clear" w:color="000000" w:fill="C6E0B4"/>
            <w:noWrap/>
            <w:vAlign w:val="bottom"/>
            <w:hideMark/>
          </w:tcPr>
          <w:p w14:paraId="2DB0826E" w14:textId="77777777" w:rsidR="003229FE" w:rsidRPr="00B035C5" w:rsidRDefault="003229FE" w:rsidP="00B035C5">
            <w:pPr>
              <w:pStyle w:val="NoSpacing"/>
              <w:rPr>
                <w:b/>
                <w:bCs/>
              </w:rPr>
            </w:pPr>
            <w:r w:rsidRPr="00B035C5">
              <w:rPr>
                <w:b/>
                <w:bCs/>
              </w:rPr>
              <w:t>Description</w:t>
            </w:r>
          </w:p>
        </w:tc>
        <w:tc>
          <w:tcPr>
            <w:tcW w:w="800" w:type="pct"/>
            <w:shd w:val="clear" w:color="000000" w:fill="C6E0B4"/>
          </w:tcPr>
          <w:p w14:paraId="331CBDA6" w14:textId="5FA735EB" w:rsidR="003229FE" w:rsidRPr="00B035C5" w:rsidRDefault="000126C5" w:rsidP="00B035C5">
            <w:pPr>
              <w:pStyle w:val="NoSpacing"/>
              <w:rPr>
                <w:b/>
                <w:bCs/>
              </w:rPr>
            </w:pPr>
            <w:r>
              <w:rPr>
                <w:b/>
                <w:bCs/>
              </w:rPr>
              <w:t>Notes</w:t>
            </w:r>
          </w:p>
        </w:tc>
      </w:tr>
      <w:tr w:rsidR="000126C5" w:rsidRPr="00BD679D" w14:paraId="5D63A68F" w14:textId="70A465C3" w:rsidTr="006820D5">
        <w:trPr>
          <w:trHeight w:val="310"/>
        </w:trPr>
        <w:tc>
          <w:tcPr>
            <w:tcW w:w="198" w:type="pct"/>
            <w:vMerge w:val="restart"/>
            <w:shd w:val="clear" w:color="auto" w:fill="D0CECE" w:themeFill="background2" w:themeFillShade="E6"/>
            <w:noWrap/>
            <w:textDirection w:val="btLr"/>
            <w:vAlign w:val="bottom"/>
            <w:hideMark/>
          </w:tcPr>
          <w:p w14:paraId="7D439A2B" w14:textId="77777777" w:rsidR="000126C5" w:rsidRPr="00C226F8" w:rsidRDefault="000126C5" w:rsidP="00C226F8">
            <w:pPr>
              <w:pStyle w:val="NoSpacing"/>
              <w:jc w:val="center"/>
              <w:rPr>
                <w:b/>
                <w:bCs/>
              </w:rPr>
            </w:pPr>
            <w:r w:rsidRPr="00C226F8">
              <w:rPr>
                <w:b/>
                <w:bCs/>
              </w:rPr>
              <w:t>Prevalence</w:t>
            </w:r>
          </w:p>
        </w:tc>
        <w:tc>
          <w:tcPr>
            <w:tcW w:w="1155" w:type="pct"/>
            <w:shd w:val="clear" w:color="auto" w:fill="auto"/>
            <w:noWrap/>
            <w:vAlign w:val="center"/>
            <w:hideMark/>
          </w:tcPr>
          <w:p w14:paraId="257E5151" w14:textId="77777777" w:rsidR="000126C5" w:rsidRPr="00B035C5" w:rsidRDefault="000126C5" w:rsidP="00B035C5">
            <w:pPr>
              <w:pStyle w:val="NoSpacing"/>
            </w:pPr>
            <w:r w:rsidRPr="00B035C5">
              <w:t>prev_WHZ_distribution_age_0_5mo</w:t>
            </w:r>
          </w:p>
        </w:tc>
        <w:tc>
          <w:tcPr>
            <w:tcW w:w="680" w:type="pct"/>
            <w:shd w:val="clear" w:color="auto" w:fill="auto"/>
            <w:noWrap/>
            <w:vAlign w:val="center"/>
            <w:hideMark/>
          </w:tcPr>
          <w:p w14:paraId="7A026744" w14:textId="77777777" w:rsidR="000126C5" w:rsidRPr="00B035C5" w:rsidRDefault="000126C5" w:rsidP="00B035C5">
            <w:pPr>
              <w:pStyle w:val="NoSpacing"/>
            </w:pPr>
            <w:r w:rsidRPr="00B035C5">
              <w:t>[0.656, 1.397]</w:t>
            </w:r>
          </w:p>
        </w:tc>
        <w:tc>
          <w:tcPr>
            <w:tcW w:w="474" w:type="pct"/>
            <w:shd w:val="clear" w:color="auto" w:fill="auto"/>
            <w:noWrap/>
            <w:vAlign w:val="center"/>
            <w:hideMark/>
          </w:tcPr>
          <w:p w14:paraId="4940898C" w14:textId="77777777" w:rsidR="000126C5" w:rsidRPr="00B035C5" w:rsidRDefault="000126C5" w:rsidP="00A74826">
            <w:pPr>
              <w:pStyle w:val="NoSpacing"/>
              <w:rPr>
                <w:rFonts w:ascii="Calibri" w:hAnsi="Calibri" w:cs="Calibri"/>
                <w:sz w:val="18"/>
                <w:szCs w:val="18"/>
                <w:lang w:eastAsia="en-GB"/>
              </w:rPr>
            </w:pPr>
            <w:r w:rsidRPr="00B035C5">
              <w:rPr>
                <w:rFonts w:ascii="Calibri" w:hAnsi="Calibri" w:cs="Calibri"/>
                <w:sz w:val="18"/>
                <w:szCs w:val="18"/>
                <w:lang w:eastAsia="en-GB"/>
              </w:rPr>
              <w:t>DHS 2015-16</w:t>
            </w:r>
          </w:p>
        </w:tc>
        <w:tc>
          <w:tcPr>
            <w:tcW w:w="1693" w:type="pct"/>
            <w:shd w:val="clear" w:color="auto" w:fill="auto"/>
            <w:noWrap/>
            <w:vAlign w:val="bottom"/>
            <w:hideMark/>
          </w:tcPr>
          <w:p w14:paraId="4BE9A4CA" w14:textId="77777777" w:rsidR="000126C5" w:rsidRPr="00B035C5" w:rsidRDefault="000126C5" w:rsidP="00B035C5">
            <w:pPr>
              <w:pStyle w:val="NoSpacing"/>
            </w:pPr>
            <w:commentRangeStart w:id="29"/>
            <w:r w:rsidRPr="00B035C5">
              <w:t>mean and standard deviation of weight-for-height z-scores distribution</w:t>
            </w:r>
            <w:commentRangeEnd w:id="29"/>
            <w:r>
              <w:rPr>
                <w:rStyle w:val="CommentReference"/>
              </w:rPr>
              <w:commentReference w:id="29"/>
            </w:r>
            <w:r w:rsidRPr="00B035C5">
              <w:t xml:space="preserve"> for &lt;6 months old</w:t>
            </w:r>
          </w:p>
        </w:tc>
        <w:tc>
          <w:tcPr>
            <w:tcW w:w="800" w:type="pct"/>
            <w:vMerge w:val="restart"/>
          </w:tcPr>
          <w:p w14:paraId="6DE0EF96" w14:textId="6B17EB08" w:rsidR="000126C5" w:rsidRPr="006820D5" w:rsidRDefault="000126C5" w:rsidP="00B035C5">
            <w:pPr>
              <w:pStyle w:val="NoSpacing"/>
              <w:rPr>
                <w:sz w:val="18"/>
                <w:szCs w:val="18"/>
              </w:rPr>
            </w:pPr>
            <w:r w:rsidRPr="006820D5">
              <w:rPr>
                <w:sz w:val="18"/>
                <w:szCs w:val="18"/>
              </w:rPr>
              <w:t>WHZ distribution from the DHS 2015-16 dataset to model prevalence of wasting</w:t>
            </w:r>
          </w:p>
        </w:tc>
      </w:tr>
      <w:tr w:rsidR="000126C5" w:rsidRPr="00BD679D" w14:paraId="1417FEC9" w14:textId="6954302C" w:rsidTr="006820D5">
        <w:trPr>
          <w:trHeight w:val="310"/>
        </w:trPr>
        <w:tc>
          <w:tcPr>
            <w:tcW w:w="198" w:type="pct"/>
            <w:vMerge/>
            <w:shd w:val="clear" w:color="auto" w:fill="D0CECE" w:themeFill="background2" w:themeFillShade="E6"/>
            <w:vAlign w:val="center"/>
            <w:hideMark/>
          </w:tcPr>
          <w:p w14:paraId="52F9993C" w14:textId="77777777" w:rsidR="000126C5" w:rsidRPr="00C226F8" w:rsidRDefault="000126C5" w:rsidP="00C226F8">
            <w:pPr>
              <w:pStyle w:val="NoSpacing"/>
              <w:jc w:val="center"/>
              <w:rPr>
                <w:b/>
                <w:bCs/>
              </w:rPr>
            </w:pPr>
          </w:p>
        </w:tc>
        <w:tc>
          <w:tcPr>
            <w:tcW w:w="1155" w:type="pct"/>
            <w:shd w:val="clear" w:color="auto" w:fill="auto"/>
            <w:noWrap/>
            <w:vAlign w:val="center"/>
            <w:hideMark/>
          </w:tcPr>
          <w:p w14:paraId="4C78721B" w14:textId="77777777" w:rsidR="000126C5" w:rsidRPr="00B035C5" w:rsidRDefault="000126C5" w:rsidP="00B035C5">
            <w:pPr>
              <w:pStyle w:val="NoSpacing"/>
            </w:pPr>
            <w:r w:rsidRPr="00B035C5">
              <w:t>prev_WHZ_distribution_age_6_11mo</w:t>
            </w:r>
          </w:p>
        </w:tc>
        <w:tc>
          <w:tcPr>
            <w:tcW w:w="680" w:type="pct"/>
            <w:shd w:val="clear" w:color="auto" w:fill="auto"/>
            <w:noWrap/>
            <w:vAlign w:val="center"/>
            <w:hideMark/>
          </w:tcPr>
          <w:p w14:paraId="43BE5172" w14:textId="77777777" w:rsidR="000126C5" w:rsidRPr="00B035C5" w:rsidRDefault="000126C5" w:rsidP="00B035C5">
            <w:pPr>
              <w:pStyle w:val="NoSpacing"/>
            </w:pPr>
            <w:r w:rsidRPr="00B035C5">
              <w:t>[0.055, 1.286]</w:t>
            </w:r>
          </w:p>
        </w:tc>
        <w:tc>
          <w:tcPr>
            <w:tcW w:w="474" w:type="pct"/>
            <w:shd w:val="clear" w:color="auto" w:fill="auto"/>
            <w:noWrap/>
            <w:vAlign w:val="center"/>
            <w:hideMark/>
          </w:tcPr>
          <w:p w14:paraId="774761DF" w14:textId="77777777" w:rsidR="000126C5" w:rsidRPr="00B035C5" w:rsidRDefault="000126C5" w:rsidP="00A74826">
            <w:pPr>
              <w:pStyle w:val="NoSpacing"/>
              <w:rPr>
                <w:rFonts w:ascii="Calibri" w:hAnsi="Calibri" w:cs="Calibri"/>
                <w:sz w:val="18"/>
                <w:szCs w:val="18"/>
                <w:lang w:eastAsia="en-GB"/>
              </w:rPr>
            </w:pPr>
            <w:r w:rsidRPr="00B035C5">
              <w:rPr>
                <w:rFonts w:ascii="Calibri" w:hAnsi="Calibri" w:cs="Calibri"/>
                <w:sz w:val="18"/>
                <w:szCs w:val="18"/>
                <w:lang w:eastAsia="en-GB"/>
              </w:rPr>
              <w:t>DHS 2015-16</w:t>
            </w:r>
          </w:p>
        </w:tc>
        <w:tc>
          <w:tcPr>
            <w:tcW w:w="1693" w:type="pct"/>
            <w:shd w:val="clear" w:color="auto" w:fill="auto"/>
            <w:noWrap/>
            <w:vAlign w:val="bottom"/>
            <w:hideMark/>
          </w:tcPr>
          <w:p w14:paraId="08829197" w14:textId="77777777" w:rsidR="000126C5" w:rsidRPr="00B035C5" w:rsidRDefault="000126C5" w:rsidP="00B035C5">
            <w:pPr>
              <w:pStyle w:val="NoSpacing"/>
            </w:pPr>
            <w:r w:rsidRPr="00B035C5">
              <w:t>mean and standard deviation of weight-for-height z-scores distribution for 6-11 months old</w:t>
            </w:r>
          </w:p>
        </w:tc>
        <w:tc>
          <w:tcPr>
            <w:tcW w:w="800" w:type="pct"/>
            <w:vMerge/>
          </w:tcPr>
          <w:p w14:paraId="5DC8EA5D" w14:textId="77777777" w:rsidR="000126C5" w:rsidRPr="006820D5" w:rsidRDefault="000126C5" w:rsidP="00B035C5">
            <w:pPr>
              <w:pStyle w:val="NoSpacing"/>
              <w:rPr>
                <w:sz w:val="18"/>
                <w:szCs w:val="18"/>
              </w:rPr>
            </w:pPr>
          </w:p>
        </w:tc>
      </w:tr>
      <w:tr w:rsidR="000126C5" w:rsidRPr="00BD679D" w14:paraId="3AF40480" w14:textId="7FD3DE94" w:rsidTr="006820D5">
        <w:trPr>
          <w:trHeight w:val="310"/>
        </w:trPr>
        <w:tc>
          <w:tcPr>
            <w:tcW w:w="198" w:type="pct"/>
            <w:vMerge/>
            <w:shd w:val="clear" w:color="auto" w:fill="D0CECE" w:themeFill="background2" w:themeFillShade="E6"/>
            <w:vAlign w:val="center"/>
            <w:hideMark/>
          </w:tcPr>
          <w:p w14:paraId="77962FF2" w14:textId="77777777" w:rsidR="000126C5" w:rsidRPr="00C226F8" w:rsidRDefault="000126C5" w:rsidP="00C226F8">
            <w:pPr>
              <w:pStyle w:val="NoSpacing"/>
              <w:jc w:val="center"/>
              <w:rPr>
                <w:b/>
                <w:bCs/>
              </w:rPr>
            </w:pPr>
          </w:p>
        </w:tc>
        <w:tc>
          <w:tcPr>
            <w:tcW w:w="1155" w:type="pct"/>
            <w:shd w:val="clear" w:color="auto" w:fill="auto"/>
            <w:noWrap/>
            <w:vAlign w:val="center"/>
            <w:hideMark/>
          </w:tcPr>
          <w:p w14:paraId="57BA4954" w14:textId="77777777" w:rsidR="000126C5" w:rsidRPr="00B035C5" w:rsidRDefault="000126C5" w:rsidP="00B035C5">
            <w:pPr>
              <w:pStyle w:val="NoSpacing"/>
            </w:pPr>
            <w:r w:rsidRPr="00B035C5">
              <w:t>prev_WHZ_distribution_age_12_23mo</w:t>
            </w:r>
          </w:p>
        </w:tc>
        <w:tc>
          <w:tcPr>
            <w:tcW w:w="680" w:type="pct"/>
            <w:shd w:val="clear" w:color="auto" w:fill="auto"/>
            <w:noWrap/>
            <w:vAlign w:val="center"/>
            <w:hideMark/>
          </w:tcPr>
          <w:p w14:paraId="209C0372" w14:textId="77777777" w:rsidR="000126C5" w:rsidRPr="00B035C5" w:rsidRDefault="000126C5" w:rsidP="00B035C5">
            <w:pPr>
              <w:pStyle w:val="NoSpacing"/>
            </w:pPr>
            <w:r w:rsidRPr="00B035C5">
              <w:t>[0.024, 1.090]</w:t>
            </w:r>
          </w:p>
        </w:tc>
        <w:tc>
          <w:tcPr>
            <w:tcW w:w="474" w:type="pct"/>
            <w:shd w:val="clear" w:color="auto" w:fill="auto"/>
            <w:noWrap/>
            <w:vAlign w:val="center"/>
            <w:hideMark/>
          </w:tcPr>
          <w:p w14:paraId="1C3CDD6B" w14:textId="77777777" w:rsidR="000126C5" w:rsidRPr="00B035C5" w:rsidRDefault="000126C5" w:rsidP="00A74826">
            <w:pPr>
              <w:pStyle w:val="NoSpacing"/>
              <w:rPr>
                <w:rFonts w:ascii="Calibri" w:hAnsi="Calibri" w:cs="Calibri"/>
                <w:sz w:val="18"/>
                <w:szCs w:val="18"/>
                <w:lang w:eastAsia="en-GB"/>
              </w:rPr>
            </w:pPr>
            <w:r w:rsidRPr="00B035C5">
              <w:rPr>
                <w:rFonts w:ascii="Calibri" w:hAnsi="Calibri" w:cs="Calibri"/>
                <w:sz w:val="18"/>
                <w:szCs w:val="18"/>
                <w:lang w:eastAsia="en-GB"/>
              </w:rPr>
              <w:t>DHS 2015-16</w:t>
            </w:r>
          </w:p>
        </w:tc>
        <w:tc>
          <w:tcPr>
            <w:tcW w:w="1693" w:type="pct"/>
            <w:shd w:val="clear" w:color="auto" w:fill="auto"/>
            <w:noWrap/>
            <w:vAlign w:val="bottom"/>
            <w:hideMark/>
          </w:tcPr>
          <w:p w14:paraId="660723C4" w14:textId="77777777" w:rsidR="000126C5" w:rsidRPr="00B035C5" w:rsidRDefault="000126C5" w:rsidP="00B035C5">
            <w:pPr>
              <w:pStyle w:val="NoSpacing"/>
            </w:pPr>
            <w:r w:rsidRPr="00B035C5">
              <w:t>mean and standard deviation of weight-for-height z-scores distribution for 1 year old</w:t>
            </w:r>
          </w:p>
        </w:tc>
        <w:tc>
          <w:tcPr>
            <w:tcW w:w="800" w:type="pct"/>
            <w:vMerge/>
          </w:tcPr>
          <w:p w14:paraId="7E0ECA13" w14:textId="77777777" w:rsidR="000126C5" w:rsidRPr="006820D5" w:rsidRDefault="000126C5" w:rsidP="00B035C5">
            <w:pPr>
              <w:pStyle w:val="NoSpacing"/>
              <w:rPr>
                <w:sz w:val="18"/>
                <w:szCs w:val="18"/>
              </w:rPr>
            </w:pPr>
          </w:p>
        </w:tc>
      </w:tr>
      <w:tr w:rsidR="000126C5" w:rsidRPr="00BD679D" w14:paraId="5B86537C" w14:textId="186B33EA" w:rsidTr="006820D5">
        <w:trPr>
          <w:trHeight w:val="310"/>
        </w:trPr>
        <w:tc>
          <w:tcPr>
            <w:tcW w:w="198" w:type="pct"/>
            <w:vMerge/>
            <w:shd w:val="clear" w:color="auto" w:fill="D0CECE" w:themeFill="background2" w:themeFillShade="E6"/>
            <w:vAlign w:val="center"/>
            <w:hideMark/>
          </w:tcPr>
          <w:p w14:paraId="3E5D645D" w14:textId="77777777" w:rsidR="000126C5" w:rsidRPr="00C226F8" w:rsidRDefault="000126C5" w:rsidP="00C226F8">
            <w:pPr>
              <w:pStyle w:val="NoSpacing"/>
              <w:jc w:val="center"/>
              <w:rPr>
                <w:b/>
                <w:bCs/>
              </w:rPr>
            </w:pPr>
          </w:p>
        </w:tc>
        <w:tc>
          <w:tcPr>
            <w:tcW w:w="1155" w:type="pct"/>
            <w:shd w:val="clear" w:color="auto" w:fill="auto"/>
            <w:noWrap/>
            <w:vAlign w:val="center"/>
            <w:hideMark/>
          </w:tcPr>
          <w:p w14:paraId="1FE010AA" w14:textId="77777777" w:rsidR="000126C5" w:rsidRPr="00B035C5" w:rsidRDefault="000126C5" w:rsidP="00B035C5">
            <w:pPr>
              <w:pStyle w:val="NoSpacing"/>
            </w:pPr>
            <w:r w:rsidRPr="00B035C5">
              <w:t>prev_WHZ_distribution_age_24_35mo</w:t>
            </w:r>
          </w:p>
        </w:tc>
        <w:tc>
          <w:tcPr>
            <w:tcW w:w="680" w:type="pct"/>
            <w:shd w:val="clear" w:color="auto" w:fill="auto"/>
            <w:noWrap/>
            <w:vAlign w:val="center"/>
            <w:hideMark/>
          </w:tcPr>
          <w:p w14:paraId="71EC0B2B" w14:textId="77777777" w:rsidR="000126C5" w:rsidRPr="00B035C5" w:rsidRDefault="000126C5" w:rsidP="00B035C5">
            <w:pPr>
              <w:pStyle w:val="NoSpacing"/>
            </w:pPr>
            <w:r w:rsidRPr="00B035C5">
              <w:t>[0.056, 1.046]</w:t>
            </w:r>
          </w:p>
        </w:tc>
        <w:tc>
          <w:tcPr>
            <w:tcW w:w="474" w:type="pct"/>
            <w:shd w:val="clear" w:color="auto" w:fill="auto"/>
            <w:noWrap/>
            <w:vAlign w:val="center"/>
            <w:hideMark/>
          </w:tcPr>
          <w:p w14:paraId="0775606B" w14:textId="77777777" w:rsidR="000126C5" w:rsidRPr="00B035C5" w:rsidRDefault="000126C5" w:rsidP="00A74826">
            <w:pPr>
              <w:pStyle w:val="NoSpacing"/>
              <w:rPr>
                <w:rFonts w:ascii="Calibri" w:hAnsi="Calibri" w:cs="Calibri"/>
                <w:sz w:val="18"/>
                <w:szCs w:val="18"/>
                <w:lang w:eastAsia="en-GB"/>
              </w:rPr>
            </w:pPr>
            <w:r w:rsidRPr="00B035C5">
              <w:rPr>
                <w:rFonts w:ascii="Calibri" w:hAnsi="Calibri" w:cs="Calibri"/>
                <w:sz w:val="18"/>
                <w:szCs w:val="18"/>
                <w:lang w:eastAsia="en-GB"/>
              </w:rPr>
              <w:t>DHS 2015-16</w:t>
            </w:r>
          </w:p>
        </w:tc>
        <w:tc>
          <w:tcPr>
            <w:tcW w:w="1693" w:type="pct"/>
            <w:shd w:val="clear" w:color="auto" w:fill="auto"/>
            <w:noWrap/>
            <w:vAlign w:val="bottom"/>
            <w:hideMark/>
          </w:tcPr>
          <w:p w14:paraId="3D009CA6" w14:textId="77777777" w:rsidR="000126C5" w:rsidRPr="00B035C5" w:rsidRDefault="000126C5" w:rsidP="00B035C5">
            <w:pPr>
              <w:pStyle w:val="NoSpacing"/>
            </w:pPr>
            <w:r w:rsidRPr="00B035C5">
              <w:t xml:space="preserve">mean and standard deviation of weight-for-height z-scores distribution for </w:t>
            </w:r>
            <w:proofErr w:type="gramStart"/>
            <w:r w:rsidRPr="00B035C5">
              <w:t>2 year old</w:t>
            </w:r>
            <w:proofErr w:type="gramEnd"/>
          </w:p>
        </w:tc>
        <w:tc>
          <w:tcPr>
            <w:tcW w:w="800" w:type="pct"/>
            <w:vMerge/>
          </w:tcPr>
          <w:p w14:paraId="63B358F8" w14:textId="77777777" w:rsidR="000126C5" w:rsidRPr="006820D5" w:rsidRDefault="000126C5" w:rsidP="00B035C5">
            <w:pPr>
              <w:pStyle w:val="NoSpacing"/>
              <w:rPr>
                <w:sz w:val="18"/>
                <w:szCs w:val="18"/>
              </w:rPr>
            </w:pPr>
          </w:p>
        </w:tc>
      </w:tr>
      <w:tr w:rsidR="000126C5" w:rsidRPr="00BD679D" w14:paraId="24FB2B67" w14:textId="72690E70" w:rsidTr="006820D5">
        <w:trPr>
          <w:trHeight w:val="310"/>
        </w:trPr>
        <w:tc>
          <w:tcPr>
            <w:tcW w:w="198" w:type="pct"/>
            <w:vMerge/>
            <w:shd w:val="clear" w:color="auto" w:fill="D0CECE" w:themeFill="background2" w:themeFillShade="E6"/>
            <w:vAlign w:val="center"/>
            <w:hideMark/>
          </w:tcPr>
          <w:p w14:paraId="4B3DAB51" w14:textId="77777777" w:rsidR="000126C5" w:rsidRPr="00C226F8" w:rsidRDefault="000126C5" w:rsidP="00C226F8">
            <w:pPr>
              <w:pStyle w:val="NoSpacing"/>
              <w:jc w:val="center"/>
              <w:rPr>
                <w:b/>
                <w:bCs/>
              </w:rPr>
            </w:pPr>
          </w:p>
        </w:tc>
        <w:tc>
          <w:tcPr>
            <w:tcW w:w="1155" w:type="pct"/>
            <w:shd w:val="clear" w:color="auto" w:fill="auto"/>
            <w:noWrap/>
            <w:vAlign w:val="center"/>
            <w:hideMark/>
          </w:tcPr>
          <w:p w14:paraId="17E21227" w14:textId="77777777" w:rsidR="000126C5" w:rsidRPr="00B035C5" w:rsidRDefault="000126C5" w:rsidP="00B035C5">
            <w:pPr>
              <w:pStyle w:val="NoSpacing"/>
            </w:pPr>
            <w:r w:rsidRPr="00B035C5">
              <w:t>prev_WHZ_distribution_age_36_47mo</w:t>
            </w:r>
          </w:p>
        </w:tc>
        <w:tc>
          <w:tcPr>
            <w:tcW w:w="680" w:type="pct"/>
            <w:shd w:val="clear" w:color="auto" w:fill="auto"/>
            <w:noWrap/>
            <w:vAlign w:val="center"/>
            <w:hideMark/>
          </w:tcPr>
          <w:p w14:paraId="56DF1FD5" w14:textId="77777777" w:rsidR="000126C5" w:rsidRPr="00B035C5" w:rsidRDefault="000126C5" w:rsidP="00B035C5">
            <w:pPr>
              <w:pStyle w:val="NoSpacing"/>
            </w:pPr>
            <w:r w:rsidRPr="00B035C5">
              <w:t>[0.093, 0.966]</w:t>
            </w:r>
          </w:p>
        </w:tc>
        <w:tc>
          <w:tcPr>
            <w:tcW w:w="474" w:type="pct"/>
            <w:shd w:val="clear" w:color="auto" w:fill="auto"/>
            <w:noWrap/>
            <w:vAlign w:val="center"/>
            <w:hideMark/>
          </w:tcPr>
          <w:p w14:paraId="48D51B06" w14:textId="77777777" w:rsidR="000126C5" w:rsidRPr="00B035C5" w:rsidRDefault="000126C5" w:rsidP="00A74826">
            <w:pPr>
              <w:pStyle w:val="NoSpacing"/>
              <w:rPr>
                <w:rFonts w:ascii="Calibri" w:hAnsi="Calibri" w:cs="Calibri"/>
                <w:sz w:val="18"/>
                <w:szCs w:val="18"/>
                <w:lang w:eastAsia="en-GB"/>
              </w:rPr>
            </w:pPr>
            <w:r w:rsidRPr="00B035C5">
              <w:rPr>
                <w:rFonts w:ascii="Calibri" w:hAnsi="Calibri" w:cs="Calibri"/>
                <w:sz w:val="18"/>
                <w:szCs w:val="18"/>
                <w:lang w:eastAsia="en-GB"/>
              </w:rPr>
              <w:t>DHS 2015-16</w:t>
            </w:r>
          </w:p>
        </w:tc>
        <w:tc>
          <w:tcPr>
            <w:tcW w:w="1693" w:type="pct"/>
            <w:shd w:val="clear" w:color="auto" w:fill="auto"/>
            <w:noWrap/>
            <w:vAlign w:val="bottom"/>
            <w:hideMark/>
          </w:tcPr>
          <w:p w14:paraId="327A9D8E" w14:textId="77777777" w:rsidR="000126C5" w:rsidRPr="00B035C5" w:rsidRDefault="000126C5" w:rsidP="00B035C5">
            <w:pPr>
              <w:pStyle w:val="NoSpacing"/>
            </w:pPr>
            <w:r w:rsidRPr="00B035C5">
              <w:t xml:space="preserve">mean and standard deviation of weight-for-height z-scores distribution for </w:t>
            </w:r>
            <w:proofErr w:type="gramStart"/>
            <w:r w:rsidRPr="00B035C5">
              <w:t>3 year old</w:t>
            </w:r>
            <w:proofErr w:type="gramEnd"/>
          </w:p>
        </w:tc>
        <w:tc>
          <w:tcPr>
            <w:tcW w:w="800" w:type="pct"/>
            <w:vMerge/>
          </w:tcPr>
          <w:p w14:paraId="435BD18D" w14:textId="77777777" w:rsidR="000126C5" w:rsidRPr="006820D5" w:rsidRDefault="000126C5" w:rsidP="00B035C5">
            <w:pPr>
              <w:pStyle w:val="NoSpacing"/>
              <w:rPr>
                <w:sz w:val="18"/>
                <w:szCs w:val="18"/>
              </w:rPr>
            </w:pPr>
          </w:p>
        </w:tc>
      </w:tr>
      <w:tr w:rsidR="000126C5" w:rsidRPr="00BD679D" w14:paraId="01817EFA" w14:textId="3482F999" w:rsidTr="006820D5">
        <w:trPr>
          <w:trHeight w:val="310"/>
        </w:trPr>
        <w:tc>
          <w:tcPr>
            <w:tcW w:w="198" w:type="pct"/>
            <w:vMerge/>
            <w:shd w:val="clear" w:color="auto" w:fill="D0CECE" w:themeFill="background2" w:themeFillShade="E6"/>
            <w:vAlign w:val="center"/>
            <w:hideMark/>
          </w:tcPr>
          <w:p w14:paraId="52BCC796" w14:textId="77777777" w:rsidR="000126C5" w:rsidRPr="00C226F8" w:rsidRDefault="000126C5" w:rsidP="00C226F8">
            <w:pPr>
              <w:pStyle w:val="NoSpacing"/>
              <w:jc w:val="center"/>
              <w:rPr>
                <w:b/>
                <w:bCs/>
              </w:rPr>
            </w:pPr>
          </w:p>
        </w:tc>
        <w:tc>
          <w:tcPr>
            <w:tcW w:w="1155" w:type="pct"/>
            <w:shd w:val="clear" w:color="auto" w:fill="auto"/>
            <w:noWrap/>
            <w:vAlign w:val="center"/>
            <w:hideMark/>
          </w:tcPr>
          <w:p w14:paraId="2F41B609" w14:textId="77777777" w:rsidR="000126C5" w:rsidRPr="00B035C5" w:rsidRDefault="000126C5" w:rsidP="00B035C5">
            <w:pPr>
              <w:pStyle w:val="NoSpacing"/>
            </w:pPr>
            <w:r w:rsidRPr="00B035C5">
              <w:t>prev_WHZ_distribution_age_48_59mo</w:t>
            </w:r>
          </w:p>
        </w:tc>
        <w:tc>
          <w:tcPr>
            <w:tcW w:w="680" w:type="pct"/>
            <w:shd w:val="clear" w:color="auto" w:fill="auto"/>
            <w:noWrap/>
            <w:vAlign w:val="center"/>
            <w:hideMark/>
          </w:tcPr>
          <w:p w14:paraId="06F14A5E" w14:textId="77777777" w:rsidR="000126C5" w:rsidRPr="00B035C5" w:rsidRDefault="000126C5" w:rsidP="00B035C5">
            <w:pPr>
              <w:pStyle w:val="NoSpacing"/>
            </w:pPr>
            <w:r w:rsidRPr="00B035C5">
              <w:t>[-0.031, 0.983]</w:t>
            </w:r>
          </w:p>
        </w:tc>
        <w:tc>
          <w:tcPr>
            <w:tcW w:w="474" w:type="pct"/>
            <w:shd w:val="clear" w:color="auto" w:fill="auto"/>
            <w:noWrap/>
            <w:vAlign w:val="center"/>
            <w:hideMark/>
          </w:tcPr>
          <w:p w14:paraId="71BEBC7B" w14:textId="77777777" w:rsidR="000126C5" w:rsidRPr="00B035C5" w:rsidRDefault="000126C5" w:rsidP="00A74826">
            <w:pPr>
              <w:pStyle w:val="NoSpacing"/>
              <w:rPr>
                <w:rFonts w:ascii="Calibri" w:hAnsi="Calibri" w:cs="Calibri"/>
                <w:sz w:val="18"/>
                <w:szCs w:val="18"/>
                <w:lang w:eastAsia="en-GB"/>
              </w:rPr>
            </w:pPr>
            <w:r w:rsidRPr="00B035C5">
              <w:rPr>
                <w:rFonts w:ascii="Calibri" w:hAnsi="Calibri" w:cs="Calibri"/>
                <w:sz w:val="18"/>
                <w:szCs w:val="18"/>
                <w:lang w:eastAsia="en-GB"/>
              </w:rPr>
              <w:t>DHS 2015-16</w:t>
            </w:r>
          </w:p>
        </w:tc>
        <w:tc>
          <w:tcPr>
            <w:tcW w:w="1693" w:type="pct"/>
            <w:shd w:val="clear" w:color="auto" w:fill="auto"/>
            <w:noWrap/>
            <w:vAlign w:val="bottom"/>
            <w:hideMark/>
          </w:tcPr>
          <w:p w14:paraId="3D51ADB3" w14:textId="77777777" w:rsidR="000126C5" w:rsidRPr="00B035C5" w:rsidRDefault="000126C5" w:rsidP="00B035C5">
            <w:pPr>
              <w:pStyle w:val="NoSpacing"/>
            </w:pPr>
            <w:r w:rsidRPr="00B035C5">
              <w:t xml:space="preserve">mean and standard deviation of weight-for-height z-scores distribution for </w:t>
            </w:r>
            <w:proofErr w:type="gramStart"/>
            <w:r w:rsidRPr="00B035C5">
              <w:t>4 year old</w:t>
            </w:r>
            <w:proofErr w:type="gramEnd"/>
          </w:p>
        </w:tc>
        <w:tc>
          <w:tcPr>
            <w:tcW w:w="800" w:type="pct"/>
            <w:vMerge/>
          </w:tcPr>
          <w:p w14:paraId="1FAE2139" w14:textId="77777777" w:rsidR="000126C5" w:rsidRPr="006820D5" w:rsidRDefault="000126C5" w:rsidP="00B035C5">
            <w:pPr>
              <w:pStyle w:val="NoSpacing"/>
              <w:rPr>
                <w:sz w:val="18"/>
                <w:szCs w:val="18"/>
              </w:rPr>
            </w:pPr>
          </w:p>
        </w:tc>
      </w:tr>
      <w:tr w:rsidR="003229FE" w:rsidRPr="00BD679D" w14:paraId="3FBA5BBD" w14:textId="763D5BD9" w:rsidTr="006820D5">
        <w:trPr>
          <w:trHeight w:val="310"/>
        </w:trPr>
        <w:tc>
          <w:tcPr>
            <w:tcW w:w="198" w:type="pct"/>
            <w:vMerge/>
            <w:shd w:val="clear" w:color="auto" w:fill="D0CECE" w:themeFill="background2" w:themeFillShade="E6"/>
            <w:vAlign w:val="center"/>
            <w:hideMark/>
          </w:tcPr>
          <w:p w14:paraId="5FF0F337"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39AF803D" w14:textId="77777777" w:rsidR="003229FE" w:rsidRPr="00B035C5" w:rsidRDefault="003229FE" w:rsidP="00B035C5">
            <w:pPr>
              <w:pStyle w:val="NoSpacing"/>
            </w:pPr>
            <w:r w:rsidRPr="00B035C5">
              <w:t>or_wasting_hhwealth_Q5</w:t>
            </w:r>
          </w:p>
        </w:tc>
        <w:tc>
          <w:tcPr>
            <w:tcW w:w="680" w:type="pct"/>
            <w:shd w:val="clear" w:color="auto" w:fill="auto"/>
            <w:noWrap/>
            <w:vAlign w:val="bottom"/>
            <w:hideMark/>
          </w:tcPr>
          <w:p w14:paraId="1CD781C0" w14:textId="77777777" w:rsidR="003229FE" w:rsidRPr="00B035C5" w:rsidRDefault="003229FE" w:rsidP="00B035C5">
            <w:pPr>
              <w:pStyle w:val="NoSpacing"/>
            </w:pPr>
            <w:r w:rsidRPr="00B035C5">
              <w:t>2.18</w:t>
            </w:r>
          </w:p>
        </w:tc>
        <w:tc>
          <w:tcPr>
            <w:tcW w:w="474" w:type="pct"/>
            <w:shd w:val="clear" w:color="auto" w:fill="auto"/>
            <w:vAlign w:val="bottom"/>
            <w:hideMark/>
          </w:tcPr>
          <w:p w14:paraId="12995135" w14:textId="59291A9A"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693" w:type="pct"/>
            <w:shd w:val="clear" w:color="auto" w:fill="auto"/>
            <w:noWrap/>
            <w:vAlign w:val="bottom"/>
            <w:hideMark/>
          </w:tcPr>
          <w:p w14:paraId="1ECD2969" w14:textId="77777777" w:rsidR="003229FE" w:rsidRPr="00B035C5" w:rsidRDefault="003229FE" w:rsidP="00B035C5">
            <w:pPr>
              <w:pStyle w:val="NoSpacing"/>
            </w:pPr>
            <w:r w:rsidRPr="00B035C5">
              <w:t>odds ratio of wasting for poorest household wealth Q5</w:t>
            </w:r>
          </w:p>
        </w:tc>
        <w:tc>
          <w:tcPr>
            <w:tcW w:w="800" w:type="pct"/>
          </w:tcPr>
          <w:p w14:paraId="2B6F2E1E" w14:textId="77777777" w:rsidR="006820D5" w:rsidRPr="006820D5" w:rsidRDefault="006820D5" w:rsidP="00B035C5">
            <w:pPr>
              <w:pStyle w:val="NoSpacing"/>
              <w:rPr>
                <w:sz w:val="18"/>
                <w:szCs w:val="18"/>
              </w:rPr>
            </w:pPr>
            <w:r w:rsidRPr="006820D5">
              <w:rPr>
                <w:sz w:val="18"/>
                <w:szCs w:val="18"/>
              </w:rPr>
              <w:t xml:space="preserve">Ref. </w:t>
            </w:r>
          </w:p>
          <w:p w14:paraId="2AF9935D" w14:textId="0AC7BB75" w:rsidR="003229FE" w:rsidRPr="006820D5" w:rsidRDefault="006820D5" w:rsidP="00B035C5">
            <w:pPr>
              <w:pStyle w:val="NoSpacing"/>
              <w:rPr>
                <w:sz w:val="18"/>
                <w:szCs w:val="18"/>
              </w:rPr>
            </w:pPr>
            <w:r w:rsidRPr="006820D5">
              <w:rPr>
                <w:sz w:val="18"/>
                <w:szCs w:val="18"/>
              </w:rPr>
              <w:t>Q1 richest</w:t>
            </w:r>
          </w:p>
        </w:tc>
      </w:tr>
      <w:tr w:rsidR="003229FE" w:rsidRPr="00BD679D" w14:paraId="2114CA73" w14:textId="43971041" w:rsidTr="006820D5">
        <w:trPr>
          <w:trHeight w:val="310"/>
        </w:trPr>
        <w:tc>
          <w:tcPr>
            <w:tcW w:w="198" w:type="pct"/>
            <w:vMerge/>
            <w:shd w:val="clear" w:color="auto" w:fill="D0CECE" w:themeFill="background2" w:themeFillShade="E6"/>
            <w:vAlign w:val="center"/>
            <w:hideMark/>
          </w:tcPr>
          <w:p w14:paraId="6B5E3D25"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195CAC54" w14:textId="77777777" w:rsidR="003229FE" w:rsidRPr="00B035C5" w:rsidRDefault="003229FE" w:rsidP="00B035C5">
            <w:pPr>
              <w:pStyle w:val="NoSpacing"/>
            </w:pPr>
            <w:r w:rsidRPr="00B035C5">
              <w:t>or_wasting_hhwealth_Q4</w:t>
            </w:r>
          </w:p>
        </w:tc>
        <w:tc>
          <w:tcPr>
            <w:tcW w:w="680" w:type="pct"/>
            <w:shd w:val="clear" w:color="auto" w:fill="auto"/>
            <w:noWrap/>
            <w:vAlign w:val="bottom"/>
            <w:hideMark/>
          </w:tcPr>
          <w:p w14:paraId="134BDDF9" w14:textId="77777777" w:rsidR="003229FE" w:rsidRPr="00B035C5" w:rsidRDefault="003229FE" w:rsidP="00B035C5">
            <w:pPr>
              <w:pStyle w:val="NoSpacing"/>
            </w:pPr>
            <w:r w:rsidRPr="00B035C5">
              <w:t>2.03</w:t>
            </w:r>
          </w:p>
        </w:tc>
        <w:tc>
          <w:tcPr>
            <w:tcW w:w="474" w:type="pct"/>
            <w:shd w:val="clear" w:color="auto" w:fill="auto"/>
            <w:vAlign w:val="bottom"/>
            <w:hideMark/>
          </w:tcPr>
          <w:p w14:paraId="608F498F" w14:textId="723A9DA6"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r w:rsidRPr="00BD679D">
              <w:rPr>
                <w:rFonts w:ascii="Calibri" w:hAnsi="Calibri" w:cs="Calibri"/>
                <w:color w:val="000000"/>
                <w:szCs w:val="21"/>
                <w:lang w:eastAsia="en-GB"/>
              </w:rPr>
              <w:t> </w:t>
            </w:r>
          </w:p>
        </w:tc>
        <w:tc>
          <w:tcPr>
            <w:tcW w:w="1693" w:type="pct"/>
            <w:shd w:val="clear" w:color="auto" w:fill="auto"/>
            <w:noWrap/>
            <w:vAlign w:val="bottom"/>
            <w:hideMark/>
          </w:tcPr>
          <w:p w14:paraId="7405E450" w14:textId="77777777" w:rsidR="003229FE" w:rsidRPr="00B035C5" w:rsidRDefault="003229FE" w:rsidP="00B035C5">
            <w:pPr>
              <w:pStyle w:val="NoSpacing"/>
            </w:pPr>
            <w:r w:rsidRPr="00B035C5">
              <w:t>odds ratio of wasting for poorer household wealth Q4</w:t>
            </w:r>
          </w:p>
        </w:tc>
        <w:tc>
          <w:tcPr>
            <w:tcW w:w="800" w:type="pct"/>
          </w:tcPr>
          <w:p w14:paraId="155773AB" w14:textId="77777777" w:rsidR="003229FE" w:rsidRPr="006820D5" w:rsidRDefault="003229FE" w:rsidP="00B035C5">
            <w:pPr>
              <w:pStyle w:val="NoSpacing"/>
              <w:rPr>
                <w:sz w:val="18"/>
                <w:szCs w:val="18"/>
              </w:rPr>
            </w:pPr>
          </w:p>
        </w:tc>
      </w:tr>
      <w:tr w:rsidR="003229FE" w:rsidRPr="00BD679D" w14:paraId="671CD3B8" w14:textId="56FD29BB" w:rsidTr="006820D5">
        <w:trPr>
          <w:trHeight w:val="310"/>
        </w:trPr>
        <w:tc>
          <w:tcPr>
            <w:tcW w:w="198" w:type="pct"/>
            <w:vMerge/>
            <w:shd w:val="clear" w:color="auto" w:fill="D0CECE" w:themeFill="background2" w:themeFillShade="E6"/>
            <w:vAlign w:val="center"/>
            <w:hideMark/>
          </w:tcPr>
          <w:p w14:paraId="35A75B25"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70606B36" w14:textId="77777777" w:rsidR="003229FE" w:rsidRPr="00B035C5" w:rsidRDefault="003229FE" w:rsidP="00B035C5">
            <w:pPr>
              <w:pStyle w:val="NoSpacing"/>
            </w:pPr>
            <w:r w:rsidRPr="00B035C5">
              <w:t>or_wasting_hhwealth_Q3</w:t>
            </w:r>
          </w:p>
        </w:tc>
        <w:tc>
          <w:tcPr>
            <w:tcW w:w="680" w:type="pct"/>
            <w:shd w:val="clear" w:color="auto" w:fill="auto"/>
            <w:noWrap/>
            <w:vAlign w:val="bottom"/>
            <w:hideMark/>
          </w:tcPr>
          <w:p w14:paraId="3DFDEF7A" w14:textId="77777777" w:rsidR="003229FE" w:rsidRPr="00B035C5" w:rsidRDefault="003229FE" w:rsidP="00B035C5">
            <w:pPr>
              <w:pStyle w:val="NoSpacing"/>
            </w:pPr>
            <w:r w:rsidRPr="00B035C5">
              <w:t>2.3</w:t>
            </w:r>
          </w:p>
        </w:tc>
        <w:tc>
          <w:tcPr>
            <w:tcW w:w="474" w:type="pct"/>
            <w:shd w:val="clear" w:color="auto" w:fill="auto"/>
            <w:vAlign w:val="bottom"/>
            <w:hideMark/>
          </w:tcPr>
          <w:p w14:paraId="51D8F4B6" w14:textId="4A6A1403"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r w:rsidRPr="00BD679D">
              <w:rPr>
                <w:rFonts w:ascii="Calibri" w:hAnsi="Calibri" w:cs="Calibri"/>
                <w:color w:val="000000"/>
                <w:szCs w:val="21"/>
                <w:lang w:eastAsia="en-GB"/>
              </w:rPr>
              <w:t> </w:t>
            </w:r>
          </w:p>
        </w:tc>
        <w:tc>
          <w:tcPr>
            <w:tcW w:w="1693" w:type="pct"/>
            <w:shd w:val="clear" w:color="auto" w:fill="auto"/>
            <w:noWrap/>
            <w:vAlign w:val="bottom"/>
            <w:hideMark/>
          </w:tcPr>
          <w:p w14:paraId="0B30B859" w14:textId="77777777" w:rsidR="003229FE" w:rsidRPr="00B035C5" w:rsidRDefault="003229FE" w:rsidP="00B035C5">
            <w:pPr>
              <w:pStyle w:val="NoSpacing"/>
            </w:pPr>
            <w:r w:rsidRPr="00B035C5">
              <w:t>odds ratio of wasting for middle household wealth Q3</w:t>
            </w:r>
          </w:p>
        </w:tc>
        <w:tc>
          <w:tcPr>
            <w:tcW w:w="800" w:type="pct"/>
          </w:tcPr>
          <w:p w14:paraId="4936D721" w14:textId="77777777" w:rsidR="003229FE" w:rsidRPr="006820D5" w:rsidRDefault="003229FE" w:rsidP="00B035C5">
            <w:pPr>
              <w:pStyle w:val="NoSpacing"/>
              <w:rPr>
                <w:sz w:val="18"/>
                <w:szCs w:val="18"/>
              </w:rPr>
            </w:pPr>
          </w:p>
        </w:tc>
      </w:tr>
      <w:tr w:rsidR="003229FE" w:rsidRPr="00BD679D" w14:paraId="166B286D" w14:textId="57E7F1EA" w:rsidTr="006820D5">
        <w:trPr>
          <w:trHeight w:val="310"/>
        </w:trPr>
        <w:tc>
          <w:tcPr>
            <w:tcW w:w="198" w:type="pct"/>
            <w:vMerge/>
            <w:shd w:val="clear" w:color="auto" w:fill="D0CECE" w:themeFill="background2" w:themeFillShade="E6"/>
            <w:vAlign w:val="center"/>
            <w:hideMark/>
          </w:tcPr>
          <w:p w14:paraId="57F32C2F"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26F2E7F5" w14:textId="77777777" w:rsidR="003229FE" w:rsidRPr="00B035C5" w:rsidRDefault="003229FE" w:rsidP="00B035C5">
            <w:pPr>
              <w:pStyle w:val="NoSpacing"/>
            </w:pPr>
            <w:r w:rsidRPr="00B035C5">
              <w:t>or_wasting_hhwealth_Q2</w:t>
            </w:r>
          </w:p>
        </w:tc>
        <w:tc>
          <w:tcPr>
            <w:tcW w:w="680" w:type="pct"/>
            <w:shd w:val="clear" w:color="auto" w:fill="auto"/>
            <w:noWrap/>
            <w:vAlign w:val="bottom"/>
            <w:hideMark/>
          </w:tcPr>
          <w:p w14:paraId="4FB97686" w14:textId="77777777" w:rsidR="003229FE" w:rsidRPr="00B035C5" w:rsidRDefault="003229FE" w:rsidP="00B035C5">
            <w:pPr>
              <w:pStyle w:val="NoSpacing"/>
            </w:pPr>
            <w:r w:rsidRPr="00B035C5">
              <w:t>1.86</w:t>
            </w:r>
          </w:p>
        </w:tc>
        <w:tc>
          <w:tcPr>
            <w:tcW w:w="474" w:type="pct"/>
            <w:shd w:val="clear" w:color="auto" w:fill="auto"/>
            <w:vAlign w:val="bottom"/>
            <w:hideMark/>
          </w:tcPr>
          <w:p w14:paraId="1904C853" w14:textId="75E2B553"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693" w:type="pct"/>
            <w:shd w:val="clear" w:color="auto" w:fill="auto"/>
            <w:noWrap/>
            <w:vAlign w:val="bottom"/>
            <w:hideMark/>
          </w:tcPr>
          <w:p w14:paraId="6785E33A" w14:textId="77777777" w:rsidR="003229FE" w:rsidRPr="00B035C5" w:rsidRDefault="003229FE" w:rsidP="00B035C5">
            <w:pPr>
              <w:pStyle w:val="NoSpacing"/>
            </w:pPr>
            <w:r w:rsidRPr="00B035C5">
              <w:t>odds ratio of wasting for richer household wealth Q2</w:t>
            </w:r>
          </w:p>
        </w:tc>
        <w:tc>
          <w:tcPr>
            <w:tcW w:w="800" w:type="pct"/>
          </w:tcPr>
          <w:p w14:paraId="7838918B" w14:textId="77777777" w:rsidR="003229FE" w:rsidRPr="006820D5" w:rsidRDefault="003229FE" w:rsidP="00B035C5">
            <w:pPr>
              <w:pStyle w:val="NoSpacing"/>
              <w:rPr>
                <w:sz w:val="18"/>
                <w:szCs w:val="18"/>
              </w:rPr>
            </w:pPr>
          </w:p>
        </w:tc>
      </w:tr>
      <w:tr w:rsidR="006820D5" w:rsidRPr="00BD679D" w14:paraId="178D3744" w14:textId="2D348526" w:rsidTr="006820D5">
        <w:trPr>
          <w:trHeight w:val="310"/>
        </w:trPr>
        <w:tc>
          <w:tcPr>
            <w:tcW w:w="198" w:type="pct"/>
            <w:vMerge/>
            <w:shd w:val="clear" w:color="auto" w:fill="D0CECE" w:themeFill="background2" w:themeFillShade="E6"/>
            <w:vAlign w:val="center"/>
            <w:hideMark/>
          </w:tcPr>
          <w:p w14:paraId="27FA96D8" w14:textId="77777777" w:rsidR="006820D5" w:rsidRPr="00C226F8" w:rsidRDefault="006820D5" w:rsidP="00C226F8">
            <w:pPr>
              <w:pStyle w:val="NoSpacing"/>
              <w:jc w:val="center"/>
              <w:rPr>
                <w:b/>
                <w:bCs/>
              </w:rPr>
            </w:pPr>
          </w:p>
        </w:tc>
        <w:tc>
          <w:tcPr>
            <w:tcW w:w="1155" w:type="pct"/>
            <w:shd w:val="clear" w:color="auto" w:fill="auto"/>
            <w:noWrap/>
            <w:vAlign w:val="bottom"/>
            <w:hideMark/>
          </w:tcPr>
          <w:p w14:paraId="5379AD9D" w14:textId="77777777" w:rsidR="006820D5" w:rsidRPr="00B035C5" w:rsidRDefault="006820D5" w:rsidP="00B035C5">
            <w:pPr>
              <w:pStyle w:val="NoSpacing"/>
            </w:pPr>
            <w:proofErr w:type="spellStart"/>
            <w:r w:rsidRPr="00B035C5">
              <w:t>or_wasting_preterm_and_AGA</w:t>
            </w:r>
            <w:proofErr w:type="spellEnd"/>
          </w:p>
        </w:tc>
        <w:tc>
          <w:tcPr>
            <w:tcW w:w="680" w:type="pct"/>
            <w:shd w:val="clear" w:color="auto" w:fill="auto"/>
            <w:noWrap/>
            <w:vAlign w:val="bottom"/>
            <w:hideMark/>
          </w:tcPr>
          <w:p w14:paraId="7E06555F" w14:textId="77777777" w:rsidR="006820D5" w:rsidRPr="00B035C5" w:rsidRDefault="006820D5" w:rsidP="00B035C5">
            <w:pPr>
              <w:pStyle w:val="NoSpacing"/>
            </w:pPr>
            <w:r w:rsidRPr="00B035C5">
              <w:t>2.2</w:t>
            </w:r>
          </w:p>
        </w:tc>
        <w:tc>
          <w:tcPr>
            <w:tcW w:w="474" w:type="pct"/>
            <w:shd w:val="clear" w:color="auto" w:fill="auto"/>
            <w:vAlign w:val="bottom"/>
            <w:hideMark/>
          </w:tcPr>
          <w:p w14:paraId="54060895" w14:textId="2CB385DD"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693" w:type="pct"/>
            <w:shd w:val="clear" w:color="auto" w:fill="auto"/>
            <w:noWrap/>
            <w:vAlign w:val="bottom"/>
            <w:hideMark/>
          </w:tcPr>
          <w:p w14:paraId="06842BB3" w14:textId="77777777" w:rsidR="006820D5" w:rsidRPr="00B035C5" w:rsidRDefault="006820D5" w:rsidP="00B035C5">
            <w:pPr>
              <w:pStyle w:val="NoSpacing"/>
            </w:pPr>
            <w:r w:rsidRPr="00B035C5">
              <w:t>odds ratio of wasting if born preterm and adequate for gestational age</w:t>
            </w:r>
          </w:p>
        </w:tc>
        <w:tc>
          <w:tcPr>
            <w:tcW w:w="800" w:type="pct"/>
            <w:vMerge w:val="restart"/>
          </w:tcPr>
          <w:p w14:paraId="52E4BBD3" w14:textId="6DB7B165" w:rsidR="006820D5" w:rsidRPr="006820D5" w:rsidRDefault="006820D5" w:rsidP="00B035C5">
            <w:pPr>
              <w:pStyle w:val="NoSpacing"/>
              <w:rPr>
                <w:sz w:val="18"/>
                <w:szCs w:val="18"/>
              </w:rPr>
            </w:pPr>
            <w:r w:rsidRPr="006820D5">
              <w:rPr>
                <w:sz w:val="18"/>
                <w:szCs w:val="18"/>
              </w:rPr>
              <w:t>Used the pooled OR estimate for sub-Saharan Africa</w:t>
            </w:r>
          </w:p>
        </w:tc>
      </w:tr>
      <w:tr w:rsidR="006820D5" w:rsidRPr="00BD679D" w14:paraId="614F6673" w14:textId="2C067042" w:rsidTr="006820D5">
        <w:trPr>
          <w:trHeight w:val="310"/>
        </w:trPr>
        <w:tc>
          <w:tcPr>
            <w:tcW w:w="198" w:type="pct"/>
            <w:vMerge/>
            <w:shd w:val="clear" w:color="auto" w:fill="D0CECE" w:themeFill="background2" w:themeFillShade="E6"/>
            <w:vAlign w:val="center"/>
            <w:hideMark/>
          </w:tcPr>
          <w:p w14:paraId="1F8DD8E3" w14:textId="77777777" w:rsidR="006820D5" w:rsidRPr="00C226F8" w:rsidRDefault="006820D5" w:rsidP="00C226F8">
            <w:pPr>
              <w:pStyle w:val="NoSpacing"/>
              <w:jc w:val="center"/>
              <w:rPr>
                <w:b/>
                <w:bCs/>
              </w:rPr>
            </w:pPr>
          </w:p>
        </w:tc>
        <w:tc>
          <w:tcPr>
            <w:tcW w:w="1155" w:type="pct"/>
            <w:shd w:val="clear" w:color="auto" w:fill="auto"/>
            <w:noWrap/>
            <w:vAlign w:val="center"/>
            <w:hideMark/>
          </w:tcPr>
          <w:p w14:paraId="1FC64440" w14:textId="77777777" w:rsidR="006820D5" w:rsidRPr="00B035C5" w:rsidRDefault="006820D5" w:rsidP="00B035C5">
            <w:pPr>
              <w:pStyle w:val="NoSpacing"/>
            </w:pPr>
            <w:proofErr w:type="spellStart"/>
            <w:r w:rsidRPr="00B035C5">
              <w:t>or_wasting_SGA_and_term</w:t>
            </w:r>
            <w:proofErr w:type="spellEnd"/>
          </w:p>
        </w:tc>
        <w:tc>
          <w:tcPr>
            <w:tcW w:w="680" w:type="pct"/>
            <w:shd w:val="clear" w:color="auto" w:fill="auto"/>
            <w:noWrap/>
            <w:vAlign w:val="bottom"/>
            <w:hideMark/>
          </w:tcPr>
          <w:p w14:paraId="1434FF2E" w14:textId="77777777" w:rsidR="006820D5" w:rsidRPr="00B035C5" w:rsidRDefault="006820D5" w:rsidP="00B035C5">
            <w:pPr>
              <w:pStyle w:val="NoSpacing"/>
            </w:pPr>
            <w:r w:rsidRPr="00B035C5">
              <w:t>2.42</w:t>
            </w:r>
          </w:p>
        </w:tc>
        <w:tc>
          <w:tcPr>
            <w:tcW w:w="474" w:type="pct"/>
            <w:shd w:val="clear" w:color="auto" w:fill="auto"/>
            <w:vAlign w:val="bottom"/>
            <w:hideMark/>
          </w:tcPr>
          <w:p w14:paraId="502E3677" w14:textId="074E3FC4"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693" w:type="pct"/>
            <w:shd w:val="clear" w:color="auto" w:fill="auto"/>
            <w:noWrap/>
            <w:vAlign w:val="bottom"/>
            <w:hideMark/>
          </w:tcPr>
          <w:p w14:paraId="17EC5A42" w14:textId="77777777" w:rsidR="006820D5" w:rsidRPr="00B035C5" w:rsidRDefault="006820D5" w:rsidP="00B035C5">
            <w:pPr>
              <w:pStyle w:val="NoSpacing"/>
            </w:pPr>
            <w:r w:rsidRPr="00B035C5">
              <w:t>odds ratio of wasting if born small for gestational age and term</w:t>
            </w:r>
          </w:p>
        </w:tc>
        <w:tc>
          <w:tcPr>
            <w:tcW w:w="800" w:type="pct"/>
            <w:vMerge/>
          </w:tcPr>
          <w:p w14:paraId="0E0D6F51" w14:textId="77777777" w:rsidR="006820D5" w:rsidRPr="006820D5" w:rsidRDefault="006820D5" w:rsidP="00B035C5">
            <w:pPr>
              <w:pStyle w:val="NoSpacing"/>
              <w:rPr>
                <w:sz w:val="18"/>
                <w:szCs w:val="18"/>
              </w:rPr>
            </w:pPr>
          </w:p>
        </w:tc>
      </w:tr>
      <w:tr w:rsidR="006820D5" w:rsidRPr="00BD679D" w14:paraId="41E1F059" w14:textId="34743A03" w:rsidTr="006820D5">
        <w:trPr>
          <w:trHeight w:val="320"/>
        </w:trPr>
        <w:tc>
          <w:tcPr>
            <w:tcW w:w="198" w:type="pct"/>
            <w:vMerge/>
            <w:shd w:val="clear" w:color="auto" w:fill="D0CECE" w:themeFill="background2" w:themeFillShade="E6"/>
            <w:vAlign w:val="center"/>
            <w:hideMark/>
          </w:tcPr>
          <w:p w14:paraId="3E1A26C4" w14:textId="77777777" w:rsidR="006820D5" w:rsidRPr="00C226F8" w:rsidRDefault="006820D5" w:rsidP="00C226F8">
            <w:pPr>
              <w:pStyle w:val="NoSpacing"/>
              <w:jc w:val="center"/>
              <w:rPr>
                <w:b/>
                <w:bCs/>
              </w:rPr>
            </w:pPr>
          </w:p>
        </w:tc>
        <w:tc>
          <w:tcPr>
            <w:tcW w:w="1155" w:type="pct"/>
            <w:shd w:val="clear" w:color="auto" w:fill="auto"/>
            <w:noWrap/>
            <w:vAlign w:val="center"/>
            <w:hideMark/>
          </w:tcPr>
          <w:p w14:paraId="0C4DF0A4" w14:textId="77777777" w:rsidR="006820D5" w:rsidRPr="00B035C5" w:rsidRDefault="006820D5" w:rsidP="00B035C5">
            <w:pPr>
              <w:pStyle w:val="NoSpacing"/>
            </w:pPr>
            <w:proofErr w:type="spellStart"/>
            <w:r w:rsidRPr="00B035C5">
              <w:t>or_wasting_SGA_and_preterm</w:t>
            </w:r>
            <w:proofErr w:type="spellEnd"/>
          </w:p>
        </w:tc>
        <w:tc>
          <w:tcPr>
            <w:tcW w:w="680" w:type="pct"/>
            <w:shd w:val="clear" w:color="auto" w:fill="auto"/>
            <w:noWrap/>
            <w:vAlign w:val="bottom"/>
            <w:hideMark/>
          </w:tcPr>
          <w:p w14:paraId="25158957" w14:textId="77777777" w:rsidR="006820D5" w:rsidRPr="00B035C5" w:rsidRDefault="006820D5" w:rsidP="00B035C5">
            <w:pPr>
              <w:pStyle w:val="NoSpacing"/>
            </w:pPr>
            <w:r w:rsidRPr="00B035C5">
              <w:t>3.44</w:t>
            </w:r>
          </w:p>
        </w:tc>
        <w:tc>
          <w:tcPr>
            <w:tcW w:w="474" w:type="pct"/>
            <w:shd w:val="clear" w:color="auto" w:fill="auto"/>
            <w:vAlign w:val="bottom"/>
            <w:hideMark/>
          </w:tcPr>
          <w:p w14:paraId="46428634" w14:textId="23054BA9"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693" w:type="pct"/>
            <w:shd w:val="clear" w:color="auto" w:fill="auto"/>
            <w:noWrap/>
            <w:vAlign w:val="bottom"/>
            <w:hideMark/>
          </w:tcPr>
          <w:p w14:paraId="01234A31" w14:textId="77777777" w:rsidR="006820D5" w:rsidRPr="00B035C5" w:rsidRDefault="006820D5" w:rsidP="00B035C5">
            <w:pPr>
              <w:pStyle w:val="NoSpacing"/>
            </w:pPr>
            <w:r w:rsidRPr="00B035C5">
              <w:t>odds ratio of wasting if born small for gestational age and preterm</w:t>
            </w:r>
          </w:p>
        </w:tc>
        <w:tc>
          <w:tcPr>
            <w:tcW w:w="800" w:type="pct"/>
            <w:vMerge/>
          </w:tcPr>
          <w:p w14:paraId="69E258C8" w14:textId="77777777" w:rsidR="006820D5" w:rsidRPr="006820D5" w:rsidRDefault="006820D5" w:rsidP="00B035C5">
            <w:pPr>
              <w:pStyle w:val="NoSpacing"/>
              <w:rPr>
                <w:sz w:val="18"/>
                <w:szCs w:val="18"/>
              </w:rPr>
            </w:pPr>
          </w:p>
        </w:tc>
      </w:tr>
      <w:tr w:rsidR="003229FE" w:rsidRPr="00BD679D" w14:paraId="0E9035C1" w14:textId="2B74ECBD" w:rsidTr="006820D5">
        <w:trPr>
          <w:trHeight w:val="310"/>
        </w:trPr>
        <w:tc>
          <w:tcPr>
            <w:tcW w:w="198" w:type="pct"/>
            <w:vMerge w:val="restart"/>
            <w:shd w:val="clear" w:color="auto" w:fill="D0CECE" w:themeFill="background2" w:themeFillShade="E6"/>
            <w:noWrap/>
            <w:textDirection w:val="btLr"/>
            <w:vAlign w:val="bottom"/>
            <w:hideMark/>
          </w:tcPr>
          <w:p w14:paraId="13CE692B" w14:textId="77777777" w:rsidR="003229FE" w:rsidRPr="00C226F8" w:rsidRDefault="003229FE" w:rsidP="00C226F8">
            <w:pPr>
              <w:pStyle w:val="NoSpacing"/>
              <w:jc w:val="center"/>
              <w:rPr>
                <w:b/>
                <w:bCs/>
              </w:rPr>
            </w:pPr>
            <w:r w:rsidRPr="00C226F8">
              <w:rPr>
                <w:b/>
                <w:bCs/>
              </w:rPr>
              <w:t>Incidence</w:t>
            </w:r>
          </w:p>
        </w:tc>
        <w:tc>
          <w:tcPr>
            <w:tcW w:w="1155" w:type="pct"/>
            <w:shd w:val="clear" w:color="auto" w:fill="auto"/>
            <w:noWrap/>
            <w:vAlign w:val="center"/>
            <w:hideMark/>
          </w:tcPr>
          <w:p w14:paraId="70A54599" w14:textId="77777777" w:rsidR="003229FE" w:rsidRPr="00B035C5" w:rsidRDefault="003229FE" w:rsidP="00B035C5">
            <w:pPr>
              <w:pStyle w:val="NoSpacing"/>
            </w:pPr>
            <w:proofErr w:type="spellStart"/>
            <w:r w:rsidRPr="00B035C5">
              <w:t>base_inc_rate_wasting_by_agegp</w:t>
            </w:r>
            <w:proofErr w:type="spellEnd"/>
          </w:p>
        </w:tc>
        <w:tc>
          <w:tcPr>
            <w:tcW w:w="680" w:type="pct"/>
            <w:shd w:val="clear" w:color="auto" w:fill="auto"/>
            <w:noWrap/>
            <w:vAlign w:val="center"/>
            <w:hideMark/>
          </w:tcPr>
          <w:p w14:paraId="0F6BFA84" w14:textId="0E89BB8E" w:rsidR="003229FE" w:rsidRPr="00B035C5" w:rsidRDefault="003229FE" w:rsidP="00B035C5">
            <w:pPr>
              <w:pStyle w:val="NoSpacing"/>
            </w:pPr>
            <w:r w:rsidRPr="00B035C5">
              <w:t>[0.024, 0.09, 0.15, 0.09, 0.06, 0.06]</w:t>
            </w:r>
          </w:p>
        </w:tc>
        <w:tc>
          <w:tcPr>
            <w:tcW w:w="474" w:type="pct"/>
            <w:shd w:val="clear" w:color="auto" w:fill="auto"/>
            <w:noWrap/>
            <w:vAlign w:val="bottom"/>
            <w:hideMark/>
          </w:tcPr>
          <w:p w14:paraId="3C765E37" w14:textId="2DBAFFCD"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{"citationItems":[{"id":"ITEM-1","itemData":{"DOI":"10.1046/j.1365-3016.2003.00519.x","ISSN":"02695022","PMID":"14629321","abstract":"We prospectively followed up a population-based cohort of 767 rural Malawian children from birth to 36 months to characterise the timing and predictors of malnutrition. Underweight and wasting incidence peaked between 6 and 18 months of age, whereas stunting incidence was highest during the first 6 months of age. After infancy about 40% of the children were underweight, 70% stunted, and about 4% wasted. Small size during the first 3 months of life predicted the incidence of severe underweight (relative risk [95% confidence interval], 1.8 [0.9, 3.4]), severe stunting (2.1 [1.3, 3.4]), and moderate wasting (2.0 [1.1, 3.5]). Children with many illness episodes in infancy had a twofold risk for the development of severe underweight and moderate wasting. Severe underweight was further predicted by residence far away from a health facility and moderate wasting by maternal HIV infection. Our conclusion is that the intrauterine period and first 6 months of life are critical for the development of stunting whereas the subsequent year is more critical for the development of underweight and wasting. Strategies combating intrauterine growth retardation, maternal HIV and infant morbidity are likely to reduce the burden of malnutrition in this population.","author":[{"dropping-particle":"","family":"Maleta","given":"Kenneth","non-dropping-particle":"","parse-names":false,"suffix":""},{"dropping-particle":"","family":"Virtanen","given":"Suvi M.","non-dropping-particle":"","parse-names":false,"suffix":""},{"dropping-particle":"","family":"Espo","given":"Merimaaria","non-dropping-particle":"","parse-names":false,"suffix":""},{"dropping-particle":"","family":"Kulmala","given":"Teija","non-dropping-particle":"","parse-names":false,"suffix":""},{"dropping-particle":"","family":"Ashorn","given":"Per","non-dropping-particle":"","parse-names":false,"suffix":""}],"container-title":"Paediatric and Perinatal Epidemiology","id":"ITEM-1","issue":"4","issued":{"date-parts":[["2003","10"]]},"page":"384-390","title":"Childhood malnutrition and its predictors in rural Malawi","type":"article-journal","volume":"17"},"uris":["http://www.mendeley.com/documents/?uuid=ae85bf81-f3e5-3c6e-bda8-3c96df5631b4"]}],"mendeley":{"formattedCitation":"&lt;sup&gt;11&lt;/sup&gt;","plainTextFormattedCitation":"11","previouslyFormattedCitation":"&lt;sup&gt;11&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11</w:t>
            </w:r>
            <w:r>
              <w:rPr>
                <w:rFonts w:ascii="Calibri" w:hAnsi="Calibri" w:cs="Calibri"/>
                <w:color w:val="000000"/>
                <w:szCs w:val="21"/>
                <w:lang w:eastAsia="en-GB"/>
              </w:rPr>
              <w:fldChar w:fldCharType="end"/>
            </w:r>
          </w:p>
        </w:tc>
        <w:tc>
          <w:tcPr>
            <w:tcW w:w="1693" w:type="pct"/>
            <w:shd w:val="clear" w:color="auto" w:fill="auto"/>
            <w:noWrap/>
            <w:vAlign w:val="bottom"/>
            <w:hideMark/>
          </w:tcPr>
          <w:p w14:paraId="240929AA" w14:textId="77777777" w:rsidR="003229FE" w:rsidRPr="00B035C5" w:rsidRDefault="003229FE" w:rsidP="00B035C5">
            <w:pPr>
              <w:pStyle w:val="NoSpacing"/>
            </w:pPr>
            <w:r w:rsidRPr="00B035C5">
              <w:t>baseline incidence rate of moderate acute malnutrition by age group [1-5, 6-11, 12-23, 24-35, 36-47, 48-59]</w:t>
            </w:r>
          </w:p>
        </w:tc>
        <w:tc>
          <w:tcPr>
            <w:tcW w:w="800" w:type="pct"/>
          </w:tcPr>
          <w:p w14:paraId="3FAAE0B5" w14:textId="155CA547" w:rsidR="003229FE" w:rsidRPr="006820D5" w:rsidRDefault="006820D5" w:rsidP="00B035C5">
            <w:pPr>
              <w:pStyle w:val="NoSpacing"/>
              <w:rPr>
                <w:sz w:val="18"/>
                <w:szCs w:val="18"/>
              </w:rPr>
            </w:pPr>
            <w:r w:rsidRPr="006820D5">
              <w:rPr>
                <w:sz w:val="18"/>
                <w:szCs w:val="18"/>
              </w:rPr>
              <w:t>estimates will be calculated from the study dataset, currently rough estimates</w:t>
            </w:r>
          </w:p>
        </w:tc>
      </w:tr>
      <w:tr w:rsidR="006820D5" w:rsidRPr="00BD679D" w14:paraId="544D5951" w14:textId="197B55A0" w:rsidTr="006820D5">
        <w:trPr>
          <w:trHeight w:val="310"/>
        </w:trPr>
        <w:tc>
          <w:tcPr>
            <w:tcW w:w="198" w:type="pct"/>
            <w:vMerge/>
            <w:shd w:val="clear" w:color="auto" w:fill="D0CECE" w:themeFill="background2" w:themeFillShade="E6"/>
            <w:vAlign w:val="center"/>
            <w:hideMark/>
          </w:tcPr>
          <w:p w14:paraId="4D6ADC2B" w14:textId="77777777" w:rsidR="006820D5" w:rsidRPr="00C226F8" w:rsidRDefault="006820D5" w:rsidP="00C226F8">
            <w:pPr>
              <w:pStyle w:val="NoSpacing"/>
              <w:jc w:val="center"/>
              <w:rPr>
                <w:b/>
                <w:bCs/>
              </w:rPr>
            </w:pPr>
          </w:p>
        </w:tc>
        <w:tc>
          <w:tcPr>
            <w:tcW w:w="1155" w:type="pct"/>
            <w:shd w:val="clear" w:color="auto" w:fill="auto"/>
            <w:noWrap/>
            <w:vAlign w:val="center"/>
            <w:hideMark/>
          </w:tcPr>
          <w:p w14:paraId="178D3A29" w14:textId="77777777" w:rsidR="006820D5" w:rsidRPr="00B035C5" w:rsidRDefault="006820D5" w:rsidP="00B035C5">
            <w:pPr>
              <w:pStyle w:val="NoSpacing"/>
            </w:pPr>
            <w:proofErr w:type="spellStart"/>
            <w:r w:rsidRPr="00B035C5">
              <w:t>rr_wasting_preterm_and_AGA</w:t>
            </w:r>
            <w:proofErr w:type="spellEnd"/>
          </w:p>
        </w:tc>
        <w:tc>
          <w:tcPr>
            <w:tcW w:w="680" w:type="pct"/>
            <w:shd w:val="clear" w:color="auto" w:fill="auto"/>
            <w:noWrap/>
            <w:vAlign w:val="bottom"/>
            <w:hideMark/>
          </w:tcPr>
          <w:p w14:paraId="1FFCF6E3" w14:textId="77777777" w:rsidR="006820D5" w:rsidRPr="00B035C5" w:rsidRDefault="006820D5" w:rsidP="00B035C5">
            <w:pPr>
              <w:pStyle w:val="NoSpacing"/>
            </w:pPr>
            <w:r w:rsidRPr="00B035C5">
              <w:t>2.11</w:t>
            </w:r>
          </w:p>
        </w:tc>
        <w:tc>
          <w:tcPr>
            <w:tcW w:w="474" w:type="pct"/>
            <w:shd w:val="clear" w:color="auto" w:fill="auto"/>
            <w:vAlign w:val="bottom"/>
            <w:hideMark/>
          </w:tcPr>
          <w:p w14:paraId="46981A96" w14:textId="64075DA0"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693" w:type="pct"/>
            <w:shd w:val="clear" w:color="auto" w:fill="auto"/>
            <w:noWrap/>
            <w:vAlign w:val="bottom"/>
            <w:hideMark/>
          </w:tcPr>
          <w:p w14:paraId="5440C834" w14:textId="77777777" w:rsidR="006820D5" w:rsidRPr="00B035C5" w:rsidRDefault="006820D5" w:rsidP="00B035C5">
            <w:pPr>
              <w:pStyle w:val="NoSpacing"/>
            </w:pPr>
            <w:r w:rsidRPr="00B035C5">
              <w:t>relative rate of wasting if born preterm and adequate for gestational age</w:t>
            </w:r>
          </w:p>
        </w:tc>
        <w:tc>
          <w:tcPr>
            <w:tcW w:w="800" w:type="pct"/>
            <w:vMerge w:val="restart"/>
          </w:tcPr>
          <w:p w14:paraId="2B9094BF" w14:textId="05E08BF2" w:rsidR="006820D5" w:rsidRPr="006820D5" w:rsidRDefault="006820D5" w:rsidP="00B035C5">
            <w:pPr>
              <w:pStyle w:val="NoSpacing"/>
              <w:rPr>
                <w:sz w:val="18"/>
                <w:szCs w:val="18"/>
              </w:rPr>
            </w:pPr>
            <w:r w:rsidRPr="006820D5">
              <w:rPr>
                <w:sz w:val="18"/>
                <w:szCs w:val="18"/>
              </w:rPr>
              <w:t>Used the pooled relative risk estimate for sub-Saharan Africa</w:t>
            </w:r>
          </w:p>
        </w:tc>
      </w:tr>
      <w:tr w:rsidR="006820D5" w:rsidRPr="00BD679D" w14:paraId="5C7C9074" w14:textId="64A73103" w:rsidTr="006820D5">
        <w:trPr>
          <w:trHeight w:val="310"/>
        </w:trPr>
        <w:tc>
          <w:tcPr>
            <w:tcW w:w="198" w:type="pct"/>
            <w:vMerge/>
            <w:shd w:val="clear" w:color="auto" w:fill="D0CECE" w:themeFill="background2" w:themeFillShade="E6"/>
            <w:vAlign w:val="center"/>
            <w:hideMark/>
          </w:tcPr>
          <w:p w14:paraId="36685DE1" w14:textId="77777777" w:rsidR="006820D5" w:rsidRPr="00C226F8" w:rsidRDefault="006820D5" w:rsidP="00C226F8">
            <w:pPr>
              <w:pStyle w:val="NoSpacing"/>
              <w:jc w:val="center"/>
              <w:rPr>
                <w:b/>
                <w:bCs/>
              </w:rPr>
            </w:pPr>
          </w:p>
        </w:tc>
        <w:tc>
          <w:tcPr>
            <w:tcW w:w="1155" w:type="pct"/>
            <w:shd w:val="clear" w:color="auto" w:fill="auto"/>
            <w:noWrap/>
            <w:vAlign w:val="center"/>
            <w:hideMark/>
          </w:tcPr>
          <w:p w14:paraId="5CE65854" w14:textId="77777777" w:rsidR="006820D5" w:rsidRPr="00B035C5" w:rsidRDefault="006820D5" w:rsidP="00B035C5">
            <w:pPr>
              <w:pStyle w:val="NoSpacing"/>
            </w:pPr>
            <w:proofErr w:type="spellStart"/>
            <w:r w:rsidRPr="00B035C5">
              <w:t>rr_wasting_SGA_and_term</w:t>
            </w:r>
            <w:proofErr w:type="spellEnd"/>
          </w:p>
        </w:tc>
        <w:tc>
          <w:tcPr>
            <w:tcW w:w="680" w:type="pct"/>
            <w:shd w:val="clear" w:color="auto" w:fill="auto"/>
            <w:noWrap/>
            <w:vAlign w:val="bottom"/>
            <w:hideMark/>
          </w:tcPr>
          <w:p w14:paraId="0BD77552" w14:textId="77777777" w:rsidR="006820D5" w:rsidRPr="00B035C5" w:rsidRDefault="006820D5" w:rsidP="00B035C5">
            <w:pPr>
              <w:pStyle w:val="NoSpacing"/>
            </w:pPr>
            <w:r w:rsidRPr="00B035C5">
              <w:t>2.26</w:t>
            </w:r>
          </w:p>
        </w:tc>
        <w:tc>
          <w:tcPr>
            <w:tcW w:w="474" w:type="pct"/>
            <w:shd w:val="clear" w:color="auto" w:fill="auto"/>
            <w:vAlign w:val="bottom"/>
            <w:hideMark/>
          </w:tcPr>
          <w:p w14:paraId="63BC865B" w14:textId="0D14AED9"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693" w:type="pct"/>
            <w:shd w:val="clear" w:color="auto" w:fill="auto"/>
            <w:noWrap/>
            <w:vAlign w:val="bottom"/>
            <w:hideMark/>
          </w:tcPr>
          <w:p w14:paraId="527B3A68" w14:textId="77777777" w:rsidR="006820D5" w:rsidRPr="00B035C5" w:rsidRDefault="006820D5" w:rsidP="00B035C5">
            <w:pPr>
              <w:pStyle w:val="NoSpacing"/>
            </w:pPr>
            <w:r w:rsidRPr="00B035C5">
              <w:t>relative rate of wasting if born small for gestational age and term</w:t>
            </w:r>
          </w:p>
        </w:tc>
        <w:tc>
          <w:tcPr>
            <w:tcW w:w="800" w:type="pct"/>
            <w:vMerge/>
          </w:tcPr>
          <w:p w14:paraId="7D1020D2" w14:textId="77777777" w:rsidR="006820D5" w:rsidRPr="006820D5" w:rsidRDefault="006820D5" w:rsidP="00B035C5">
            <w:pPr>
              <w:pStyle w:val="NoSpacing"/>
              <w:rPr>
                <w:sz w:val="18"/>
                <w:szCs w:val="18"/>
              </w:rPr>
            </w:pPr>
          </w:p>
        </w:tc>
      </w:tr>
      <w:tr w:rsidR="006820D5" w:rsidRPr="00BD679D" w14:paraId="77815322" w14:textId="6EC8053B" w:rsidTr="006820D5">
        <w:trPr>
          <w:trHeight w:val="310"/>
        </w:trPr>
        <w:tc>
          <w:tcPr>
            <w:tcW w:w="198" w:type="pct"/>
            <w:vMerge/>
            <w:shd w:val="clear" w:color="auto" w:fill="D0CECE" w:themeFill="background2" w:themeFillShade="E6"/>
            <w:vAlign w:val="center"/>
            <w:hideMark/>
          </w:tcPr>
          <w:p w14:paraId="31BEA8D4" w14:textId="77777777" w:rsidR="006820D5" w:rsidRPr="00C226F8" w:rsidRDefault="006820D5" w:rsidP="00C226F8">
            <w:pPr>
              <w:pStyle w:val="NoSpacing"/>
              <w:jc w:val="center"/>
              <w:rPr>
                <w:b/>
                <w:bCs/>
              </w:rPr>
            </w:pPr>
          </w:p>
        </w:tc>
        <w:tc>
          <w:tcPr>
            <w:tcW w:w="1155" w:type="pct"/>
            <w:shd w:val="clear" w:color="auto" w:fill="auto"/>
            <w:noWrap/>
            <w:vAlign w:val="center"/>
            <w:hideMark/>
          </w:tcPr>
          <w:p w14:paraId="7A5F9C10" w14:textId="77777777" w:rsidR="006820D5" w:rsidRPr="00B035C5" w:rsidRDefault="006820D5" w:rsidP="00B035C5">
            <w:pPr>
              <w:pStyle w:val="NoSpacing"/>
            </w:pPr>
            <w:proofErr w:type="spellStart"/>
            <w:r w:rsidRPr="00B035C5">
              <w:t>rr_wasting_SGA_and_preterm</w:t>
            </w:r>
            <w:proofErr w:type="spellEnd"/>
          </w:p>
        </w:tc>
        <w:tc>
          <w:tcPr>
            <w:tcW w:w="680" w:type="pct"/>
            <w:shd w:val="clear" w:color="auto" w:fill="auto"/>
            <w:noWrap/>
            <w:vAlign w:val="bottom"/>
            <w:hideMark/>
          </w:tcPr>
          <w:p w14:paraId="40F303DB" w14:textId="77777777" w:rsidR="006820D5" w:rsidRPr="00B035C5" w:rsidRDefault="006820D5" w:rsidP="00B035C5">
            <w:pPr>
              <w:pStyle w:val="NoSpacing"/>
            </w:pPr>
            <w:r w:rsidRPr="00B035C5">
              <w:t>3.09</w:t>
            </w:r>
          </w:p>
        </w:tc>
        <w:tc>
          <w:tcPr>
            <w:tcW w:w="474" w:type="pct"/>
            <w:shd w:val="clear" w:color="auto" w:fill="auto"/>
            <w:vAlign w:val="bottom"/>
            <w:hideMark/>
          </w:tcPr>
          <w:p w14:paraId="45E7ADB8" w14:textId="2ABA613C"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693" w:type="pct"/>
            <w:shd w:val="clear" w:color="auto" w:fill="auto"/>
            <w:noWrap/>
            <w:vAlign w:val="bottom"/>
            <w:hideMark/>
          </w:tcPr>
          <w:p w14:paraId="6400386B" w14:textId="77777777" w:rsidR="006820D5" w:rsidRPr="00B035C5" w:rsidRDefault="006820D5" w:rsidP="00B035C5">
            <w:pPr>
              <w:pStyle w:val="NoSpacing"/>
            </w:pPr>
            <w:r w:rsidRPr="00B035C5">
              <w:t>relative rate of wasting if born small for gestational age and preterm</w:t>
            </w:r>
          </w:p>
        </w:tc>
        <w:tc>
          <w:tcPr>
            <w:tcW w:w="800" w:type="pct"/>
            <w:vMerge/>
          </w:tcPr>
          <w:p w14:paraId="0A7DACD6" w14:textId="77777777" w:rsidR="006820D5" w:rsidRPr="006820D5" w:rsidRDefault="006820D5" w:rsidP="00B035C5">
            <w:pPr>
              <w:pStyle w:val="NoSpacing"/>
              <w:rPr>
                <w:sz w:val="18"/>
                <w:szCs w:val="18"/>
              </w:rPr>
            </w:pPr>
          </w:p>
        </w:tc>
      </w:tr>
      <w:tr w:rsidR="003229FE" w:rsidRPr="00BD679D" w14:paraId="1C205660" w14:textId="125C3FB9" w:rsidTr="006820D5">
        <w:trPr>
          <w:trHeight w:val="310"/>
        </w:trPr>
        <w:tc>
          <w:tcPr>
            <w:tcW w:w="198" w:type="pct"/>
            <w:vMerge/>
            <w:shd w:val="clear" w:color="auto" w:fill="D0CECE" w:themeFill="background2" w:themeFillShade="E6"/>
            <w:vAlign w:val="center"/>
            <w:hideMark/>
          </w:tcPr>
          <w:p w14:paraId="375F3FA1"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5C18DC21" w14:textId="77777777" w:rsidR="003229FE" w:rsidRPr="00B035C5" w:rsidRDefault="003229FE" w:rsidP="00B035C5">
            <w:pPr>
              <w:pStyle w:val="NoSpacing"/>
            </w:pPr>
            <w:proofErr w:type="spellStart"/>
            <w:r w:rsidRPr="00B035C5">
              <w:t>min_days_duration_of_wasting</w:t>
            </w:r>
            <w:proofErr w:type="spellEnd"/>
          </w:p>
        </w:tc>
        <w:tc>
          <w:tcPr>
            <w:tcW w:w="680" w:type="pct"/>
            <w:shd w:val="clear" w:color="auto" w:fill="auto"/>
            <w:noWrap/>
            <w:vAlign w:val="bottom"/>
            <w:hideMark/>
          </w:tcPr>
          <w:p w14:paraId="40C1B342" w14:textId="77777777" w:rsidR="003229FE" w:rsidRPr="00B035C5" w:rsidRDefault="003229FE" w:rsidP="00B035C5">
            <w:pPr>
              <w:pStyle w:val="NoSpacing"/>
            </w:pPr>
            <w:r w:rsidRPr="00B035C5">
              <w:t>14</w:t>
            </w:r>
          </w:p>
        </w:tc>
        <w:tc>
          <w:tcPr>
            <w:tcW w:w="474" w:type="pct"/>
            <w:shd w:val="clear" w:color="auto" w:fill="auto"/>
            <w:noWrap/>
            <w:vAlign w:val="bottom"/>
            <w:hideMark/>
          </w:tcPr>
          <w:p w14:paraId="6206B993" w14:textId="77777777" w:rsidR="003229FE" w:rsidRPr="00B035C5" w:rsidRDefault="003229FE" w:rsidP="00A74826">
            <w:pPr>
              <w:pStyle w:val="NoSpacing"/>
              <w:rPr>
                <w:rFonts w:ascii="Calibri" w:hAnsi="Calibri" w:cs="Calibri"/>
                <w:color w:val="000000"/>
                <w:sz w:val="18"/>
                <w:szCs w:val="18"/>
                <w:lang w:eastAsia="en-GB"/>
              </w:rPr>
            </w:pPr>
            <w:r w:rsidRPr="00B035C5">
              <w:rPr>
                <w:rFonts w:ascii="Calibri" w:hAnsi="Calibri" w:cs="Calibri"/>
                <w:color w:val="000000"/>
                <w:sz w:val="18"/>
                <w:szCs w:val="18"/>
                <w:lang w:eastAsia="en-GB"/>
              </w:rPr>
              <w:t>assumed</w:t>
            </w:r>
          </w:p>
        </w:tc>
        <w:tc>
          <w:tcPr>
            <w:tcW w:w="1693" w:type="pct"/>
            <w:shd w:val="clear" w:color="auto" w:fill="auto"/>
            <w:noWrap/>
            <w:vAlign w:val="bottom"/>
            <w:hideMark/>
          </w:tcPr>
          <w:p w14:paraId="370A2AFF" w14:textId="0A4E2F92" w:rsidR="003229FE" w:rsidRPr="00B035C5" w:rsidRDefault="003229FE" w:rsidP="00B035C5">
            <w:pPr>
              <w:pStyle w:val="NoSpacing"/>
            </w:pPr>
            <w:r w:rsidRPr="00B035C5">
              <w:t>minimum duration of wasting episode</w:t>
            </w:r>
          </w:p>
        </w:tc>
        <w:tc>
          <w:tcPr>
            <w:tcW w:w="800" w:type="pct"/>
          </w:tcPr>
          <w:p w14:paraId="78055599" w14:textId="77777777" w:rsidR="003229FE" w:rsidRPr="006820D5" w:rsidRDefault="003229FE" w:rsidP="00B035C5">
            <w:pPr>
              <w:pStyle w:val="NoSpacing"/>
              <w:rPr>
                <w:sz w:val="18"/>
                <w:szCs w:val="18"/>
              </w:rPr>
            </w:pPr>
          </w:p>
        </w:tc>
      </w:tr>
      <w:tr w:rsidR="003229FE" w:rsidRPr="00BD679D" w14:paraId="3F9749BB" w14:textId="7FB1D407" w:rsidTr="006820D5">
        <w:trPr>
          <w:trHeight w:val="320"/>
        </w:trPr>
        <w:tc>
          <w:tcPr>
            <w:tcW w:w="198" w:type="pct"/>
            <w:vMerge/>
            <w:shd w:val="clear" w:color="auto" w:fill="D0CECE" w:themeFill="background2" w:themeFillShade="E6"/>
            <w:vAlign w:val="center"/>
            <w:hideMark/>
          </w:tcPr>
          <w:p w14:paraId="1F9E5D45"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196CE2FB" w14:textId="77777777" w:rsidR="003229FE" w:rsidRPr="00B035C5" w:rsidRDefault="003229FE" w:rsidP="00B035C5">
            <w:pPr>
              <w:pStyle w:val="NoSpacing"/>
            </w:pPr>
            <w:proofErr w:type="spellStart"/>
            <w:r w:rsidRPr="00B035C5">
              <w:t>average_duration_of_untreated_MAM</w:t>
            </w:r>
            <w:proofErr w:type="spellEnd"/>
          </w:p>
        </w:tc>
        <w:tc>
          <w:tcPr>
            <w:tcW w:w="680" w:type="pct"/>
            <w:shd w:val="clear" w:color="auto" w:fill="auto"/>
            <w:noWrap/>
            <w:vAlign w:val="bottom"/>
            <w:hideMark/>
          </w:tcPr>
          <w:p w14:paraId="014C7288" w14:textId="77777777" w:rsidR="003229FE" w:rsidRPr="00B035C5" w:rsidRDefault="003229FE" w:rsidP="00B035C5">
            <w:pPr>
              <w:pStyle w:val="NoSpacing"/>
            </w:pPr>
            <w:r w:rsidRPr="00B035C5">
              <w:t>81</w:t>
            </w:r>
          </w:p>
        </w:tc>
        <w:tc>
          <w:tcPr>
            <w:tcW w:w="474" w:type="pct"/>
            <w:shd w:val="clear" w:color="auto" w:fill="auto"/>
            <w:noWrap/>
            <w:vAlign w:val="bottom"/>
            <w:hideMark/>
          </w:tcPr>
          <w:p w14:paraId="6CD2797C" w14:textId="2AF1EB9F"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C12542">
              <w:rPr>
                <w:rFonts w:ascii="Calibri" w:hAnsi="Calibri" w:cs="Calibri"/>
                <w:color w:val="000000"/>
                <w:szCs w:val="21"/>
                <w:lang w:eastAsia="en-GB"/>
              </w:rPr>
              <w:instrText>ADDIN CSL_CITATION {"citationItems":[{"id":"ITEM-1","itemData":{"DOI":"10.1093/aje/kwq436","ISSN":"0002-9262","abstract":"Expected incidence of acute malnutrition is the most appropriate measure for projecting the needs of a nutritional treatment program over time in terms of staffing, food, and other treatments, but direct estimation of incidence is rarely feasible at the onset of an intervention. While incidence may be approximated as prevalence/average duration, ethical constraints preclude measurement of the duration of acute malnutrition in the absence of treatment. The authors used a compartmental model to estimate the duration of untreated moderate acute malnutrition (MAM) and severe acute malnutrition (SAM) in children aged 6-60 months. The model was informed by data from a community-based cohort of children in Niger followed from August 2006 to March 2007. Maximum likelihood estimates for the duration of untreated MAM, defined by weight-for-height z score and middle upper arm circumference, were 75-81 days and 101-116 days, respectively. The duration of untreated SAM, defined by weight-for-height z score, was 45 days. The duration of untreated MAM appears to have been shorter among children aged 6-35 months compared with those aged 36-60 months. Such estimates of the duration, and thus incidence, of untreated malnutrition can be used to improve projections of program needs and estimates of the global burden of acute malnutrition. © 2011 The Author.","author":[{"dropping-particle":"","family":"Isanaka","given":"S.","non-dropping-particle":"","parse-names":false,"suffix":""},{"dropping-particle":"","family":"Grais","given":"R. F.","non-dropping-particle":"","parse-names":false,"suffix":""},{"dropping-particle":"","family":"Briend","given":"A.","non-dropping-particle":"","parse-names":false,"suffix":""},{"dropping-particle":"","family":"Checchi","given":"F.","non-dropping-particle":"","parse-names":false,"suffix":""}],"container-title":"American Journal of Epidemiology","id":"ITEM-1","issue":"8","issued":{"date-parts":[["2011","4","15"]]},"page":"932-940","publisher":"Oxford Academic","title":"Estimates of the Duration of Untreated Acute Malnutrition in Children From Niger","type":"article-journal","volume":"173"},"uris":["http://www.mendeley.com/documents/?uuid=47abac88-383d-315c-bd25-a4adbe9adcb2"]}],"mendeley":{"formattedCitation":"&lt;sup&gt;5&lt;/sup&gt;","plainTextFormattedCitation":"5","previouslyFormattedCitation":"&lt;sup&gt;5&lt;/sup&gt;"},"properties":{"noteIndex":0},"schema":"https://github.com/citation-style-language/schema/raw/master/csl-citation.json"}</w:instrText>
            </w:r>
            <w:r>
              <w:rPr>
                <w:rFonts w:ascii="Calibri" w:hAnsi="Calibri" w:cs="Calibri"/>
                <w:color w:val="000000"/>
                <w:szCs w:val="21"/>
                <w:lang w:eastAsia="en-GB"/>
              </w:rPr>
              <w:fldChar w:fldCharType="separate"/>
            </w:r>
            <w:r w:rsidR="00304913" w:rsidRPr="00304913">
              <w:rPr>
                <w:rFonts w:ascii="Calibri" w:hAnsi="Calibri" w:cs="Calibri"/>
                <w:noProof/>
                <w:color w:val="000000"/>
                <w:szCs w:val="21"/>
                <w:vertAlign w:val="superscript"/>
                <w:lang w:eastAsia="en-GB"/>
              </w:rPr>
              <w:t>5</w:t>
            </w:r>
            <w:r>
              <w:rPr>
                <w:rFonts w:ascii="Calibri" w:hAnsi="Calibri" w:cs="Calibri"/>
                <w:color w:val="000000"/>
                <w:szCs w:val="21"/>
                <w:lang w:eastAsia="en-GB"/>
              </w:rPr>
              <w:fldChar w:fldCharType="end"/>
            </w:r>
          </w:p>
        </w:tc>
        <w:tc>
          <w:tcPr>
            <w:tcW w:w="1693" w:type="pct"/>
            <w:shd w:val="clear" w:color="auto" w:fill="auto"/>
            <w:noWrap/>
            <w:vAlign w:val="bottom"/>
            <w:hideMark/>
          </w:tcPr>
          <w:p w14:paraId="618B7F16" w14:textId="77777777" w:rsidR="003229FE" w:rsidRPr="00B035C5" w:rsidRDefault="003229FE" w:rsidP="00B035C5">
            <w:pPr>
              <w:pStyle w:val="NoSpacing"/>
            </w:pPr>
            <w:r w:rsidRPr="00B035C5">
              <w:t>average duration of untreated MAM, assumed for moderate wasting</w:t>
            </w:r>
          </w:p>
        </w:tc>
        <w:tc>
          <w:tcPr>
            <w:tcW w:w="800" w:type="pct"/>
          </w:tcPr>
          <w:p w14:paraId="641FFDB6" w14:textId="7D48B5B3" w:rsidR="003229FE" w:rsidRPr="006820D5" w:rsidRDefault="006820D5" w:rsidP="00B035C5">
            <w:pPr>
              <w:pStyle w:val="NoSpacing"/>
              <w:rPr>
                <w:sz w:val="18"/>
                <w:szCs w:val="18"/>
              </w:rPr>
            </w:pPr>
            <w:r w:rsidRPr="006820D5">
              <w:rPr>
                <w:sz w:val="18"/>
                <w:szCs w:val="18"/>
              </w:rPr>
              <w:t>assumed to be duration for moderate wasting</w:t>
            </w:r>
          </w:p>
        </w:tc>
      </w:tr>
      <w:tr w:rsidR="003229FE" w:rsidRPr="00BD679D" w14:paraId="246B16C6" w14:textId="3A5521FC" w:rsidTr="006820D5">
        <w:trPr>
          <w:trHeight w:val="310"/>
        </w:trPr>
        <w:tc>
          <w:tcPr>
            <w:tcW w:w="198" w:type="pct"/>
            <w:vMerge w:val="restart"/>
            <w:shd w:val="clear" w:color="auto" w:fill="D0CECE" w:themeFill="background2" w:themeFillShade="E6"/>
            <w:noWrap/>
            <w:textDirection w:val="btLr"/>
            <w:vAlign w:val="bottom"/>
            <w:hideMark/>
          </w:tcPr>
          <w:p w14:paraId="29F46380" w14:textId="77777777" w:rsidR="003229FE" w:rsidRPr="00C226F8" w:rsidRDefault="003229FE" w:rsidP="00C226F8">
            <w:pPr>
              <w:pStyle w:val="NoSpacing"/>
              <w:jc w:val="center"/>
              <w:rPr>
                <w:b/>
                <w:bCs/>
              </w:rPr>
            </w:pPr>
            <w:r w:rsidRPr="00C226F8">
              <w:rPr>
                <w:b/>
                <w:bCs/>
              </w:rPr>
              <w:t>Progression</w:t>
            </w:r>
          </w:p>
        </w:tc>
        <w:tc>
          <w:tcPr>
            <w:tcW w:w="1155" w:type="pct"/>
            <w:shd w:val="clear" w:color="auto" w:fill="auto"/>
            <w:noWrap/>
            <w:vAlign w:val="center"/>
            <w:hideMark/>
          </w:tcPr>
          <w:p w14:paraId="1F99F3CD" w14:textId="77777777" w:rsidR="003229FE" w:rsidRPr="00B035C5" w:rsidRDefault="003229FE" w:rsidP="00B035C5">
            <w:pPr>
              <w:pStyle w:val="NoSpacing"/>
            </w:pPr>
            <w:proofErr w:type="spellStart"/>
            <w:r w:rsidRPr="00B035C5">
              <w:t>progression_severe_wasting_by_agegp</w:t>
            </w:r>
            <w:proofErr w:type="spellEnd"/>
          </w:p>
        </w:tc>
        <w:tc>
          <w:tcPr>
            <w:tcW w:w="680" w:type="pct"/>
            <w:shd w:val="clear" w:color="auto" w:fill="auto"/>
            <w:noWrap/>
            <w:vAlign w:val="bottom"/>
            <w:hideMark/>
          </w:tcPr>
          <w:p w14:paraId="702AD231" w14:textId="6D653AB8" w:rsidR="003229FE" w:rsidRPr="00B035C5" w:rsidRDefault="003229FE" w:rsidP="00B035C5">
            <w:pPr>
              <w:pStyle w:val="NoSpacing"/>
            </w:pPr>
            <w:r w:rsidRPr="00B035C5">
              <w:t>[0.02, 0.03, 0.09, 0.05, 0.04, 0.03]</w:t>
            </w:r>
          </w:p>
        </w:tc>
        <w:tc>
          <w:tcPr>
            <w:tcW w:w="474" w:type="pct"/>
            <w:shd w:val="clear" w:color="auto" w:fill="auto"/>
            <w:noWrap/>
            <w:vAlign w:val="bottom"/>
            <w:hideMark/>
          </w:tcPr>
          <w:p w14:paraId="35CE9005" w14:textId="5F4C0676"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{"citationItems":[{"id":"ITEM-1","itemData":{"DOI":"10.1046/j.1365-3016.2003.00519.x","ISSN":"02695022","PMID":"14629321","abstract":"We prospectively followed up a population-based cohort of 767 rural Malawian children from birth to 36 months to characterise the timing and predictors of malnutrition. Underweight and wasting incidence peaked between 6 and 18 months of age, whereas stunting incidence was highest during the first 6 months of age. After infancy about 40% of the children were underweight, 70% stunted, and about 4% wasted. Small size during the first 3 months of life predicted the incidence of severe underweight (relative risk [95% confidence interval], 1.8 [0.9, 3.4]), severe stunting (2.1 [1.3, 3.4]), and moderate wasting (2.0 [1.1, 3.5]). Children with many illness episodes in infancy had a twofold risk for the development of severe underweight and moderate wasting. Severe underweight was further predicted by residence far away from a health facility and moderate wasting by maternal HIV infection. Our conclusion is that the intrauterine period and first 6 months of life are critical for the development of stunting whereas the subsequent year is more critical for the development of underweight and wasting. Strategies combating intrauterine growth retardation, maternal HIV and infant morbidity are likely to reduce the burden of malnutrition in this population.","author":[{"dropping-particle":"","family":"Maleta","given":"Kenneth","non-dropping-particle":"","parse-names":false,"suffix":""},{"dropping-particle":"","family":"Virtanen","given":"Suvi M.","non-dropping-particle":"","parse-names":false,"suffix":""},{"dropping-particle":"","family":"Espo","given":"Merimaaria","non-dropping-particle":"","parse-names":false,"suffix":""},{"dropping-particle":"","family":"Kulmala","given":"Teija","non-dropping-particle":"","parse-names":false,"suffix":""},{"dropping-particle":"","family":"Ashorn","given":"Per","non-dropping-particle":"","parse-names":false,"suffix":""}],"container-title":"Paediatric and Perinatal Epidemiology","id":"ITEM-1","issue":"4","issued":{"date-parts":[["2003","10"]]},"page":"384-390","title":"Childhood malnutrition and its predictors in rural Malawi","type":"article-journal","volume":"17"},"uris":["http://www.mendeley.com/documents/?uuid=ae85bf81-f3e5-3c6e-bda8-3c96df5631b4"]}],"mendeley":{"formattedCitation":"&lt;sup&gt;11&lt;/sup&gt;","plainTextFormattedCitation":"11","previouslyFormattedCitation":"&lt;sup&gt;11&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11</w:t>
            </w:r>
            <w:r>
              <w:rPr>
                <w:rFonts w:ascii="Calibri" w:hAnsi="Calibri" w:cs="Calibri"/>
                <w:color w:val="000000"/>
                <w:szCs w:val="21"/>
                <w:lang w:eastAsia="en-GB"/>
              </w:rPr>
              <w:fldChar w:fldCharType="end"/>
            </w:r>
          </w:p>
        </w:tc>
        <w:tc>
          <w:tcPr>
            <w:tcW w:w="1693" w:type="pct"/>
            <w:shd w:val="clear" w:color="auto" w:fill="auto"/>
            <w:noWrap/>
            <w:vAlign w:val="bottom"/>
            <w:hideMark/>
          </w:tcPr>
          <w:p w14:paraId="5077F126" w14:textId="77777777" w:rsidR="003229FE" w:rsidRPr="00B035C5" w:rsidRDefault="003229FE" w:rsidP="00B035C5">
            <w:pPr>
              <w:pStyle w:val="NoSpacing"/>
            </w:pPr>
            <w:r w:rsidRPr="00B035C5">
              <w:t>risk of progression to severe wasting (WHZ&lt;-3) by age group</w:t>
            </w:r>
          </w:p>
        </w:tc>
        <w:tc>
          <w:tcPr>
            <w:tcW w:w="800" w:type="pct"/>
          </w:tcPr>
          <w:p w14:paraId="6F05857A" w14:textId="2E333B3F" w:rsidR="003229FE" w:rsidRPr="006820D5" w:rsidRDefault="006820D5" w:rsidP="00B035C5">
            <w:pPr>
              <w:pStyle w:val="NoSpacing"/>
              <w:rPr>
                <w:sz w:val="18"/>
                <w:szCs w:val="18"/>
              </w:rPr>
            </w:pPr>
            <w:r w:rsidRPr="006820D5">
              <w:rPr>
                <w:sz w:val="18"/>
                <w:szCs w:val="18"/>
              </w:rPr>
              <w:t>estimates will be calculated from the study dataset, currently dummy values</w:t>
            </w:r>
          </w:p>
        </w:tc>
      </w:tr>
      <w:tr w:rsidR="003229FE" w:rsidRPr="00BD679D" w14:paraId="03067C3E" w14:textId="41DE9DB8" w:rsidTr="006820D5">
        <w:trPr>
          <w:trHeight w:val="320"/>
        </w:trPr>
        <w:tc>
          <w:tcPr>
            <w:tcW w:w="198" w:type="pct"/>
            <w:vMerge/>
            <w:shd w:val="clear" w:color="auto" w:fill="D0CECE" w:themeFill="background2" w:themeFillShade="E6"/>
            <w:vAlign w:val="center"/>
            <w:hideMark/>
          </w:tcPr>
          <w:p w14:paraId="3B5566D9"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56576028" w14:textId="77777777" w:rsidR="003229FE" w:rsidRPr="00B035C5" w:rsidRDefault="003229FE" w:rsidP="00B035C5">
            <w:pPr>
              <w:pStyle w:val="NoSpacing"/>
            </w:pPr>
            <w:proofErr w:type="spellStart"/>
            <w:r w:rsidRPr="00B035C5">
              <w:t>average_duration_of_untreated_SAM</w:t>
            </w:r>
            <w:proofErr w:type="spellEnd"/>
          </w:p>
        </w:tc>
        <w:tc>
          <w:tcPr>
            <w:tcW w:w="680" w:type="pct"/>
            <w:shd w:val="clear" w:color="auto" w:fill="auto"/>
            <w:noWrap/>
            <w:vAlign w:val="bottom"/>
            <w:hideMark/>
          </w:tcPr>
          <w:p w14:paraId="7110C9C0" w14:textId="77777777" w:rsidR="003229FE" w:rsidRPr="00B035C5" w:rsidRDefault="003229FE" w:rsidP="00B035C5">
            <w:pPr>
              <w:pStyle w:val="NoSpacing"/>
            </w:pPr>
            <w:r w:rsidRPr="00B035C5">
              <w:t>45</w:t>
            </w:r>
          </w:p>
        </w:tc>
        <w:tc>
          <w:tcPr>
            <w:tcW w:w="474" w:type="pct"/>
            <w:shd w:val="clear" w:color="auto" w:fill="auto"/>
            <w:noWrap/>
            <w:vAlign w:val="bottom"/>
            <w:hideMark/>
          </w:tcPr>
          <w:p w14:paraId="2C18C82E" w14:textId="44363C51"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C12542">
              <w:rPr>
                <w:rFonts w:ascii="Calibri" w:hAnsi="Calibri" w:cs="Calibri"/>
                <w:color w:val="000000"/>
                <w:szCs w:val="21"/>
                <w:lang w:eastAsia="en-GB"/>
              </w:rPr>
              <w:instrText>ADDIN CSL_CITATION {"citationItems":[{"id":"ITEM-1","itemData":{"DOI":"10.1093/aje/kwq436","ISSN":"0002-9262","abstract":"Expected incidence of acute malnutrition is the most appropriate measure for projecting the needs of a nutritional treatment program over time in terms of staffing, food, and other treatments, but direct estimation of incidence is rarely feasible at the onset of an intervention. While incidence may be approximated as prevalence/average duration, ethical constraints preclude measurement of the duration of acute malnutrition in the absence of treatment. The authors used a compartmental model to estimate the duration of untreated moderate acute malnutrition (MAM) and severe acute malnutrition (SAM) in children aged 6-60 months. The model was informed by data from a community-based cohort of children in Niger followed from August 2006 to March 2007. Maximum likelihood estimates for the duration of untreated MAM, defined by weight-for-height z score and middle upper arm circumference, were 75-81 days and 101-116 days, respectively. The duration of untreated SAM, defined by weight-for-height z score, was 45 days. The duration of untreated MAM appears to have been shorter among children aged 6-35 months compared with those aged 36-60 months. Such estimates of the duration, and thus incidence, of untreated malnutrition can be used to improve projections of program needs and estimates of the global burden of acute malnutrition. © 2011 The Author.","author":[{"dropping-particle":"","family":"Isanaka","given":"S.","non-dropping-particle":"","parse-names":false,"suffix":""},{"dropping-particle":"","family":"Grais","given":"R. F.","non-dropping-particle":"","parse-names":false,"suffix":""},{"dropping-particle":"","family":"Briend","given":"A.","non-dropping-particle":"","parse-names":false,"suffix":""},{"dropping-particle":"","family":"Checchi","given":"F.","non-dropping-particle":"","parse-names":false,"suffix":""}],"container-title":"American Journal of Epidemiology","id":"ITEM-1","issue":"8","issued":{"date-parts":[["2011","4","15"]]},"page":"932-940","publisher":"Oxford Academic","title":"Estimates of the Duration of Untreated Acute Malnutrition in Children From Niger","type":"article-journal","volume":"173"},"uris":["http://www.mendeley.com/documents/?uuid=47abac88-383d-315c-bd25-a4adbe9adcb2"]}],"mendeley":{"formattedCitation":"&lt;sup&gt;5&lt;/sup&gt;","plainTextFormattedCitation":"5","previouslyFormattedCitation":"&lt;sup&gt;5&lt;/sup&gt;"},"properties":{"noteIndex":0},"schema":"https://github.com/citation-style-language/schema/raw/master/csl-citation.json"}</w:instrText>
            </w:r>
            <w:r>
              <w:rPr>
                <w:rFonts w:ascii="Calibri" w:hAnsi="Calibri" w:cs="Calibri"/>
                <w:color w:val="000000"/>
                <w:szCs w:val="21"/>
                <w:lang w:eastAsia="en-GB"/>
              </w:rPr>
              <w:fldChar w:fldCharType="separate"/>
            </w:r>
            <w:r w:rsidR="00304913" w:rsidRPr="00304913">
              <w:rPr>
                <w:rFonts w:ascii="Calibri" w:hAnsi="Calibri" w:cs="Calibri"/>
                <w:noProof/>
                <w:color w:val="000000"/>
                <w:szCs w:val="21"/>
                <w:vertAlign w:val="superscript"/>
                <w:lang w:eastAsia="en-GB"/>
              </w:rPr>
              <w:t>5</w:t>
            </w:r>
            <w:r>
              <w:rPr>
                <w:rFonts w:ascii="Calibri" w:hAnsi="Calibri" w:cs="Calibri"/>
                <w:color w:val="000000"/>
                <w:szCs w:val="21"/>
                <w:lang w:eastAsia="en-GB"/>
              </w:rPr>
              <w:fldChar w:fldCharType="end"/>
            </w:r>
          </w:p>
        </w:tc>
        <w:tc>
          <w:tcPr>
            <w:tcW w:w="1693" w:type="pct"/>
            <w:shd w:val="clear" w:color="auto" w:fill="auto"/>
            <w:noWrap/>
            <w:vAlign w:val="bottom"/>
            <w:hideMark/>
          </w:tcPr>
          <w:p w14:paraId="4DC4693F" w14:textId="77777777" w:rsidR="003229FE" w:rsidRPr="00B035C5" w:rsidRDefault="003229FE" w:rsidP="00B035C5">
            <w:pPr>
              <w:pStyle w:val="NoSpacing"/>
            </w:pPr>
            <w:r w:rsidRPr="00B035C5">
              <w:t>average duration of untreated SAM, assumed for severe wasting</w:t>
            </w:r>
          </w:p>
        </w:tc>
        <w:tc>
          <w:tcPr>
            <w:tcW w:w="800" w:type="pct"/>
          </w:tcPr>
          <w:p w14:paraId="14557430" w14:textId="5DAB4F67" w:rsidR="003229FE" w:rsidRPr="006820D5" w:rsidRDefault="006820D5" w:rsidP="00B035C5">
            <w:pPr>
              <w:pStyle w:val="NoSpacing"/>
              <w:rPr>
                <w:sz w:val="18"/>
                <w:szCs w:val="18"/>
              </w:rPr>
            </w:pPr>
            <w:r w:rsidRPr="006820D5">
              <w:rPr>
                <w:sz w:val="18"/>
                <w:szCs w:val="18"/>
              </w:rPr>
              <w:t>assumed to be duration for severe wasting</w:t>
            </w:r>
          </w:p>
        </w:tc>
      </w:tr>
      <w:tr w:rsidR="006820D5" w:rsidRPr="00BD679D" w14:paraId="34EA9974" w14:textId="2D570ED6" w:rsidTr="006820D5">
        <w:trPr>
          <w:trHeight w:val="310"/>
        </w:trPr>
        <w:tc>
          <w:tcPr>
            <w:tcW w:w="198" w:type="pct"/>
            <w:vMerge w:val="restart"/>
            <w:shd w:val="clear" w:color="auto" w:fill="D0CECE" w:themeFill="background2" w:themeFillShade="E6"/>
            <w:noWrap/>
            <w:textDirection w:val="btLr"/>
            <w:vAlign w:val="bottom"/>
            <w:hideMark/>
          </w:tcPr>
          <w:p w14:paraId="2AD90EA5" w14:textId="77777777" w:rsidR="006820D5" w:rsidRPr="00C226F8" w:rsidRDefault="006820D5" w:rsidP="002C0F9A">
            <w:pPr>
              <w:pStyle w:val="NoSpacing"/>
              <w:rPr>
                <w:b/>
                <w:bCs/>
              </w:rPr>
            </w:pPr>
            <w:r w:rsidRPr="00C226F8">
              <w:rPr>
                <w:b/>
                <w:bCs/>
              </w:rPr>
              <w:lastRenderedPageBreak/>
              <w:t>Clinical acute malnutrition</w:t>
            </w:r>
          </w:p>
        </w:tc>
        <w:tc>
          <w:tcPr>
            <w:tcW w:w="1155" w:type="pct"/>
            <w:shd w:val="clear" w:color="auto" w:fill="auto"/>
            <w:noWrap/>
            <w:vAlign w:val="bottom"/>
            <w:hideMark/>
          </w:tcPr>
          <w:p w14:paraId="6413ABA7" w14:textId="77777777" w:rsidR="006820D5" w:rsidRPr="00B035C5" w:rsidRDefault="006820D5" w:rsidP="00B035C5">
            <w:pPr>
              <w:pStyle w:val="NoSpacing"/>
            </w:pPr>
            <w:proofErr w:type="spellStart"/>
            <w:r w:rsidRPr="00B035C5">
              <w:t>proportion_WHZ</w:t>
            </w:r>
            <w:proofErr w:type="spellEnd"/>
            <w:r w:rsidRPr="00B035C5">
              <w:t>&lt;-3_with_MUAC&lt;115mm</w:t>
            </w:r>
          </w:p>
        </w:tc>
        <w:tc>
          <w:tcPr>
            <w:tcW w:w="680" w:type="pct"/>
            <w:shd w:val="clear" w:color="auto" w:fill="auto"/>
            <w:noWrap/>
            <w:vAlign w:val="bottom"/>
            <w:hideMark/>
          </w:tcPr>
          <w:p w14:paraId="61AD2319" w14:textId="77777777" w:rsidR="006820D5" w:rsidRPr="00B035C5" w:rsidRDefault="006820D5" w:rsidP="00B035C5">
            <w:pPr>
              <w:pStyle w:val="NoSpacing"/>
            </w:pPr>
            <w:r w:rsidRPr="00B035C5">
              <w:t>0.4012</w:t>
            </w:r>
          </w:p>
        </w:tc>
        <w:tc>
          <w:tcPr>
            <w:tcW w:w="474" w:type="pct"/>
            <w:shd w:val="clear" w:color="auto" w:fill="auto"/>
            <w:noWrap/>
            <w:vAlign w:val="bottom"/>
            <w:hideMark/>
          </w:tcPr>
          <w:p w14:paraId="4A285278" w14:textId="5F6125D9"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7</w:t>
            </w:r>
            <w:r>
              <w:rPr>
                <w:rFonts w:ascii="Calibri" w:hAnsi="Calibri" w:cs="Calibri"/>
                <w:color w:val="000000"/>
                <w:szCs w:val="21"/>
                <w:lang w:eastAsia="en-GB"/>
              </w:rPr>
              <w:fldChar w:fldCharType="end"/>
            </w:r>
          </w:p>
        </w:tc>
        <w:tc>
          <w:tcPr>
            <w:tcW w:w="1693" w:type="pct"/>
            <w:shd w:val="clear" w:color="auto" w:fill="auto"/>
            <w:noWrap/>
            <w:vAlign w:val="bottom"/>
            <w:hideMark/>
          </w:tcPr>
          <w:p w14:paraId="07F09E03" w14:textId="77777777" w:rsidR="006820D5" w:rsidRPr="00B035C5" w:rsidRDefault="006820D5" w:rsidP="00B035C5">
            <w:pPr>
              <w:pStyle w:val="NoSpacing"/>
            </w:pPr>
            <w:r w:rsidRPr="00B035C5">
              <w:t>proportion of severe weight-for-height Z-score with MUAC&lt;115mm</w:t>
            </w:r>
          </w:p>
        </w:tc>
        <w:tc>
          <w:tcPr>
            <w:tcW w:w="800" w:type="pct"/>
            <w:vMerge w:val="restart"/>
          </w:tcPr>
          <w:p w14:paraId="76B878DC" w14:textId="5CF6B59F" w:rsidR="006820D5" w:rsidRDefault="006820D5" w:rsidP="00B035C5">
            <w:pPr>
              <w:pStyle w:val="NoSpacing"/>
              <w:rPr>
                <w:sz w:val="18"/>
                <w:szCs w:val="18"/>
              </w:rPr>
            </w:pPr>
            <w:r>
              <w:rPr>
                <w:sz w:val="18"/>
                <w:szCs w:val="18"/>
              </w:rPr>
              <w:t>In the estimation of these values, it was assumed that all SAM cases would have WHZ&lt;-2, and not a normal WHZ.</w:t>
            </w:r>
          </w:p>
          <w:p w14:paraId="7FA28EBE" w14:textId="77777777" w:rsidR="00A80ABA" w:rsidRDefault="00A80ABA" w:rsidP="00B035C5">
            <w:pPr>
              <w:pStyle w:val="NoSpacing"/>
              <w:rPr>
                <w:sz w:val="18"/>
                <w:szCs w:val="18"/>
              </w:rPr>
            </w:pPr>
          </w:p>
          <w:p w14:paraId="7A4C9586" w14:textId="790C1B11" w:rsidR="006820D5" w:rsidRDefault="006820D5" w:rsidP="00B035C5">
            <w:pPr>
              <w:pStyle w:val="NoSpacing"/>
              <w:rPr>
                <w:sz w:val="18"/>
                <w:szCs w:val="18"/>
              </w:rPr>
            </w:pPr>
            <w:r w:rsidRPr="006820D5">
              <w:rPr>
                <w:sz w:val="18"/>
                <w:szCs w:val="18"/>
              </w:rPr>
              <w:t>(1-0.4012) will be WHZ&lt;-3 with MUAC between 115-125mm</w:t>
            </w:r>
          </w:p>
          <w:p w14:paraId="607754A2" w14:textId="77777777" w:rsidR="00A80ABA" w:rsidRDefault="00A80ABA" w:rsidP="00B035C5">
            <w:pPr>
              <w:pStyle w:val="NoSpacing"/>
              <w:rPr>
                <w:sz w:val="18"/>
                <w:szCs w:val="18"/>
              </w:rPr>
            </w:pPr>
          </w:p>
          <w:p w14:paraId="7FE0E076" w14:textId="2AA54AC0" w:rsidR="00A80ABA" w:rsidRPr="006820D5" w:rsidRDefault="00A80ABA" w:rsidP="00B035C5">
            <w:pPr>
              <w:pStyle w:val="NoSpacing"/>
              <w:rPr>
                <w:sz w:val="18"/>
                <w:szCs w:val="18"/>
              </w:rPr>
            </w:pPr>
            <w:r w:rsidRPr="00A80ABA">
              <w:rPr>
                <w:sz w:val="18"/>
                <w:szCs w:val="18"/>
              </w:rPr>
              <w:t>(1-0.3358-0.4081) will be -3&lt;=WHZ&lt;-2 with normal MUAC &gt;125mm</w:t>
            </w:r>
          </w:p>
        </w:tc>
      </w:tr>
      <w:tr w:rsidR="006820D5" w:rsidRPr="00BD679D" w14:paraId="2E398CD8" w14:textId="710FFBF6" w:rsidTr="006820D5">
        <w:trPr>
          <w:trHeight w:val="310"/>
        </w:trPr>
        <w:tc>
          <w:tcPr>
            <w:tcW w:w="198" w:type="pct"/>
            <w:vMerge/>
            <w:shd w:val="clear" w:color="auto" w:fill="D0CECE" w:themeFill="background2" w:themeFillShade="E6"/>
            <w:vAlign w:val="center"/>
            <w:hideMark/>
          </w:tcPr>
          <w:p w14:paraId="270DD21B" w14:textId="77777777" w:rsidR="006820D5" w:rsidRPr="00C226F8" w:rsidRDefault="006820D5" w:rsidP="00C226F8">
            <w:pPr>
              <w:pStyle w:val="NoSpacing"/>
              <w:jc w:val="center"/>
              <w:rPr>
                <w:b/>
                <w:bCs/>
              </w:rPr>
            </w:pPr>
          </w:p>
        </w:tc>
        <w:tc>
          <w:tcPr>
            <w:tcW w:w="1155" w:type="pct"/>
            <w:shd w:val="clear" w:color="auto" w:fill="auto"/>
            <w:noWrap/>
            <w:vAlign w:val="bottom"/>
            <w:hideMark/>
          </w:tcPr>
          <w:p w14:paraId="58421CEA" w14:textId="77777777" w:rsidR="006820D5" w:rsidRPr="00B035C5" w:rsidRDefault="006820D5" w:rsidP="00B035C5">
            <w:pPr>
              <w:pStyle w:val="NoSpacing"/>
            </w:pPr>
            <w:r w:rsidRPr="00B035C5">
              <w:t>proportion_-3&lt;=WHZ&lt;-2_with_MUAC&lt;115mm</w:t>
            </w:r>
          </w:p>
        </w:tc>
        <w:tc>
          <w:tcPr>
            <w:tcW w:w="680" w:type="pct"/>
            <w:shd w:val="clear" w:color="auto" w:fill="auto"/>
            <w:noWrap/>
            <w:vAlign w:val="bottom"/>
            <w:hideMark/>
          </w:tcPr>
          <w:p w14:paraId="7B5C254E" w14:textId="77777777" w:rsidR="006820D5" w:rsidRPr="00B035C5" w:rsidRDefault="006820D5" w:rsidP="00B035C5">
            <w:pPr>
              <w:pStyle w:val="NoSpacing"/>
            </w:pPr>
            <w:r w:rsidRPr="00B035C5">
              <w:t>0.3358</w:t>
            </w:r>
          </w:p>
        </w:tc>
        <w:tc>
          <w:tcPr>
            <w:tcW w:w="474" w:type="pct"/>
            <w:shd w:val="clear" w:color="auto" w:fill="auto"/>
            <w:noWrap/>
            <w:vAlign w:val="bottom"/>
            <w:hideMark/>
          </w:tcPr>
          <w:p w14:paraId="19101B8C" w14:textId="2AAE5A6C"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7</w:t>
            </w:r>
            <w:r>
              <w:rPr>
                <w:rFonts w:ascii="Calibri" w:hAnsi="Calibri" w:cs="Calibri"/>
                <w:color w:val="000000"/>
                <w:szCs w:val="21"/>
                <w:lang w:eastAsia="en-GB"/>
              </w:rPr>
              <w:fldChar w:fldCharType="end"/>
            </w:r>
          </w:p>
        </w:tc>
        <w:tc>
          <w:tcPr>
            <w:tcW w:w="1693" w:type="pct"/>
            <w:shd w:val="clear" w:color="auto" w:fill="auto"/>
            <w:noWrap/>
            <w:vAlign w:val="bottom"/>
            <w:hideMark/>
          </w:tcPr>
          <w:p w14:paraId="19FD873A" w14:textId="77777777" w:rsidR="006820D5" w:rsidRPr="00B035C5" w:rsidRDefault="006820D5" w:rsidP="00B035C5">
            <w:pPr>
              <w:pStyle w:val="NoSpacing"/>
            </w:pPr>
            <w:r w:rsidRPr="00B035C5">
              <w:t>proportion of moderate weight-for-height Z-score with MUAC&lt;115mm</w:t>
            </w:r>
          </w:p>
        </w:tc>
        <w:tc>
          <w:tcPr>
            <w:tcW w:w="800" w:type="pct"/>
            <w:vMerge/>
          </w:tcPr>
          <w:p w14:paraId="0D41F831" w14:textId="77777777" w:rsidR="006820D5" w:rsidRPr="006820D5" w:rsidRDefault="006820D5" w:rsidP="00B035C5">
            <w:pPr>
              <w:pStyle w:val="NoSpacing"/>
              <w:rPr>
                <w:sz w:val="18"/>
                <w:szCs w:val="18"/>
              </w:rPr>
            </w:pPr>
          </w:p>
        </w:tc>
      </w:tr>
      <w:tr w:rsidR="006820D5" w:rsidRPr="00BD679D" w14:paraId="48C4935A" w14:textId="36DB31F7" w:rsidTr="006820D5">
        <w:trPr>
          <w:trHeight w:val="310"/>
        </w:trPr>
        <w:tc>
          <w:tcPr>
            <w:tcW w:w="198" w:type="pct"/>
            <w:vMerge/>
            <w:shd w:val="clear" w:color="auto" w:fill="D0CECE" w:themeFill="background2" w:themeFillShade="E6"/>
            <w:vAlign w:val="center"/>
            <w:hideMark/>
          </w:tcPr>
          <w:p w14:paraId="70DD0CF6" w14:textId="77777777" w:rsidR="006820D5" w:rsidRPr="00C226F8" w:rsidRDefault="006820D5" w:rsidP="00C226F8">
            <w:pPr>
              <w:pStyle w:val="NoSpacing"/>
              <w:jc w:val="center"/>
              <w:rPr>
                <w:b/>
                <w:bCs/>
              </w:rPr>
            </w:pPr>
          </w:p>
        </w:tc>
        <w:tc>
          <w:tcPr>
            <w:tcW w:w="1155" w:type="pct"/>
            <w:shd w:val="clear" w:color="auto" w:fill="auto"/>
            <w:noWrap/>
            <w:vAlign w:val="bottom"/>
            <w:hideMark/>
          </w:tcPr>
          <w:p w14:paraId="6B47390B" w14:textId="77777777" w:rsidR="006820D5" w:rsidRPr="00B035C5" w:rsidRDefault="006820D5" w:rsidP="00B035C5">
            <w:pPr>
              <w:pStyle w:val="NoSpacing"/>
            </w:pPr>
            <w:r w:rsidRPr="00B035C5">
              <w:t>proportion_-3&lt;=WHZ&lt;-2_with_MUAC_115-&lt;125mm</w:t>
            </w:r>
          </w:p>
        </w:tc>
        <w:tc>
          <w:tcPr>
            <w:tcW w:w="680" w:type="pct"/>
            <w:shd w:val="clear" w:color="auto" w:fill="auto"/>
            <w:noWrap/>
            <w:vAlign w:val="bottom"/>
            <w:hideMark/>
          </w:tcPr>
          <w:p w14:paraId="2664489E" w14:textId="77777777" w:rsidR="006820D5" w:rsidRPr="00B035C5" w:rsidRDefault="006820D5" w:rsidP="00B035C5">
            <w:pPr>
              <w:pStyle w:val="NoSpacing"/>
            </w:pPr>
            <w:r w:rsidRPr="00B035C5">
              <w:t>0.4081</w:t>
            </w:r>
          </w:p>
        </w:tc>
        <w:tc>
          <w:tcPr>
            <w:tcW w:w="474" w:type="pct"/>
            <w:shd w:val="clear" w:color="auto" w:fill="auto"/>
            <w:noWrap/>
            <w:vAlign w:val="bottom"/>
            <w:hideMark/>
          </w:tcPr>
          <w:p w14:paraId="7042A558" w14:textId="3AA507E6"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7</w:t>
            </w:r>
            <w:r>
              <w:rPr>
                <w:rFonts w:ascii="Calibri" w:hAnsi="Calibri" w:cs="Calibri"/>
                <w:color w:val="000000"/>
                <w:szCs w:val="21"/>
                <w:lang w:eastAsia="en-GB"/>
              </w:rPr>
              <w:fldChar w:fldCharType="end"/>
            </w:r>
          </w:p>
        </w:tc>
        <w:tc>
          <w:tcPr>
            <w:tcW w:w="1693" w:type="pct"/>
            <w:shd w:val="clear" w:color="auto" w:fill="auto"/>
            <w:noWrap/>
            <w:vAlign w:val="bottom"/>
            <w:hideMark/>
          </w:tcPr>
          <w:p w14:paraId="47CE19E7" w14:textId="77777777" w:rsidR="006820D5" w:rsidRPr="00B035C5" w:rsidRDefault="006820D5" w:rsidP="00B035C5">
            <w:pPr>
              <w:pStyle w:val="NoSpacing"/>
            </w:pPr>
            <w:r w:rsidRPr="00B035C5">
              <w:t>proportion of moderate weight-for-height Z-score with MUAC between 115mm and 125mm</w:t>
            </w:r>
          </w:p>
        </w:tc>
        <w:tc>
          <w:tcPr>
            <w:tcW w:w="800" w:type="pct"/>
            <w:vMerge/>
          </w:tcPr>
          <w:p w14:paraId="1218931F" w14:textId="77777777" w:rsidR="006820D5" w:rsidRPr="006820D5" w:rsidRDefault="006820D5" w:rsidP="00B035C5">
            <w:pPr>
              <w:pStyle w:val="NoSpacing"/>
              <w:rPr>
                <w:sz w:val="18"/>
                <w:szCs w:val="18"/>
              </w:rPr>
            </w:pPr>
          </w:p>
        </w:tc>
      </w:tr>
      <w:tr w:rsidR="006820D5" w:rsidRPr="00BD679D" w14:paraId="71804D6F" w14:textId="77777777" w:rsidTr="006820D5">
        <w:trPr>
          <w:trHeight w:val="310"/>
        </w:trPr>
        <w:tc>
          <w:tcPr>
            <w:tcW w:w="198" w:type="pct"/>
            <w:vMerge/>
            <w:shd w:val="clear" w:color="auto" w:fill="D0CECE" w:themeFill="background2" w:themeFillShade="E6"/>
            <w:vAlign w:val="center"/>
          </w:tcPr>
          <w:p w14:paraId="2B659145" w14:textId="77777777" w:rsidR="006820D5" w:rsidRPr="00C226F8" w:rsidRDefault="006820D5" w:rsidP="00C226F8">
            <w:pPr>
              <w:pStyle w:val="NoSpacing"/>
              <w:jc w:val="center"/>
              <w:rPr>
                <w:b/>
                <w:bCs/>
              </w:rPr>
            </w:pPr>
          </w:p>
        </w:tc>
        <w:tc>
          <w:tcPr>
            <w:tcW w:w="1155" w:type="pct"/>
            <w:shd w:val="clear" w:color="auto" w:fill="auto"/>
            <w:noWrap/>
            <w:vAlign w:val="bottom"/>
          </w:tcPr>
          <w:p w14:paraId="7282BCB6" w14:textId="1F5D8150" w:rsidR="006820D5" w:rsidRPr="00B035C5" w:rsidRDefault="006820D5" w:rsidP="00B035C5">
            <w:pPr>
              <w:pStyle w:val="NoSpacing"/>
            </w:pPr>
            <w:r w:rsidRPr="00B035C5">
              <w:t>proportion_mam_with_MUAC_115-&lt;125mm_and_normal_whz</w:t>
            </w:r>
          </w:p>
        </w:tc>
        <w:tc>
          <w:tcPr>
            <w:tcW w:w="680" w:type="pct"/>
            <w:shd w:val="clear" w:color="auto" w:fill="auto"/>
            <w:noWrap/>
            <w:vAlign w:val="bottom"/>
          </w:tcPr>
          <w:p w14:paraId="1C8E783F" w14:textId="4D5BB1E8" w:rsidR="006820D5" w:rsidRPr="00B035C5" w:rsidRDefault="006820D5" w:rsidP="00B035C5">
            <w:pPr>
              <w:pStyle w:val="NoSpacing"/>
            </w:pPr>
            <w:r w:rsidRPr="00B035C5">
              <w:t>0.536</w:t>
            </w:r>
          </w:p>
        </w:tc>
        <w:tc>
          <w:tcPr>
            <w:tcW w:w="474" w:type="pct"/>
            <w:shd w:val="clear" w:color="auto" w:fill="auto"/>
            <w:noWrap/>
            <w:vAlign w:val="bottom"/>
          </w:tcPr>
          <w:p w14:paraId="20A7D28B" w14:textId="012A8829" w:rsidR="006820D5"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7</w:t>
            </w:r>
            <w:r>
              <w:rPr>
                <w:rFonts w:ascii="Calibri" w:hAnsi="Calibri" w:cs="Calibri"/>
                <w:color w:val="000000"/>
                <w:szCs w:val="21"/>
                <w:lang w:eastAsia="en-GB"/>
              </w:rPr>
              <w:fldChar w:fldCharType="end"/>
            </w:r>
          </w:p>
        </w:tc>
        <w:tc>
          <w:tcPr>
            <w:tcW w:w="1693" w:type="pct"/>
            <w:shd w:val="clear" w:color="auto" w:fill="auto"/>
            <w:noWrap/>
            <w:vAlign w:val="bottom"/>
          </w:tcPr>
          <w:p w14:paraId="6144E72D" w14:textId="6A100687" w:rsidR="006820D5" w:rsidRPr="00B035C5" w:rsidRDefault="006820D5" w:rsidP="00B035C5">
            <w:pPr>
              <w:pStyle w:val="NoSpacing"/>
            </w:pPr>
            <w:r w:rsidRPr="00B035C5">
              <w:t>proportion of mam case with MUAC between 115mm and 125mm and normal/mild WHZ</w:t>
            </w:r>
          </w:p>
        </w:tc>
        <w:tc>
          <w:tcPr>
            <w:tcW w:w="800" w:type="pct"/>
            <w:vMerge/>
          </w:tcPr>
          <w:p w14:paraId="2B658A88" w14:textId="77777777" w:rsidR="006820D5" w:rsidRPr="006820D5" w:rsidRDefault="006820D5" w:rsidP="00B035C5">
            <w:pPr>
              <w:pStyle w:val="NoSpacing"/>
              <w:rPr>
                <w:sz w:val="18"/>
                <w:szCs w:val="18"/>
              </w:rPr>
            </w:pPr>
          </w:p>
        </w:tc>
      </w:tr>
      <w:tr w:rsidR="006820D5" w:rsidRPr="00BD679D" w14:paraId="4DF169AF" w14:textId="77777777" w:rsidTr="006820D5">
        <w:trPr>
          <w:trHeight w:val="310"/>
        </w:trPr>
        <w:tc>
          <w:tcPr>
            <w:tcW w:w="198" w:type="pct"/>
            <w:vMerge/>
            <w:shd w:val="clear" w:color="auto" w:fill="D0CECE" w:themeFill="background2" w:themeFillShade="E6"/>
            <w:vAlign w:val="center"/>
          </w:tcPr>
          <w:p w14:paraId="2FD3177B" w14:textId="77777777" w:rsidR="006820D5" w:rsidRPr="00C226F8" w:rsidRDefault="006820D5" w:rsidP="00C226F8">
            <w:pPr>
              <w:pStyle w:val="NoSpacing"/>
              <w:jc w:val="center"/>
              <w:rPr>
                <w:b/>
                <w:bCs/>
              </w:rPr>
            </w:pPr>
          </w:p>
        </w:tc>
        <w:tc>
          <w:tcPr>
            <w:tcW w:w="1155" w:type="pct"/>
            <w:shd w:val="clear" w:color="auto" w:fill="auto"/>
            <w:noWrap/>
            <w:vAlign w:val="bottom"/>
          </w:tcPr>
          <w:p w14:paraId="50388A32" w14:textId="29BCB5DA" w:rsidR="006820D5" w:rsidRPr="00B035C5" w:rsidRDefault="006820D5" w:rsidP="00B035C5">
            <w:pPr>
              <w:pStyle w:val="NoSpacing"/>
            </w:pPr>
            <w:r w:rsidRPr="004841D3">
              <w:t>proportion_mam_with_MUAC_115-&lt;125mm_and_-3&lt;=WHZ&lt;-2</w:t>
            </w:r>
          </w:p>
        </w:tc>
        <w:tc>
          <w:tcPr>
            <w:tcW w:w="680" w:type="pct"/>
            <w:shd w:val="clear" w:color="auto" w:fill="auto"/>
            <w:noWrap/>
            <w:vAlign w:val="bottom"/>
          </w:tcPr>
          <w:p w14:paraId="241A8911" w14:textId="66B0BF3F" w:rsidR="006820D5" w:rsidRPr="00B035C5" w:rsidRDefault="006820D5" w:rsidP="00B035C5">
            <w:pPr>
              <w:pStyle w:val="NoSpacing"/>
            </w:pPr>
            <w:r w:rsidRPr="004841D3">
              <w:t>0.2846</w:t>
            </w:r>
          </w:p>
        </w:tc>
        <w:tc>
          <w:tcPr>
            <w:tcW w:w="474" w:type="pct"/>
            <w:shd w:val="clear" w:color="auto" w:fill="auto"/>
            <w:noWrap/>
            <w:vAlign w:val="bottom"/>
          </w:tcPr>
          <w:p w14:paraId="2909100B" w14:textId="6143CD5E" w:rsidR="006820D5"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7</w:t>
            </w:r>
            <w:r>
              <w:rPr>
                <w:rFonts w:ascii="Calibri" w:hAnsi="Calibri" w:cs="Calibri"/>
                <w:color w:val="000000"/>
                <w:szCs w:val="21"/>
                <w:lang w:eastAsia="en-GB"/>
              </w:rPr>
              <w:fldChar w:fldCharType="end"/>
            </w:r>
          </w:p>
        </w:tc>
        <w:tc>
          <w:tcPr>
            <w:tcW w:w="1693" w:type="pct"/>
            <w:shd w:val="clear" w:color="auto" w:fill="auto"/>
            <w:noWrap/>
            <w:vAlign w:val="bottom"/>
          </w:tcPr>
          <w:p w14:paraId="5BB938AE" w14:textId="1FA37518" w:rsidR="006820D5" w:rsidRPr="00B035C5" w:rsidRDefault="006820D5" w:rsidP="00B035C5">
            <w:pPr>
              <w:pStyle w:val="NoSpacing"/>
            </w:pPr>
            <w:r w:rsidRPr="004841D3">
              <w:t>proportion of mam cases with both MUAC between 115mm and 125mm and moderate wasting</w:t>
            </w:r>
          </w:p>
        </w:tc>
        <w:tc>
          <w:tcPr>
            <w:tcW w:w="800" w:type="pct"/>
            <w:vMerge/>
          </w:tcPr>
          <w:p w14:paraId="6BC05E60" w14:textId="77777777" w:rsidR="006820D5" w:rsidRPr="006820D5" w:rsidRDefault="006820D5" w:rsidP="00B035C5">
            <w:pPr>
              <w:pStyle w:val="NoSpacing"/>
              <w:rPr>
                <w:sz w:val="18"/>
                <w:szCs w:val="18"/>
              </w:rPr>
            </w:pPr>
          </w:p>
        </w:tc>
      </w:tr>
      <w:tr w:rsidR="006820D5" w:rsidRPr="00BD679D" w14:paraId="014E74CA" w14:textId="53D0BD30" w:rsidTr="006820D5">
        <w:trPr>
          <w:trHeight w:val="310"/>
        </w:trPr>
        <w:tc>
          <w:tcPr>
            <w:tcW w:w="198" w:type="pct"/>
            <w:vMerge/>
            <w:shd w:val="clear" w:color="auto" w:fill="D0CECE" w:themeFill="background2" w:themeFillShade="E6"/>
            <w:vAlign w:val="center"/>
            <w:hideMark/>
          </w:tcPr>
          <w:p w14:paraId="3855B4C5" w14:textId="77777777" w:rsidR="006820D5" w:rsidRPr="00C226F8" w:rsidRDefault="006820D5" w:rsidP="00C226F8">
            <w:pPr>
              <w:pStyle w:val="NoSpacing"/>
              <w:jc w:val="center"/>
              <w:rPr>
                <w:b/>
                <w:bCs/>
              </w:rPr>
            </w:pPr>
          </w:p>
        </w:tc>
        <w:tc>
          <w:tcPr>
            <w:tcW w:w="1155" w:type="pct"/>
            <w:shd w:val="clear" w:color="auto" w:fill="auto"/>
            <w:noWrap/>
            <w:vAlign w:val="bottom"/>
            <w:hideMark/>
          </w:tcPr>
          <w:p w14:paraId="4B04B192" w14:textId="19152337" w:rsidR="006820D5" w:rsidRPr="00B035C5" w:rsidRDefault="006820D5" w:rsidP="00B035C5">
            <w:pPr>
              <w:pStyle w:val="NoSpacing"/>
            </w:pPr>
            <w:r w:rsidRPr="004841D3">
              <w:t>proportion_mam_with_-3&lt;=WHZ&lt;-2_and_normal_MUAC</w:t>
            </w:r>
          </w:p>
        </w:tc>
        <w:tc>
          <w:tcPr>
            <w:tcW w:w="680" w:type="pct"/>
            <w:shd w:val="clear" w:color="auto" w:fill="auto"/>
            <w:noWrap/>
            <w:vAlign w:val="bottom"/>
            <w:hideMark/>
          </w:tcPr>
          <w:p w14:paraId="0E1D1D3C" w14:textId="3946601E" w:rsidR="006820D5" w:rsidRPr="00B035C5" w:rsidRDefault="006820D5" w:rsidP="00B035C5">
            <w:pPr>
              <w:pStyle w:val="NoSpacing"/>
            </w:pPr>
            <w:r w:rsidRPr="004841D3">
              <w:t>0.1787</w:t>
            </w:r>
          </w:p>
        </w:tc>
        <w:tc>
          <w:tcPr>
            <w:tcW w:w="474" w:type="pct"/>
            <w:shd w:val="clear" w:color="auto" w:fill="auto"/>
            <w:noWrap/>
            <w:vAlign w:val="bottom"/>
            <w:hideMark/>
          </w:tcPr>
          <w:p w14:paraId="0DF74F8E" w14:textId="3B28502A" w:rsidR="006820D5" w:rsidRPr="00BD679D" w:rsidRDefault="006820D5"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{"citationItems":[{"id":"ITEM-1","itemData":{"DOI":"10.1186/s40795-016-0049-7","ISSN":"20550928","abstract":"Background: Anthropometric surveys of children are used to assess the nutritional status of a population. World Health Organization (WHO) recommends that either mid-upper-arm circumference (MUAC) or weight-for-height Z-scores (WHZ) are used to assess acute malnutrition prevalence. However, there are reports from several countries that the two criteria identify different children. In order to examine the external validity of these observations we have compared the direction and degree of discrepancy across countries. Methods: Anonymous data were collected from 1832 anthropometric surveys from 47 countries with measured children aged from 6 to 59 months and at least 75 malnourished subjects. The prevalence of total acute malnutrition and severe acute malnutrition was calculated using either absolute-MUAC or WHZ (WHO2006 standards). For each country, the total number of children diagnosed as acutely malnourished by either criterion alone or by both criteria were summed from all the surveys conducted in that country. Results: In all countries a minority of children were diagnosed as malnourished by both criteria. Both the magnitude and direction of the discrepancy varied dramatically between countries with some having most children diagnosed as malnourished by MUAC and others where nearly all the children were diagnosed by WHZ alone. Eight additional countries with insufficient malnourished children were also analysed and they support the conclusions. Conclusion: For all countries examined the discrepancy was not adequately explained by any single hypothesis, such as variation in relative leg to body length. The perceived need for humanitarian intervention can be affected by the measurement chosen to assess the prevalence of malnutrition which will vary from region to region. It is recommended that MUAC measurement be included in all anthropometric surveys and that the two criteria are not alternative measures of the loss of body tissue leading to an increased risk of death, but complementary variables that should both be used independently to guide admission for treatment of malnourished children.","author":[{"dropping-particle":"","family":"Grellety","given":"Emmanuel","non-dropping-particle":"","parse-names":false,"suffix":""},{"dropping-particle":"","family":"Golden","given":"Michael H.","non-dropping-particle":"","parse-names":false,"suffix":""}],"container-title":"BMC Nutrition","id":"ITEM-1","issue":"1","issued":{"date-parts":[["2016","9","20"]]},"page":"1-17","publisher":"BioMed Central","title":"Weight-for-height and mid-upper-arm circumference should be used independently to diagnose acute malnutrition: Policy implications","type":"article-journal","volume":"2"},"uris":["http://www.mendeley.com/documents/?uuid=ab85cbda-9021-36f5-a55f-a1558e035345"]}],"mendeley":{"formattedCitation":"&lt;sup&gt;7&lt;/sup&gt;","plainTextFormattedCitation":"7","previouslyFormattedCitation":"&lt;sup&gt;7&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7</w:t>
            </w:r>
            <w:r>
              <w:rPr>
                <w:rFonts w:ascii="Calibri" w:hAnsi="Calibri" w:cs="Calibri"/>
                <w:color w:val="000000"/>
                <w:szCs w:val="21"/>
                <w:lang w:eastAsia="en-GB"/>
              </w:rPr>
              <w:fldChar w:fldCharType="end"/>
            </w:r>
          </w:p>
        </w:tc>
        <w:tc>
          <w:tcPr>
            <w:tcW w:w="1693" w:type="pct"/>
            <w:shd w:val="clear" w:color="auto" w:fill="auto"/>
            <w:noWrap/>
            <w:vAlign w:val="bottom"/>
            <w:hideMark/>
          </w:tcPr>
          <w:p w14:paraId="63B3BC5F" w14:textId="6C86BA54" w:rsidR="006820D5" w:rsidRPr="00B035C5" w:rsidRDefault="006820D5" w:rsidP="00B035C5">
            <w:pPr>
              <w:pStyle w:val="NoSpacing"/>
            </w:pPr>
            <w:r w:rsidRPr="004841D3">
              <w:t>proportion of mam cases with moderate wasting and normal MUAC</w:t>
            </w:r>
          </w:p>
        </w:tc>
        <w:tc>
          <w:tcPr>
            <w:tcW w:w="800" w:type="pct"/>
            <w:vMerge/>
          </w:tcPr>
          <w:p w14:paraId="09F6CBBC" w14:textId="77777777" w:rsidR="006820D5" w:rsidRPr="006820D5" w:rsidRDefault="006820D5" w:rsidP="00B035C5">
            <w:pPr>
              <w:pStyle w:val="NoSpacing"/>
              <w:rPr>
                <w:sz w:val="18"/>
                <w:szCs w:val="18"/>
              </w:rPr>
            </w:pPr>
          </w:p>
        </w:tc>
      </w:tr>
      <w:tr w:rsidR="004841D3" w:rsidRPr="00BD679D" w14:paraId="53184EFC" w14:textId="77777777" w:rsidTr="006820D5">
        <w:trPr>
          <w:trHeight w:val="310"/>
        </w:trPr>
        <w:tc>
          <w:tcPr>
            <w:tcW w:w="198" w:type="pct"/>
            <w:vMerge/>
            <w:shd w:val="clear" w:color="auto" w:fill="D0CECE" w:themeFill="background2" w:themeFillShade="E6"/>
            <w:vAlign w:val="center"/>
          </w:tcPr>
          <w:p w14:paraId="4E8DC75E" w14:textId="77777777" w:rsidR="004841D3" w:rsidRPr="00C226F8" w:rsidRDefault="004841D3" w:rsidP="00C226F8">
            <w:pPr>
              <w:pStyle w:val="NoSpacing"/>
              <w:jc w:val="center"/>
              <w:rPr>
                <w:b/>
                <w:bCs/>
              </w:rPr>
            </w:pPr>
          </w:p>
        </w:tc>
        <w:tc>
          <w:tcPr>
            <w:tcW w:w="1155" w:type="pct"/>
            <w:shd w:val="clear" w:color="auto" w:fill="auto"/>
            <w:noWrap/>
            <w:vAlign w:val="bottom"/>
          </w:tcPr>
          <w:p w14:paraId="3026325F" w14:textId="64BF48DF" w:rsidR="004841D3" w:rsidRPr="00B035C5" w:rsidRDefault="004841D3" w:rsidP="00B035C5">
            <w:pPr>
              <w:pStyle w:val="NoSpacing"/>
            </w:pPr>
            <w:proofErr w:type="spellStart"/>
            <w:r w:rsidRPr="004841D3">
              <w:t>MUAC_distribution_WHZ</w:t>
            </w:r>
            <w:proofErr w:type="spellEnd"/>
            <w:r w:rsidRPr="004841D3">
              <w:t>&gt;=-2</w:t>
            </w:r>
          </w:p>
        </w:tc>
        <w:tc>
          <w:tcPr>
            <w:tcW w:w="680" w:type="pct"/>
            <w:shd w:val="clear" w:color="auto" w:fill="auto"/>
            <w:noWrap/>
            <w:vAlign w:val="bottom"/>
          </w:tcPr>
          <w:p w14:paraId="44673C74" w14:textId="32177F45" w:rsidR="004841D3" w:rsidRPr="00B035C5" w:rsidRDefault="004841D3" w:rsidP="00B035C5">
            <w:pPr>
              <w:pStyle w:val="NoSpacing"/>
            </w:pPr>
            <w:r w:rsidRPr="004841D3">
              <w:t>[15.1793, 1.20386]</w:t>
            </w:r>
          </w:p>
        </w:tc>
        <w:tc>
          <w:tcPr>
            <w:tcW w:w="474" w:type="pct"/>
            <w:shd w:val="clear" w:color="auto" w:fill="auto"/>
            <w:noWrap/>
            <w:vAlign w:val="bottom"/>
          </w:tcPr>
          <w:p w14:paraId="47871518" w14:textId="38EB60F1" w:rsidR="004841D3" w:rsidRDefault="004841D3" w:rsidP="00A74826">
            <w:pPr>
              <w:pStyle w:val="NoSpacing"/>
              <w:rPr>
                <w:rFonts w:ascii="Calibri" w:hAnsi="Calibri" w:cs="Calibri"/>
                <w:color w:val="000000"/>
                <w:szCs w:val="21"/>
                <w:lang w:eastAsia="en-GB"/>
              </w:rPr>
            </w:pPr>
            <w:r>
              <w:rPr>
                <w:rFonts w:ascii="Calibri" w:hAnsi="Calibri" w:cs="Calibri"/>
                <w:color w:val="000000"/>
                <w:szCs w:val="21"/>
                <w:lang w:eastAsia="en-GB"/>
              </w:rPr>
              <w:t>MMS</w:t>
            </w:r>
            <w:r w:rsidRPr="004841D3">
              <w:rPr>
                <w:rFonts w:ascii="Calibri" w:hAnsi="Calibri" w:cs="Calibri"/>
                <w:color w:val="000000"/>
                <w:szCs w:val="21"/>
                <w:lang w:eastAsia="en-GB"/>
              </w:rPr>
              <w:t xml:space="preserve"> 2015</w:t>
            </w:r>
          </w:p>
        </w:tc>
        <w:tc>
          <w:tcPr>
            <w:tcW w:w="1693" w:type="pct"/>
            <w:shd w:val="clear" w:color="auto" w:fill="auto"/>
            <w:noWrap/>
            <w:vAlign w:val="bottom"/>
          </w:tcPr>
          <w:p w14:paraId="2441033A" w14:textId="05919D3D" w:rsidR="004841D3" w:rsidRPr="00B035C5" w:rsidRDefault="004841D3" w:rsidP="00B035C5">
            <w:pPr>
              <w:pStyle w:val="NoSpacing"/>
            </w:pPr>
            <w:r w:rsidRPr="004841D3">
              <w:t>mean and standard deviation of MUAC measurement distribution for children aged 6-59 months</w:t>
            </w:r>
          </w:p>
        </w:tc>
        <w:tc>
          <w:tcPr>
            <w:tcW w:w="800" w:type="pct"/>
          </w:tcPr>
          <w:p w14:paraId="6D2582D0" w14:textId="4441875A" w:rsidR="004841D3" w:rsidRPr="006820D5" w:rsidRDefault="006820D5" w:rsidP="00B035C5">
            <w:pPr>
              <w:pStyle w:val="NoSpacing"/>
              <w:rPr>
                <w:sz w:val="18"/>
                <w:szCs w:val="18"/>
              </w:rPr>
            </w:pPr>
            <w:r w:rsidRPr="006820D5">
              <w:rPr>
                <w:sz w:val="18"/>
                <w:szCs w:val="18"/>
              </w:rPr>
              <w:t>Used to get MUAC cut-off in normal WHZ</w:t>
            </w:r>
          </w:p>
        </w:tc>
      </w:tr>
      <w:tr w:rsidR="003229FE" w:rsidRPr="00BD679D" w14:paraId="0BB2580F" w14:textId="5BF290FC" w:rsidTr="006820D5">
        <w:trPr>
          <w:trHeight w:val="310"/>
        </w:trPr>
        <w:tc>
          <w:tcPr>
            <w:tcW w:w="198" w:type="pct"/>
            <w:vMerge/>
            <w:shd w:val="clear" w:color="auto" w:fill="D0CECE" w:themeFill="background2" w:themeFillShade="E6"/>
            <w:vAlign w:val="center"/>
            <w:hideMark/>
          </w:tcPr>
          <w:p w14:paraId="39E3088E"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55CBF8A4" w14:textId="77777777" w:rsidR="003229FE" w:rsidRPr="00B035C5" w:rsidRDefault="003229FE" w:rsidP="00B035C5">
            <w:pPr>
              <w:pStyle w:val="NoSpacing"/>
            </w:pPr>
            <w:proofErr w:type="spellStart"/>
            <w:r w:rsidRPr="00B035C5">
              <w:t>prevalence_nutritional_oedema</w:t>
            </w:r>
            <w:proofErr w:type="spellEnd"/>
          </w:p>
        </w:tc>
        <w:tc>
          <w:tcPr>
            <w:tcW w:w="680" w:type="pct"/>
            <w:shd w:val="clear" w:color="auto" w:fill="auto"/>
            <w:noWrap/>
            <w:vAlign w:val="bottom"/>
            <w:hideMark/>
          </w:tcPr>
          <w:p w14:paraId="0D0E94B5" w14:textId="77777777" w:rsidR="003229FE" w:rsidRPr="00B035C5" w:rsidRDefault="003229FE" w:rsidP="00B035C5">
            <w:pPr>
              <w:pStyle w:val="NoSpacing"/>
            </w:pPr>
            <w:r w:rsidRPr="00B035C5">
              <w:t>0.007</w:t>
            </w:r>
          </w:p>
        </w:tc>
        <w:tc>
          <w:tcPr>
            <w:tcW w:w="474" w:type="pct"/>
            <w:shd w:val="clear" w:color="auto" w:fill="auto"/>
            <w:noWrap/>
            <w:vAlign w:val="bottom"/>
            <w:hideMark/>
          </w:tcPr>
          <w:p w14:paraId="036B912A" w14:textId="077D09D3"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{"citationItems":[{"id":"ITEM-1","itemData":{"DOI":"10.1186/s13690-018-0290-4","ISSN":"20493258","abstract":"Background: Severe acute malnutrition (SAM) is defined by a mid-upper arm circumference (MUAC) less than 115 mm or a weight-for-height z-score (WHZ) less than - 3 but also by the presence of bilateral pitting edema, also known as kwashiorkor or edematous malnutrition. Although edematous malnutrition is a life threatening condition, it has not been prioritized in recent research and has been neglected in global health initiatives. Methods: Two thousand two hundred and seventy-seven survey datasets were collected, and the age, sex, weight, height, MUAC and the presence or absence of edema were analyzed for more than 1.7 million children of 6-59 months from 55 countries, covering the period of 1992 to 2015. Results: During the last 10 years, the prevalence of nutritional edema was estimated at less than 1% in most of the countries where data were available. Some countries in Central and South Africa, as well as Haiti in the Caribbean, reported higher prevalence, and Yemen, Zimbabwe and the Democratic Republic of Congo reported prevalence between 1 and 2%. Surveys from a significant number of countries in Africa indicated that more than a third of SAM cases defined by MUAC &lt; 115 mm had edema, including Malawi, Rwanda, Zambia, Togo and Cameroon. Children with edema were consistently shown across various analyses to have a significantly lower median MUAC than children without edema. However, the MUAC distribution had a large spread, with many children with edema having a MUAC &gt; 115 mm, and this varied widely between countries, with median MUAC in edematous children ranging from 102 mm (Mali) to 162 mm (Sri Lanka). The proportion of SAM children with edema was found to be higher for older children. Conclusions: This study provides the most recent geographical distribution of nutritional edema and demonstrates that edema is a common manifestation of SAM, mainly occurring in Central Africa. The associated nutritional status, as assessed by MUAC, shows strong variation among children with edema. A more systematic and standardized system is required to collect data on edema in order to facilitate prevention, screening, referral and treatment of edematous malnutrition.","author":[{"dropping-particle":"","family":"Alvarez","given":"Jose Luis","non-dropping-particle":"","parse-names":false,"suffix":""},{"dropping-particle":"","family":"Dent","given":"Nicky","non-dropping-particle":"","parse-names":false,"suffix":""},{"dropping-particle":"","family":"Browne","given":"L.","non-dropping-particle":"","parse-names":false,"suffix":""},{"dropping-particle":"","family":"Myatt","given":"Mark","non-dropping-particle":"","parse-names":false,"suffix":""},{"dropping-particle":"","family":"Briend","given":"André","non-dropping-particle":"","parse-names":false,"suffix":""}],"container-title":"Archives of Public Health","id":"ITEM-1","issue":"1","issued":{"date-parts":[["2018","8","15"]]},"page":"1-10","publisher":"BioMed Central Ltd.","title":"Mid-Upper Arm Circumference (MUAC) shows strong geographical variations in children with edema: Results from 2277 surveys in 55 countries","type":"article-journal","volume":"76"},"uris":["http://www.mendeley.com/documents/?uuid=597ea824-323b-30c3-bc03-bdbf78802e71"]}],"mendeley":{"formattedCitation":"&lt;sup&gt;12&lt;/sup&gt;","plainTextFormattedCitation":"12","previouslyFormattedCitation":"&lt;sup&gt;12&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12</w:t>
            </w:r>
            <w:r>
              <w:rPr>
                <w:rFonts w:ascii="Calibri" w:hAnsi="Calibri" w:cs="Calibri"/>
                <w:color w:val="000000"/>
                <w:szCs w:val="21"/>
                <w:lang w:eastAsia="en-GB"/>
              </w:rPr>
              <w:fldChar w:fldCharType="end"/>
            </w:r>
          </w:p>
        </w:tc>
        <w:tc>
          <w:tcPr>
            <w:tcW w:w="1693" w:type="pct"/>
            <w:shd w:val="clear" w:color="auto" w:fill="auto"/>
            <w:noWrap/>
            <w:vAlign w:val="bottom"/>
            <w:hideMark/>
          </w:tcPr>
          <w:p w14:paraId="50ACAE95" w14:textId="745EEBA2" w:rsidR="003229FE" w:rsidRPr="00B035C5" w:rsidRDefault="003229FE" w:rsidP="00B035C5">
            <w:pPr>
              <w:pStyle w:val="NoSpacing"/>
            </w:pPr>
            <w:r w:rsidRPr="00B035C5">
              <w:t>Prevalence of nutritional oedema</w:t>
            </w:r>
          </w:p>
        </w:tc>
        <w:tc>
          <w:tcPr>
            <w:tcW w:w="800" w:type="pct"/>
          </w:tcPr>
          <w:p w14:paraId="03B0FB67" w14:textId="62913E33" w:rsidR="003229FE" w:rsidRPr="006820D5" w:rsidRDefault="00A80ABA" w:rsidP="00B035C5">
            <w:pPr>
              <w:pStyle w:val="NoSpacing"/>
              <w:rPr>
                <w:sz w:val="18"/>
                <w:szCs w:val="18"/>
              </w:rPr>
            </w:pPr>
            <w:r w:rsidRPr="00A80ABA">
              <w:rPr>
                <w:sz w:val="18"/>
                <w:szCs w:val="18"/>
              </w:rPr>
              <w:t>prevalence of oedema in all children in Malawi</w:t>
            </w:r>
          </w:p>
        </w:tc>
      </w:tr>
      <w:tr w:rsidR="003229FE" w:rsidRPr="00BD679D" w14:paraId="5F6CF2E7" w14:textId="37A94874" w:rsidTr="006820D5">
        <w:trPr>
          <w:trHeight w:val="310"/>
        </w:trPr>
        <w:tc>
          <w:tcPr>
            <w:tcW w:w="198" w:type="pct"/>
            <w:vMerge/>
            <w:shd w:val="clear" w:color="auto" w:fill="D0CECE" w:themeFill="background2" w:themeFillShade="E6"/>
            <w:vAlign w:val="center"/>
            <w:hideMark/>
          </w:tcPr>
          <w:p w14:paraId="53E8E754"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28FF5DFB" w14:textId="77777777" w:rsidR="003229FE" w:rsidRPr="00B035C5" w:rsidRDefault="003229FE" w:rsidP="00B035C5">
            <w:pPr>
              <w:pStyle w:val="NoSpacing"/>
            </w:pPr>
            <w:proofErr w:type="spellStart"/>
            <w:r w:rsidRPr="00B035C5">
              <w:t>proportion_oedema_with_WHZ</w:t>
            </w:r>
            <w:proofErr w:type="spellEnd"/>
            <w:r w:rsidRPr="00B035C5">
              <w:t>&lt;-2</w:t>
            </w:r>
          </w:p>
        </w:tc>
        <w:tc>
          <w:tcPr>
            <w:tcW w:w="680" w:type="pct"/>
            <w:shd w:val="clear" w:color="auto" w:fill="auto"/>
            <w:noWrap/>
            <w:vAlign w:val="bottom"/>
            <w:hideMark/>
          </w:tcPr>
          <w:p w14:paraId="67C51F34" w14:textId="77777777" w:rsidR="003229FE" w:rsidRPr="00B035C5" w:rsidRDefault="003229FE" w:rsidP="00B035C5">
            <w:pPr>
              <w:pStyle w:val="NoSpacing"/>
            </w:pPr>
            <w:r w:rsidRPr="00B035C5">
              <w:t>0.37</w:t>
            </w:r>
          </w:p>
        </w:tc>
        <w:tc>
          <w:tcPr>
            <w:tcW w:w="474" w:type="pct"/>
            <w:shd w:val="clear" w:color="auto" w:fill="auto"/>
            <w:noWrap/>
            <w:vAlign w:val="bottom"/>
            <w:hideMark/>
          </w:tcPr>
          <w:p w14:paraId="104AF080" w14:textId="38BAAD08"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{"citationItems":[{"id":"ITEM-1","itemData":{"DOI":"10.3945/ajcn.115.108282","ISSN":"19383207","PMID":"26377162","abstract":"Background: Acute malnutrition is a major public health issue in low-income countries. It includes both wasting and edematous malnutrition, but the terms wasting and acute malnutrition are often used interchangeably. Little is known about the burden of edematous malnutrition, and few large-scale surveys measure it. Objective: Most acute malnutrition might be captured by the measurement of wasting alone, but this is unknown. This article aims to fill this gap. Design: This article presents a secondary data analysis of 852 nutrition cross-sectional survey data sets of children aged 6-59 mo. The data sets assembled included surveys from East, West, South, and Central Africa; the Caribbean; and Asia. The overlap between edematous malnutrition and wasting was assessed, and the impact of including/excluding edema on acute malnutrition prevalence estimates was evaluated. Results: The prevalence of edematous malnutrition varied from 0% to 32.9%, and children were more likely to have bilateral edema in Central and South Africa (OR: 4; 95% CI: 2.8, 5.6). A large proportion of children with edematous malnutrition were not wasted [62% and 66% based on midupper arm circumference (MUAC) and weight-for-height (WFH), respectively], and most were not severely wasted (83% and 86% based on MUAC and WFH, respectively). When wasting and global acute malnutrition prevalence estimates as well as severe wasting and severe acute malnutrition prevalence estimates overall were compared, the differences between estimates were small (median of 0.0% and mean of 0.3% based on WFH and MUAC for global estimates and slightly higher median of 0.1% and mean of 0.4% based on MUAC and WFH, respectively, for the severe forms), but the picture was different at the regional level. Conclusions: The terms acute malnutrition and wasting should not be used interchangeably. The omission of the measurement of edema can have important repercussions, especially at the nutrition program level.","author":[{"dropping-particle":"","family":"Frison","given":"Severine","non-dropping-particle":"","parse-names":false,"suffix":""},{"dropping-particle":"","family":"Checchi","given":"Francesco","non-dropping-particle":"","parse-names":false,"suffix":""},{"dropping-particle":"","family":"Kerac","given":"Marko","non-dropping-particle":"","parse-names":false,"suffix":""}],"container-title":"American Journal of Clinical Nutrition","id":"ITEM-1","issue":"5","issued":{"date-parts":[["2015","11","1"]]},"page":"1176-1181","publisher":"American Society for Nutrition","title":"Omitting edema measurement: How much acute malnutrition are we missing?","type":"article-journal","volume":"102"},"uris":["http://www.mendeley.com/documents/?uuid=fd57dc6a-2d3f-3b5c-853e-d25c43eecb9d"]}],"mendeley":{"formattedCitation":"&lt;sup&gt;6&lt;/sup&gt;","plainTextFormattedCitation":"6","previouslyFormattedCitation":"&lt;sup&gt;6&lt;/sup&gt;"},"properties":{"noteIndex":0},"schema":"https://github.com/citation-style-language/schema/raw/master/csl-citation.json"}</w:instrText>
            </w:r>
            <w:r>
              <w:rPr>
                <w:rFonts w:ascii="Calibri" w:hAnsi="Calibri" w:cs="Calibri"/>
                <w:color w:val="000000"/>
                <w:szCs w:val="21"/>
                <w:lang w:eastAsia="en-GB"/>
              </w:rPr>
              <w:fldChar w:fldCharType="separate"/>
            </w:r>
            <w:r w:rsidR="00437F19" w:rsidRPr="00437F19">
              <w:rPr>
                <w:rFonts w:ascii="Calibri" w:hAnsi="Calibri" w:cs="Calibri"/>
                <w:noProof/>
                <w:color w:val="000000"/>
                <w:szCs w:val="21"/>
                <w:vertAlign w:val="superscript"/>
                <w:lang w:eastAsia="en-GB"/>
              </w:rPr>
              <w:t>6</w:t>
            </w:r>
            <w:r>
              <w:rPr>
                <w:rFonts w:ascii="Calibri" w:hAnsi="Calibri" w:cs="Calibri"/>
                <w:color w:val="000000"/>
                <w:szCs w:val="21"/>
                <w:lang w:eastAsia="en-GB"/>
              </w:rPr>
              <w:fldChar w:fldCharType="end"/>
            </w:r>
          </w:p>
        </w:tc>
        <w:tc>
          <w:tcPr>
            <w:tcW w:w="1693" w:type="pct"/>
            <w:shd w:val="clear" w:color="auto" w:fill="auto"/>
            <w:noWrap/>
            <w:vAlign w:val="bottom"/>
            <w:hideMark/>
          </w:tcPr>
          <w:p w14:paraId="25F9137A" w14:textId="77777777" w:rsidR="003229FE" w:rsidRPr="00B035C5" w:rsidRDefault="003229FE" w:rsidP="00B035C5">
            <w:pPr>
              <w:pStyle w:val="NoSpacing"/>
            </w:pPr>
            <w:r w:rsidRPr="00B035C5">
              <w:t>proportion of oedematous malnutrition with concurrent wasting</w:t>
            </w:r>
          </w:p>
        </w:tc>
        <w:tc>
          <w:tcPr>
            <w:tcW w:w="800" w:type="pct"/>
          </w:tcPr>
          <w:p w14:paraId="744D6028" w14:textId="42AA9A58" w:rsidR="00A80ABA" w:rsidRPr="00A80ABA" w:rsidRDefault="00A80ABA" w:rsidP="00A80ABA">
            <w:pPr>
              <w:pStyle w:val="NoSpacing"/>
              <w:rPr>
                <w:sz w:val="18"/>
                <w:szCs w:val="18"/>
              </w:rPr>
            </w:pPr>
            <w:r w:rsidRPr="00A80ABA">
              <w:rPr>
                <w:sz w:val="18"/>
                <w:szCs w:val="18"/>
              </w:rPr>
              <w:t>used supplementary data to calculate this proportion</w:t>
            </w:r>
            <w:r>
              <w:rPr>
                <w:sz w:val="18"/>
                <w:szCs w:val="18"/>
              </w:rPr>
              <w:t xml:space="preserve"> </w:t>
            </w:r>
            <w:r w:rsidRPr="00A80ABA">
              <w:rPr>
                <w:sz w:val="18"/>
                <w:szCs w:val="18"/>
              </w:rPr>
              <w:t>(Malawi-specific)</w:t>
            </w:r>
          </w:p>
        </w:tc>
      </w:tr>
      <w:tr w:rsidR="003229FE" w:rsidRPr="00BD679D" w14:paraId="266AB945" w14:textId="576ECC73" w:rsidTr="006820D5">
        <w:trPr>
          <w:trHeight w:val="320"/>
        </w:trPr>
        <w:tc>
          <w:tcPr>
            <w:tcW w:w="198" w:type="pct"/>
            <w:vMerge/>
            <w:shd w:val="clear" w:color="auto" w:fill="D0CECE" w:themeFill="background2" w:themeFillShade="E6"/>
            <w:vAlign w:val="center"/>
            <w:hideMark/>
          </w:tcPr>
          <w:p w14:paraId="71AF81F9"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751A2989" w14:textId="77777777" w:rsidR="003229FE" w:rsidRPr="00B035C5" w:rsidRDefault="003229FE" w:rsidP="00B035C5">
            <w:pPr>
              <w:pStyle w:val="NoSpacing"/>
            </w:pPr>
            <w:proofErr w:type="spellStart"/>
            <w:r w:rsidRPr="00B035C5">
              <w:t>prob_complications_in_SAM</w:t>
            </w:r>
            <w:proofErr w:type="spellEnd"/>
          </w:p>
        </w:tc>
        <w:tc>
          <w:tcPr>
            <w:tcW w:w="680" w:type="pct"/>
            <w:shd w:val="clear" w:color="auto" w:fill="auto"/>
            <w:noWrap/>
            <w:vAlign w:val="bottom"/>
            <w:hideMark/>
          </w:tcPr>
          <w:p w14:paraId="07B8652F" w14:textId="77777777" w:rsidR="003229FE" w:rsidRPr="00B035C5" w:rsidRDefault="003229FE" w:rsidP="00B035C5">
            <w:pPr>
              <w:pStyle w:val="NoSpacing"/>
            </w:pPr>
            <w:r w:rsidRPr="00B035C5">
              <w:t>0.15</w:t>
            </w:r>
          </w:p>
        </w:tc>
        <w:tc>
          <w:tcPr>
            <w:tcW w:w="474" w:type="pct"/>
            <w:shd w:val="clear" w:color="auto" w:fill="auto"/>
            <w:noWrap/>
            <w:vAlign w:val="bottom"/>
            <w:hideMark/>
          </w:tcPr>
          <w:p w14:paraId="480E6BA7" w14:textId="617FFD18"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437F19">
              <w:rPr>
                <w:rFonts w:ascii="Calibri" w:hAnsi="Calibri" w:cs="Calibri"/>
                <w:color w:val="000000"/>
                <w:szCs w:val="21"/>
                <w:lang w:eastAsia="en-GB"/>
              </w:rPr>
              <w:instrText>ADDIN CSL_CITATION {"citationItems":[{"id":"ITEM-1","itemData":{"DOI":"10.1596/978-1-4648-0348-2_ch11","abstract":"Each year, approximately 5.9 million children around the world die before their fifth birthday (You and others 2015). The leading killers are prematurity and pneumo- nia, responsible for 17.8 percent and 15.5 percent of all deaths in this age group, respectively (Liu and others 2014, 2016). Degrees of malnutrition are associated with increased risk of all-cause mortality and increased risk of death due to diarrhea, pneumonia, and measles (Black and others 2013)","author":[{"dropping-particle":"","family":"Lenters","given":"Lindsey","non-dropping-particle":"","parse-names":false,"suffix":""},{"dropping-particle":"","family":"Wazny","given":"Kerri","non-dropping-particle":"","parse-names":false,"suffix":""},{"dropping-particle":"","family":"Bhutta","given":"Zulfiqar A.","non-dropping-particle":"","parse-names":false,"suffix":""}],"container-title":"Disease Control Priorities, Third Edition (Volume 2): Reproductive, Maternal, Newborn, and Child Health","id":"ITEM-1","issued":{"date-parts":[["2016","4","11"]]},"page":"205-223","publisher":"The World Bank","title":"Management of Severe and Moderate Acute Malnutrition in Children","type":"chapter"},"uris":["http://www.mendeley.com/documents/?uuid=d3b53abc-719a-3349-a278-8242db0dd260"]}],"mendeley":{"formattedCitation":"&lt;sup&gt;13&lt;/sup&gt;","plainTextFormattedCitation":"13","previouslyFormattedCitation":"&lt;sup&gt;13&lt;/sup&gt;"},"properties":{"noteIndex":0},"schema":"https://github.com/citation-style-language/schema/raw/master/csl-citation.json"}</w:instrText>
            </w:r>
            <w:r>
              <w:rPr>
                <w:rFonts w:ascii="Calibri" w:hAnsi="Calibri" w:cs="Calibri"/>
                <w:color w:val="000000"/>
                <w:szCs w:val="21"/>
                <w:lang w:eastAsia="en-GB"/>
              </w:rPr>
              <w:fldChar w:fldCharType="separate"/>
            </w:r>
            <w:r w:rsidRPr="00A74826">
              <w:rPr>
                <w:rFonts w:ascii="Calibri" w:hAnsi="Calibri" w:cs="Calibri"/>
                <w:noProof/>
                <w:color w:val="000000"/>
                <w:szCs w:val="21"/>
                <w:vertAlign w:val="superscript"/>
                <w:lang w:eastAsia="en-GB"/>
              </w:rPr>
              <w:t>13</w:t>
            </w:r>
            <w:r>
              <w:rPr>
                <w:rFonts w:ascii="Calibri" w:hAnsi="Calibri" w:cs="Calibri"/>
                <w:color w:val="000000"/>
                <w:szCs w:val="21"/>
                <w:lang w:eastAsia="en-GB"/>
              </w:rPr>
              <w:fldChar w:fldCharType="end"/>
            </w:r>
          </w:p>
        </w:tc>
        <w:tc>
          <w:tcPr>
            <w:tcW w:w="1693" w:type="pct"/>
            <w:shd w:val="clear" w:color="auto" w:fill="auto"/>
            <w:noWrap/>
            <w:vAlign w:val="bottom"/>
            <w:hideMark/>
          </w:tcPr>
          <w:p w14:paraId="6C44CC9E" w14:textId="77777777" w:rsidR="003229FE" w:rsidRPr="00B035C5" w:rsidRDefault="003229FE" w:rsidP="00B035C5">
            <w:pPr>
              <w:pStyle w:val="NoSpacing"/>
            </w:pPr>
            <w:r w:rsidRPr="00B035C5">
              <w:t>probability of severe acute malnutrition with medical complications</w:t>
            </w:r>
          </w:p>
        </w:tc>
        <w:tc>
          <w:tcPr>
            <w:tcW w:w="800" w:type="pct"/>
          </w:tcPr>
          <w:p w14:paraId="50A64399" w14:textId="77777777" w:rsidR="003229FE" w:rsidRPr="006820D5" w:rsidRDefault="003229FE" w:rsidP="00B035C5">
            <w:pPr>
              <w:pStyle w:val="NoSpacing"/>
              <w:rPr>
                <w:sz w:val="18"/>
                <w:szCs w:val="18"/>
              </w:rPr>
            </w:pPr>
          </w:p>
        </w:tc>
      </w:tr>
      <w:tr w:rsidR="00A80ABA" w:rsidRPr="00BD679D" w14:paraId="1DCA7986" w14:textId="157C2D09" w:rsidTr="006820D5">
        <w:trPr>
          <w:trHeight w:val="310"/>
        </w:trPr>
        <w:tc>
          <w:tcPr>
            <w:tcW w:w="198" w:type="pct"/>
            <w:vMerge w:val="restart"/>
            <w:shd w:val="clear" w:color="auto" w:fill="D0CECE" w:themeFill="background2" w:themeFillShade="E6"/>
            <w:noWrap/>
            <w:textDirection w:val="btLr"/>
            <w:vAlign w:val="bottom"/>
            <w:hideMark/>
          </w:tcPr>
          <w:p w14:paraId="675246E2" w14:textId="77777777" w:rsidR="00A80ABA" w:rsidRPr="00C226F8" w:rsidRDefault="00A80ABA" w:rsidP="00C226F8">
            <w:pPr>
              <w:pStyle w:val="NoSpacing"/>
              <w:jc w:val="center"/>
              <w:rPr>
                <w:b/>
                <w:bCs/>
              </w:rPr>
            </w:pPr>
            <w:r w:rsidRPr="00C226F8">
              <w:rPr>
                <w:b/>
                <w:bCs/>
              </w:rPr>
              <w:t>Interventions</w:t>
            </w:r>
          </w:p>
        </w:tc>
        <w:tc>
          <w:tcPr>
            <w:tcW w:w="1155" w:type="pct"/>
            <w:shd w:val="clear" w:color="auto" w:fill="auto"/>
            <w:noWrap/>
            <w:vAlign w:val="bottom"/>
            <w:hideMark/>
          </w:tcPr>
          <w:p w14:paraId="5A763C7E" w14:textId="77777777" w:rsidR="00A80ABA" w:rsidRPr="00B035C5" w:rsidRDefault="00A80ABA" w:rsidP="00B035C5">
            <w:pPr>
              <w:pStyle w:val="NoSpacing"/>
            </w:pPr>
            <w:proofErr w:type="spellStart"/>
            <w:r w:rsidRPr="00B035C5">
              <w:t>coverage_supplementary_feeding_program</w:t>
            </w:r>
            <w:proofErr w:type="spellEnd"/>
          </w:p>
        </w:tc>
        <w:tc>
          <w:tcPr>
            <w:tcW w:w="680" w:type="pct"/>
            <w:shd w:val="clear" w:color="auto" w:fill="auto"/>
            <w:noWrap/>
            <w:vAlign w:val="bottom"/>
            <w:hideMark/>
          </w:tcPr>
          <w:p w14:paraId="04FB994D" w14:textId="77777777" w:rsidR="00A80ABA" w:rsidRPr="00B035C5" w:rsidRDefault="00A80ABA" w:rsidP="00B035C5">
            <w:pPr>
              <w:pStyle w:val="NoSpacing"/>
            </w:pPr>
            <w:r w:rsidRPr="00B035C5">
              <w:t>0.58</w:t>
            </w:r>
          </w:p>
        </w:tc>
        <w:tc>
          <w:tcPr>
            <w:tcW w:w="474" w:type="pct"/>
            <w:shd w:val="clear" w:color="auto" w:fill="auto"/>
            <w:vAlign w:val="bottom"/>
            <w:hideMark/>
          </w:tcPr>
          <w:p w14:paraId="4334C530" w14:textId="75D4A2EF" w:rsidR="00A80ABA" w:rsidRPr="00BD679D" w:rsidRDefault="00A80ABA"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{"citationItems":[{"id":"ITEM-1","itemData":{"DOI":"10.1177/15648265140352S105","ISSN":"03795721","PMID":"25069291","abstract":"Background. Recent success with community-based management of acute malnutrition (CMAM) has spurred interest on how to improve coverage while maintaining treatment outcomes. Objective. To document, as case studies, the experience of three African countries, Malawi, Ghana, and Zambia, in scaling up CMAM. Methods. Desk review using published and unpublished data and country programmatic data and key informant interviews. Results. All three countries, with different motivations for startup, have successfully integrated CMAM into their essential health packages for children under 5 years of age, at least in their policy and strategic documents. Strong leadership by the ministries of health has been instrumental, complemented by key stakeholders and donor partners. Implementation is at variable stages, depending on when the program rolled out, with Malawi having achieved the most integration, followed by Ghana and Zambia. Using CMAM, the three countries have significantly extended service coverage and improved treatment outcomes, with cure rates ranging from 73% in Ghana to 90% in Malawi, while maintaining very low death rates: 1.7% in Malawi, 2% in Ghana, and 5% in Zambia. Conclusions. CMAM is a viable option to improve service coverage and outcomes in health systems where inpatient therapeutic care alone cannot suffice.","author":[{"dropping-particle":"","family":"Maleta","given":"Kenneth","non-dropping-particle":"","parse-names":false,"suffix":""},{"dropping-particle":"","family":"Amadi","given":"Beatrice","non-dropping-particle":"","parse-names":false,"suffix":""}],"container-title":"Food and Nutrition Bulletin","id":"ITEM-1","issue":"2 Suppl","issued":{"date-parts":[["2014","6","1"]]},"page":"S34-S38","publisher":"United Nations University Press","title":"Community-based management of acute malnutrition (CMAM) in sub-Saharan Africa: Case studies from Ghana, Malawi, and Zambia","type":"article-journal","volume":"35"},"uris":["http://www.mendeley.com/documents/?uuid=f29a046a-6e91-31dc-adbb-9e0e62522b74"]}],"mendeley":{"formattedCitation":"&lt;sup&gt;14&lt;/sup&gt;","plainTextFormattedCitation":"14","previouslyFormattedCitation":"&lt;sup&gt;14&lt;/sup&gt;"},"properties":{"noteIndex":0},"schema":"https://github.com/citation-style-language/schema/raw/master/csl-citation.json"}</w:instrText>
            </w:r>
            <w:r>
              <w:rPr>
                <w:rFonts w:ascii="Calibri" w:hAnsi="Calibri" w:cs="Calibri"/>
                <w:color w:val="000000"/>
                <w:szCs w:val="21"/>
                <w:lang w:eastAsia="en-GB"/>
              </w:rPr>
              <w:fldChar w:fldCharType="separate"/>
            </w:r>
            <w:r w:rsidRPr="00A74826">
              <w:rPr>
                <w:rFonts w:ascii="Calibri" w:hAnsi="Calibri" w:cs="Calibri"/>
                <w:noProof/>
                <w:color w:val="000000"/>
                <w:szCs w:val="21"/>
                <w:vertAlign w:val="superscript"/>
                <w:lang w:eastAsia="en-GB"/>
              </w:rPr>
              <w:t>14</w:t>
            </w:r>
            <w:r>
              <w:rPr>
                <w:rFonts w:ascii="Calibri" w:hAnsi="Calibri" w:cs="Calibri"/>
                <w:color w:val="000000"/>
                <w:szCs w:val="21"/>
                <w:lang w:eastAsia="en-GB"/>
              </w:rPr>
              <w:fldChar w:fldCharType="end"/>
            </w:r>
          </w:p>
        </w:tc>
        <w:tc>
          <w:tcPr>
            <w:tcW w:w="1693" w:type="pct"/>
            <w:shd w:val="clear" w:color="auto" w:fill="auto"/>
            <w:noWrap/>
            <w:vAlign w:val="bottom"/>
            <w:hideMark/>
          </w:tcPr>
          <w:p w14:paraId="5A7D8E57" w14:textId="77777777" w:rsidR="00A80ABA" w:rsidRPr="00B035C5" w:rsidRDefault="00A80ABA" w:rsidP="00B035C5">
            <w:pPr>
              <w:pStyle w:val="NoSpacing"/>
            </w:pPr>
            <w:r w:rsidRPr="00B035C5">
              <w:t>coverage of supplementary feeding program for MAM in health centres</w:t>
            </w:r>
          </w:p>
        </w:tc>
        <w:tc>
          <w:tcPr>
            <w:tcW w:w="800" w:type="pct"/>
            <w:vMerge w:val="restart"/>
          </w:tcPr>
          <w:p w14:paraId="57D86DB0" w14:textId="0AC03C5E" w:rsidR="00A80ABA" w:rsidRPr="006820D5" w:rsidRDefault="00A80ABA" w:rsidP="00B035C5">
            <w:pPr>
              <w:pStyle w:val="NoSpacing"/>
              <w:rPr>
                <w:sz w:val="18"/>
                <w:szCs w:val="18"/>
              </w:rPr>
            </w:pPr>
            <w:r w:rsidRPr="00A80ABA">
              <w:rPr>
                <w:sz w:val="18"/>
                <w:szCs w:val="18"/>
              </w:rPr>
              <w:t>Malawi estimates</w:t>
            </w:r>
          </w:p>
        </w:tc>
      </w:tr>
      <w:tr w:rsidR="00A80ABA" w:rsidRPr="00BD679D" w14:paraId="77734ED3" w14:textId="24F4D45A" w:rsidTr="006820D5">
        <w:trPr>
          <w:trHeight w:val="310"/>
        </w:trPr>
        <w:tc>
          <w:tcPr>
            <w:tcW w:w="198" w:type="pct"/>
            <w:vMerge/>
            <w:shd w:val="clear" w:color="auto" w:fill="D0CECE" w:themeFill="background2" w:themeFillShade="E6"/>
            <w:vAlign w:val="center"/>
            <w:hideMark/>
          </w:tcPr>
          <w:p w14:paraId="7BA4BBF4" w14:textId="77777777" w:rsidR="00A80ABA" w:rsidRPr="00C226F8" w:rsidRDefault="00A80ABA" w:rsidP="00C226F8">
            <w:pPr>
              <w:pStyle w:val="NoSpacing"/>
              <w:jc w:val="center"/>
              <w:rPr>
                <w:b/>
                <w:bCs/>
              </w:rPr>
            </w:pPr>
          </w:p>
        </w:tc>
        <w:tc>
          <w:tcPr>
            <w:tcW w:w="1155" w:type="pct"/>
            <w:shd w:val="clear" w:color="auto" w:fill="auto"/>
            <w:noWrap/>
            <w:vAlign w:val="bottom"/>
            <w:hideMark/>
          </w:tcPr>
          <w:p w14:paraId="79CB7B45" w14:textId="77777777" w:rsidR="00A80ABA" w:rsidRPr="00B035C5" w:rsidRDefault="00A80ABA" w:rsidP="00B035C5">
            <w:pPr>
              <w:pStyle w:val="NoSpacing"/>
            </w:pPr>
            <w:proofErr w:type="spellStart"/>
            <w:r w:rsidRPr="00B035C5">
              <w:t>coverage_inpatient_care</w:t>
            </w:r>
            <w:proofErr w:type="spellEnd"/>
          </w:p>
        </w:tc>
        <w:tc>
          <w:tcPr>
            <w:tcW w:w="680" w:type="pct"/>
            <w:shd w:val="clear" w:color="auto" w:fill="auto"/>
            <w:noWrap/>
            <w:vAlign w:val="bottom"/>
            <w:hideMark/>
          </w:tcPr>
          <w:p w14:paraId="0E44FB2F" w14:textId="77777777" w:rsidR="00A80ABA" w:rsidRPr="00B035C5" w:rsidRDefault="00A80ABA" w:rsidP="00B035C5">
            <w:pPr>
              <w:pStyle w:val="NoSpacing"/>
            </w:pPr>
            <w:r w:rsidRPr="00B035C5">
              <w:t>0.98</w:t>
            </w:r>
          </w:p>
        </w:tc>
        <w:tc>
          <w:tcPr>
            <w:tcW w:w="474" w:type="pct"/>
            <w:shd w:val="clear" w:color="auto" w:fill="auto"/>
            <w:vAlign w:val="bottom"/>
            <w:hideMark/>
          </w:tcPr>
          <w:p w14:paraId="0764E9F5" w14:textId="0BD8405F"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{"citationItems":[{"id":"ITEM-1","itemData":{"DOI":"10.1177/15648265140352S105","ISSN":"03795721","PMID":"25069291","abstract":"Background. Recent success with community-based management of acute malnutrition (CMAM) has spurred interest on how to improve coverage while maintaining treatment outcomes. Objective. To document, as case studies, the experience of three African countries, Malawi, Ghana, and Zambia, in scaling up CMAM. Methods. Desk review using published and unpublished data and country programmatic data and key informant interviews. Results. All three countries, with different motivations for startup, have successfully integrated CMAM into their essential health packages for children under 5 years of age, at least in their policy and strategic documents. Strong leadership by the ministries of health has been instrumental, complemented by key stakeholders and donor partners. Implementation is at variable stages, depending on when the program rolled out, with Malawi having achieved the most integration, followed by Ghana and Zambia. Using CMAM, the three countries have significantly extended service coverage and improved treatment outcomes, with cure rates ranging from 73% in Ghana to 90% in Malawi, while maintaining very low death rates: 1.7% in Malawi, 2% in Ghana, and 5% in Zambia. Conclusions. CMAM is a viable option to improve service coverage and outcomes in health systems where inpatient therapeutic care alone cannot suffice.","author":[{"dropping-particle":"","family":"Maleta","given":"Kenneth","non-dropping-particle":"","parse-names":false,"suffix":""},{"dropping-particle":"","family":"Amadi","given":"Beatrice","non-dropping-particle":"","parse-names":false,"suffix":""}],"container-title":"Food and Nutrition Bulletin","id":"ITEM-1","issue":"2 Suppl","issued":{"date-parts":[["2014","6","1"]]},"page":"S34-S38","publisher":"United Nations University Press","title":"Community-based management of acute malnutrition (CMAM) in sub-Saharan Africa: Case studies from Ghana, Malawi, and Zambia","type":"article-journal","volume":"35"},"uris":["http://www.mendeley.com/documents/?uuid=f29a046a-6e91-31dc-adbb-9e0e62522b74"]}],"mendeley":{"formattedCitation":"&lt;sup&gt;14&lt;/sup&gt;","plainTextFormattedCitation":"14","previouslyFormattedCitation":"&lt;sup&gt;14&lt;/sup&gt;"},"properties":{"noteIndex":0},"schema":"https://github.com/citation-style-language/schema/raw/master/csl-citation.json"}</w:instrText>
            </w:r>
            <w:r>
              <w:rPr>
                <w:rFonts w:ascii="Calibri" w:hAnsi="Calibri" w:cs="Calibri"/>
                <w:color w:val="000000"/>
                <w:szCs w:val="21"/>
                <w:lang w:eastAsia="en-GB"/>
              </w:rPr>
              <w:fldChar w:fldCharType="separate"/>
            </w:r>
            <w:r w:rsidRPr="00A74826">
              <w:rPr>
                <w:rFonts w:ascii="Calibri" w:hAnsi="Calibri" w:cs="Calibri"/>
                <w:noProof/>
                <w:color w:val="000000"/>
                <w:szCs w:val="21"/>
                <w:vertAlign w:val="superscript"/>
                <w:lang w:eastAsia="en-GB"/>
              </w:rPr>
              <w:t>14</w:t>
            </w:r>
            <w:r>
              <w:rPr>
                <w:rFonts w:ascii="Calibri" w:hAnsi="Calibri" w:cs="Calibri"/>
                <w:color w:val="000000"/>
                <w:szCs w:val="21"/>
                <w:lang w:eastAsia="en-GB"/>
              </w:rPr>
              <w:fldChar w:fldCharType="end"/>
            </w:r>
          </w:p>
        </w:tc>
        <w:tc>
          <w:tcPr>
            <w:tcW w:w="1693" w:type="pct"/>
            <w:shd w:val="clear" w:color="auto" w:fill="auto"/>
            <w:noWrap/>
            <w:vAlign w:val="bottom"/>
            <w:hideMark/>
          </w:tcPr>
          <w:p w14:paraId="4570121A" w14:textId="77777777" w:rsidR="00A80ABA" w:rsidRPr="00B035C5" w:rsidRDefault="00A80ABA" w:rsidP="00B035C5">
            <w:pPr>
              <w:pStyle w:val="NoSpacing"/>
            </w:pPr>
            <w:r w:rsidRPr="00B035C5">
              <w:t>coverage of inpatient care for complicated SAM in hospitals</w:t>
            </w:r>
          </w:p>
        </w:tc>
        <w:tc>
          <w:tcPr>
            <w:tcW w:w="800" w:type="pct"/>
            <w:vMerge/>
          </w:tcPr>
          <w:p w14:paraId="5F834B3F" w14:textId="77777777" w:rsidR="00A80ABA" w:rsidRPr="006820D5" w:rsidRDefault="00A80ABA" w:rsidP="00B035C5">
            <w:pPr>
              <w:pStyle w:val="NoSpacing"/>
              <w:rPr>
                <w:sz w:val="18"/>
                <w:szCs w:val="18"/>
              </w:rPr>
            </w:pPr>
          </w:p>
        </w:tc>
      </w:tr>
      <w:tr w:rsidR="00A80ABA" w:rsidRPr="00BD679D" w14:paraId="548D0BCE" w14:textId="4AEAA5D3" w:rsidTr="006820D5">
        <w:trPr>
          <w:trHeight w:val="310"/>
        </w:trPr>
        <w:tc>
          <w:tcPr>
            <w:tcW w:w="198" w:type="pct"/>
            <w:vMerge/>
            <w:shd w:val="clear" w:color="auto" w:fill="D0CECE" w:themeFill="background2" w:themeFillShade="E6"/>
            <w:vAlign w:val="center"/>
            <w:hideMark/>
          </w:tcPr>
          <w:p w14:paraId="1DA3FDA0" w14:textId="77777777" w:rsidR="00A80ABA" w:rsidRPr="00C226F8" w:rsidRDefault="00A80ABA" w:rsidP="00C226F8">
            <w:pPr>
              <w:pStyle w:val="NoSpacing"/>
              <w:jc w:val="center"/>
              <w:rPr>
                <w:b/>
                <w:bCs/>
              </w:rPr>
            </w:pPr>
          </w:p>
        </w:tc>
        <w:tc>
          <w:tcPr>
            <w:tcW w:w="1155" w:type="pct"/>
            <w:shd w:val="clear" w:color="auto" w:fill="auto"/>
            <w:noWrap/>
            <w:vAlign w:val="bottom"/>
            <w:hideMark/>
          </w:tcPr>
          <w:p w14:paraId="3745981A" w14:textId="77777777" w:rsidR="00A80ABA" w:rsidRPr="00B035C5" w:rsidRDefault="00A80ABA" w:rsidP="00B035C5">
            <w:pPr>
              <w:pStyle w:val="NoSpacing"/>
            </w:pPr>
            <w:proofErr w:type="spellStart"/>
            <w:r w:rsidRPr="00B035C5">
              <w:t>coverage_outpatient_therapeutic_care</w:t>
            </w:r>
            <w:proofErr w:type="spellEnd"/>
          </w:p>
        </w:tc>
        <w:tc>
          <w:tcPr>
            <w:tcW w:w="680" w:type="pct"/>
            <w:shd w:val="clear" w:color="auto" w:fill="auto"/>
            <w:noWrap/>
            <w:vAlign w:val="bottom"/>
            <w:hideMark/>
          </w:tcPr>
          <w:p w14:paraId="03E8E109" w14:textId="77777777" w:rsidR="00A80ABA" w:rsidRPr="00B035C5" w:rsidRDefault="00A80ABA" w:rsidP="00B035C5">
            <w:pPr>
              <w:pStyle w:val="NoSpacing"/>
            </w:pPr>
            <w:r w:rsidRPr="00B035C5">
              <w:t>0.82</w:t>
            </w:r>
          </w:p>
        </w:tc>
        <w:tc>
          <w:tcPr>
            <w:tcW w:w="474" w:type="pct"/>
            <w:shd w:val="clear" w:color="auto" w:fill="auto"/>
            <w:vAlign w:val="bottom"/>
            <w:hideMark/>
          </w:tcPr>
          <w:p w14:paraId="180DC39B" w14:textId="4F021A1E"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{"citationItems":[{"id":"ITEM-1","itemData":{"DOI":"10.1177/15648265140352S105","ISSN":"03795721","PMID":"25069291","abstract":"Background. Recent success with community-based management of acute malnutrition (CMAM) has spurred interest on how to improve coverage while maintaining treatment outcomes. Objective. To document, as case studies, the experience of three African countries, Malawi, Ghana, and Zambia, in scaling up CMAM. Methods. Desk review using published and unpublished data and country programmatic data and key informant interviews. Results. All three countries, with different motivations for startup, have successfully integrated CMAM into their essential health packages for children under 5 years of age, at least in their policy and strategic documents. Strong leadership by the ministries of health has been instrumental, complemented by key stakeholders and donor partners. Implementation is at variable stages, depending on when the program rolled out, with Malawi having achieved the most integration, followed by Ghana and Zambia. Using CMAM, the three countries have significantly extended service coverage and improved treatment outcomes, with cure rates ranging from 73% in Ghana to 90% in Malawi, while maintaining very low death rates: 1.7% in Malawi, 2% in Ghana, and 5% in Zambia. Conclusions. CMAM is a viable option to improve service coverage and outcomes in health systems where inpatient therapeutic care alone cannot suffice.","author":[{"dropping-particle":"","family":"Maleta","given":"Kenneth","non-dropping-particle":"","parse-names":false,"suffix":""},{"dropping-particle":"","family":"Amadi","given":"Beatrice","non-dropping-particle":"","parse-names":false,"suffix":""}],"container-title":"Food and Nutrition Bulletin","id":"ITEM-1","issue":"2 Suppl","issued":{"date-parts":[["2014","6","1"]]},"page":"S34-S38","publisher":"United Nations University Press","title":"Community-based management of acute malnutrition (CMAM) in sub-Saharan Africa: Case studies from Ghana, Malawi, and Zambia","type":"article-journal","volume":"35"},"uris":["http://www.mendeley.com/documents/?uuid=f29a046a-6e91-31dc-adbb-9e0e62522b74"]}],"mendeley":{"formattedCitation":"&lt;sup&gt;14&lt;/sup&gt;","plainTextFormattedCitation":"14","previouslyFormattedCitation":"&lt;sup&gt;14&lt;/sup&gt;"},"properties":{"noteIndex":0},"schema":"https://github.com/citation-style-language/schema/raw/master/csl-citation.json"}</w:instrText>
            </w:r>
            <w:r>
              <w:rPr>
                <w:rFonts w:ascii="Calibri" w:hAnsi="Calibri" w:cs="Calibri"/>
                <w:color w:val="000000"/>
                <w:szCs w:val="21"/>
                <w:lang w:eastAsia="en-GB"/>
              </w:rPr>
              <w:fldChar w:fldCharType="separate"/>
            </w:r>
            <w:r w:rsidRPr="00A74826">
              <w:rPr>
                <w:rFonts w:ascii="Calibri" w:hAnsi="Calibri" w:cs="Calibri"/>
                <w:noProof/>
                <w:color w:val="000000"/>
                <w:szCs w:val="21"/>
                <w:vertAlign w:val="superscript"/>
                <w:lang w:eastAsia="en-GB"/>
              </w:rPr>
              <w:t>14</w:t>
            </w:r>
            <w:r>
              <w:rPr>
                <w:rFonts w:ascii="Calibri" w:hAnsi="Calibri" w:cs="Calibri"/>
                <w:color w:val="000000"/>
                <w:szCs w:val="21"/>
                <w:lang w:eastAsia="en-GB"/>
              </w:rPr>
              <w:fldChar w:fldCharType="end"/>
            </w:r>
          </w:p>
        </w:tc>
        <w:tc>
          <w:tcPr>
            <w:tcW w:w="1693" w:type="pct"/>
            <w:shd w:val="clear" w:color="auto" w:fill="auto"/>
            <w:noWrap/>
            <w:vAlign w:val="bottom"/>
            <w:hideMark/>
          </w:tcPr>
          <w:p w14:paraId="6315C0A9" w14:textId="77777777" w:rsidR="00A80ABA" w:rsidRPr="00B035C5" w:rsidRDefault="00A80ABA" w:rsidP="00B035C5">
            <w:pPr>
              <w:pStyle w:val="NoSpacing"/>
            </w:pPr>
            <w:r w:rsidRPr="00B035C5">
              <w:t>coverage of outpatient therapeutic care for SAM in health centres</w:t>
            </w:r>
          </w:p>
        </w:tc>
        <w:tc>
          <w:tcPr>
            <w:tcW w:w="800" w:type="pct"/>
            <w:vMerge/>
          </w:tcPr>
          <w:p w14:paraId="26E865BF" w14:textId="77777777" w:rsidR="00A80ABA" w:rsidRPr="006820D5" w:rsidRDefault="00A80ABA" w:rsidP="00B035C5">
            <w:pPr>
              <w:pStyle w:val="NoSpacing"/>
              <w:rPr>
                <w:sz w:val="18"/>
                <w:szCs w:val="18"/>
              </w:rPr>
            </w:pPr>
          </w:p>
        </w:tc>
      </w:tr>
      <w:tr w:rsidR="00A80ABA" w:rsidRPr="00BD679D" w14:paraId="27953220" w14:textId="3C941EE9" w:rsidTr="006820D5">
        <w:trPr>
          <w:trHeight w:val="310"/>
        </w:trPr>
        <w:tc>
          <w:tcPr>
            <w:tcW w:w="198" w:type="pct"/>
            <w:vMerge/>
            <w:shd w:val="clear" w:color="auto" w:fill="D0CECE" w:themeFill="background2" w:themeFillShade="E6"/>
            <w:vAlign w:val="center"/>
            <w:hideMark/>
          </w:tcPr>
          <w:p w14:paraId="420AB3B4" w14:textId="77777777" w:rsidR="00A80ABA" w:rsidRPr="00C226F8" w:rsidRDefault="00A80ABA" w:rsidP="00C226F8">
            <w:pPr>
              <w:pStyle w:val="NoSpacing"/>
              <w:jc w:val="center"/>
              <w:rPr>
                <w:b/>
                <w:bCs/>
              </w:rPr>
            </w:pPr>
          </w:p>
        </w:tc>
        <w:tc>
          <w:tcPr>
            <w:tcW w:w="1155" w:type="pct"/>
            <w:shd w:val="clear" w:color="auto" w:fill="auto"/>
            <w:noWrap/>
            <w:vAlign w:val="bottom"/>
            <w:hideMark/>
          </w:tcPr>
          <w:p w14:paraId="2F9CE060" w14:textId="2A8F36A4" w:rsidR="00A80ABA" w:rsidRPr="00B035C5" w:rsidRDefault="00A80ABA" w:rsidP="00B035C5">
            <w:pPr>
              <w:pStyle w:val="NoSpacing"/>
            </w:pPr>
            <w:proofErr w:type="spellStart"/>
            <w:r>
              <w:t>recovery_rate_with_</w:t>
            </w:r>
            <w:r w:rsidRPr="00B035C5">
              <w:t>outpatient_therapeutic_care</w:t>
            </w:r>
            <w:proofErr w:type="spellEnd"/>
          </w:p>
        </w:tc>
        <w:tc>
          <w:tcPr>
            <w:tcW w:w="680" w:type="pct"/>
            <w:shd w:val="clear" w:color="auto" w:fill="auto"/>
            <w:noWrap/>
            <w:vAlign w:val="bottom"/>
            <w:hideMark/>
          </w:tcPr>
          <w:p w14:paraId="30589081" w14:textId="77777777" w:rsidR="00A80ABA" w:rsidRPr="00B035C5" w:rsidRDefault="00A80ABA" w:rsidP="00B035C5">
            <w:pPr>
              <w:pStyle w:val="NoSpacing"/>
            </w:pPr>
            <w:r w:rsidRPr="00B035C5">
              <w:t>0.9</w:t>
            </w:r>
          </w:p>
        </w:tc>
        <w:tc>
          <w:tcPr>
            <w:tcW w:w="474" w:type="pct"/>
            <w:shd w:val="clear" w:color="auto" w:fill="auto"/>
            <w:vAlign w:val="bottom"/>
            <w:hideMark/>
          </w:tcPr>
          <w:p w14:paraId="50AC5F3B" w14:textId="16925533"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{"citationItems":[{"id":"ITEM-1","itemData":{"DOI":"10.1177/15648265140352S105","ISSN":"03795721","PMID":"25069291","abstract":"Background. Recent success with community-based management of acute malnutrition (CMAM) has spurred interest on how to improve coverage while maintaining treatment outcomes. Objective. To document, as case studies, the experience of three African countries, Malawi, Ghana, and Zambia, in scaling up CMAM. Methods. Desk review using published and unpublished data and country programmatic data and key informant interviews. Results. All three countries, with different motivations for startup, have successfully integrated CMAM into their essential health packages for children under 5 years of age, at least in their policy and strategic documents. Strong leadership by the ministries of health has been instrumental, complemented by key stakeholders and donor partners. Implementation is at variable stages, depending on when the program rolled out, with Malawi having achieved the most integration, followed by Ghana and Zambia. Using CMAM, the three countries have significantly extended service coverage and improved treatment outcomes, with cure rates ranging from 73% in Ghana to 90% in Malawi, while maintaining very low death rates: 1.7% in Malawi, 2% in Ghana, and 5% in Zambia. Conclusions. CMAM is a viable option to improve service coverage and outcomes in health systems where inpatient therapeutic care alone cannot suffice.","author":[{"dropping-particle":"","family":"Maleta","given":"Kenneth","non-dropping-particle":"","parse-names":false,"suffix":""},{"dropping-particle":"","family":"Amadi","given":"Beatrice","non-dropping-particle":"","parse-names":false,"suffix":""}],"container-title":"Food and Nutrition Bulletin","id":"ITEM-1","issue":"2 Suppl","issued":{"date-parts":[["2014","6","1"]]},"page":"S34-S38","publisher":"United Nations University Press","title":"Community-based management of acute malnutrition (CMAM) in sub-Saharan Africa: Case studies from Ghana, Malawi, and Zambia","type":"article-journal","volume":"35"},"uris":["http://www.mendeley.com/documents/?uuid=f29a046a-6e91-31dc-adbb-9e0e62522b74"]}],"mendeley":{"formattedCitation":"&lt;sup&gt;14&lt;/sup&gt;","plainTextFormattedCitation":"14","previouslyFormattedCitation":"&lt;sup&gt;14&lt;/sup&gt;"},"properties":{"noteIndex":0},"schema":"https://github.com/citation-style-language/schema/raw/master/csl-citation.json"}</w:instrText>
            </w:r>
            <w:r>
              <w:rPr>
                <w:rFonts w:ascii="Calibri" w:hAnsi="Calibri" w:cs="Calibri"/>
                <w:color w:val="000000"/>
                <w:szCs w:val="21"/>
                <w:lang w:eastAsia="en-GB"/>
              </w:rPr>
              <w:fldChar w:fldCharType="separate"/>
            </w:r>
            <w:r w:rsidRPr="00A74826">
              <w:rPr>
                <w:rFonts w:ascii="Calibri" w:hAnsi="Calibri" w:cs="Calibri"/>
                <w:noProof/>
                <w:color w:val="000000"/>
                <w:szCs w:val="21"/>
                <w:vertAlign w:val="superscript"/>
                <w:lang w:eastAsia="en-GB"/>
              </w:rPr>
              <w:t>14</w:t>
            </w:r>
            <w:r>
              <w:rPr>
                <w:rFonts w:ascii="Calibri" w:hAnsi="Calibri" w:cs="Calibri"/>
                <w:color w:val="000000"/>
                <w:szCs w:val="21"/>
                <w:lang w:eastAsia="en-GB"/>
              </w:rPr>
              <w:fldChar w:fldCharType="end"/>
            </w:r>
          </w:p>
        </w:tc>
        <w:tc>
          <w:tcPr>
            <w:tcW w:w="1693" w:type="pct"/>
            <w:shd w:val="clear" w:color="auto" w:fill="auto"/>
            <w:noWrap/>
            <w:vAlign w:val="bottom"/>
            <w:hideMark/>
          </w:tcPr>
          <w:p w14:paraId="7FCE4760" w14:textId="504A73E4" w:rsidR="00A80ABA" w:rsidRPr="00B035C5" w:rsidRDefault="00A80ABA" w:rsidP="00B035C5">
            <w:pPr>
              <w:pStyle w:val="NoSpacing"/>
            </w:pPr>
            <w:r>
              <w:t>(</w:t>
            </w:r>
            <w:r w:rsidRPr="00B035C5">
              <w:t>not use</w:t>
            </w:r>
            <w:r>
              <w:t xml:space="preserve">d, using instead recovery rate using RUTF) national cure rate for outpatient therapeutic care </w:t>
            </w:r>
          </w:p>
        </w:tc>
        <w:tc>
          <w:tcPr>
            <w:tcW w:w="800" w:type="pct"/>
            <w:vMerge/>
          </w:tcPr>
          <w:p w14:paraId="1972B846" w14:textId="77777777" w:rsidR="00A80ABA" w:rsidRPr="006820D5" w:rsidRDefault="00A80ABA" w:rsidP="00B035C5">
            <w:pPr>
              <w:pStyle w:val="NoSpacing"/>
              <w:rPr>
                <w:sz w:val="18"/>
                <w:szCs w:val="18"/>
              </w:rPr>
            </w:pPr>
          </w:p>
        </w:tc>
      </w:tr>
      <w:tr w:rsidR="003229FE" w:rsidRPr="00BD679D" w14:paraId="5DFF9372" w14:textId="611410EC" w:rsidTr="006820D5">
        <w:trPr>
          <w:trHeight w:val="310"/>
        </w:trPr>
        <w:tc>
          <w:tcPr>
            <w:tcW w:w="198" w:type="pct"/>
            <w:vMerge/>
            <w:shd w:val="clear" w:color="auto" w:fill="D0CECE" w:themeFill="background2" w:themeFillShade="E6"/>
            <w:vAlign w:val="center"/>
            <w:hideMark/>
          </w:tcPr>
          <w:p w14:paraId="21B0C008"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14C3B48C" w14:textId="77777777" w:rsidR="003229FE" w:rsidRPr="00B035C5" w:rsidRDefault="003229FE" w:rsidP="00B035C5">
            <w:pPr>
              <w:pStyle w:val="NoSpacing"/>
            </w:pPr>
            <w:proofErr w:type="spellStart"/>
            <w:r w:rsidRPr="00B035C5">
              <w:t>recovery_rate_with_standard_RUTF</w:t>
            </w:r>
            <w:proofErr w:type="spellEnd"/>
          </w:p>
        </w:tc>
        <w:tc>
          <w:tcPr>
            <w:tcW w:w="680" w:type="pct"/>
            <w:shd w:val="clear" w:color="auto" w:fill="auto"/>
            <w:noWrap/>
            <w:vAlign w:val="bottom"/>
            <w:hideMark/>
          </w:tcPr>
          <w:p w14:paraId="32F216D5" w14:textId="77777777" w:rsidR="003229FE" w:rsidRPr="00B035C5" w:rsidRDefault="003229FE" w:rsidP="00B035C5">
            <w:pPr>
              <w:pStyle w:val="NoSpacing"/>
            </w:pPr>
            <w:r w:rsidRPr="00B035C5">
              <w:t>0.738</w:t>
            </w:r>
          </w:p>
        </w:tc>
        <w:tc>
          <w:tcPr>
            <w:tcW w:w="474" w:type="pct"/>
            <w:shd w:val="clear" w:color="auto" w:fill="auto"/>
            <w:noWrap/>
            <w:vAlign w:val="bottom"/>
            <w:hideMark/>
          </w:tcPr>
          <w:p w14:paraId="0C62B728" w14:textId="29B16756" w:rsidR="003229FE" w:rsidRPr="00BD679D" w:rsidRDefault="003229FE"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sidR="00E91E1B">
              <w:rPr>
                <w:rFonts w:ascii="Calibri" w:hAnsi="Calibri" w:cs="Calibri"/>
                <w:color w:val="000000"/>
                <w:szCs w:val="21"/>
                <w:lang w:eastAsia="en-GB"/>
              </w:rPr>
              <w:fldChar w:fldCharType="begin" w:fldLock="1"/>
            </w:r>
            <w:r w:rsidR="00CD679E">
              <w:rPr>
                <w:rFonts w:ascii="Calibri" w:hAnsi="Calibri" w:cs="Calibri"/>
                <w:color w:val="000000"/>
                <w:szCs w:val="21"/>
                <w:lang w:eastAsia="en-GB"/>
              </w:rPr>
              <w:instrText>ADDIN CSL_CITATION {"citationItems":[{"id":"ITEM-1","itemData":{"DOI":"10.1002/14651858.CD009000.pub3","ISSN":"1469493X","PMID":"31090070","abstract":"Background Management of severe acute malnutrition (SAM) in children comprises two potential phases: stabilisation and rehabilitation. During the initial stabilisation phase, children receive treatment for dehydration, electrolyte imbalances, intercurrent infections and other complications. In the rehabilitation phase (applicable to children presenting with uncomplicated SAM or those with complicated SAM after complications have been resolved), catch-up growth is the main focus and the recommended energy and protein requirements are much higher. In-hospital rehabilitation of children with SAM is not always desirable or practical-especially in rural settings-and home-based care can offer a better solution. Ready-to-use therapeutic food (RUTF) is a widely used option for home-based rehabilitation, but the findings of our previous review were inconclusive. Objectives To assess the effects of home-based RUTF used during the rehabilitation phase of SAM in children aged between six months and five years on recovery, relapse, mortality and rate of weight gain. Search methods We searched the following databases in October 2018: CENTRAL, MEDLINE, Embase, six other databases and three trials registers. We ran separate searches for cost-effectiveness studies, contacted researchers and healthcare professionals in the field, and checked bibliographies of included studies and relevant reviews. Selection criteria Randomised controlled trials (RCTs) and quasi-RCTs, where children aged between six months and five years with SAM were, during the rehabilitation phase, treated at home with RUTF compared to an alternative dietary approach, or with different regimens and formulations of RUTF compared to each other. We assessed recovery, deterioration or relapse and mortality as primary outcomes; and rate of weight gain, time to recovery, anthropometrical changes, cognitive development and function, adverse outcomes and acceptability as secondary outcomes. Data collection and analysis We screened for eligible studies, extracted data and assessed risk of bias of those included, independently and in duplicate. Where data allowed, we performed a random-effects meta-analysis using Review Manager 5, and investigated substantial heterogeneity through subgroup and sensitivity analyses. For the main outcomes, we evaluated the quality of the evidence using GRADE, and presented results in a ’Summary of findings’ table per comparison. Main results We included 15 eligible studies (n = 79…","author":[{"dropping-particle":"","family":"Schoonees","given":"Anel","non-dropping-particle":"","parse-names":false,"suffix":""},{"dropping-particle":"","family":"Lombard","given":"Martani J.","non-dropping-particle":"","parse-names":false,"suffix":""},{"dropping-particle":"","family":"Musekiwa","given":"Alfred","non-dropping-particle":"","parse-names":false,"suffix":""},{"dropping-particle":"","family":"Nel","given":"Etienne","non-dropping-particle":"","parse-names":false,"suffix":""},{"dropping-particle":"","family":"Volmink","given":"Jimmy","non-dropping-particle":"","parse-names":false,"suffix":""}],"container-title":"Cochrane Database of Systematic Reviews","id":"ITEM-1","issue":"5","issued":{"date-parts":[["2019","5","15"]]},"publisher":"John Wiley and Sons Ltd","title":"Ready-to-use therapeutic food (RUTF) for home-based nutritional rehabilitation of severe acute malnutrition in children from six months to five years of age","type":"article","volume":"2019"},"uris":["http://www.mendeley.com/documents/?uuid=9eed2fef-95df-3608-8483-118296dfce92"]}],"mendeley":{"formattedCitation":"&lt;sup&gt;15&lt;/sup&gt;","plainTextFormattedCitation":"15","previouslyFormattedCitation":"&lt;sup&gt;15&lt;/sup&gt;"},"properties":{"noteIndex":0},"schema":"https://github.com/citation-style-language/schema/raw/master/csl-citation.json"}</w:instrText>
            </w:r>
            <w:r w:rsidR="00E91E1B">
              <w:rPr>
                <w:rFonts w:ascii="Calibri" w:hAnsi="Calibri" w:cs="Calibri"/>
                <w:color w:val="000000"/>
                <w:szCs w:val="21"/>
                <w:lang w:eastAsia="en-GB"/>
              </w:rPr>
              <w:fldChar w:fldCharType="separate"/>
            </w:r>
            <w:r w:rsidR="00E91E1B" w:rsidRPr="00E91E1B">
              <w:rPr>
                <w:rFonts w:ascii="Calibri" w:hAnsi="Calibri" w:cs="Calibri"/>
                <w:noProof/>
                <w:color w:val="000000"/>
                <w:szCs w:val="21"/>
                <w:vertAlign w:val="superscript"/>
                <w:lang w:eastAsia="en-GB"/>
              </w:rPr>
              <w:t>15</w:t>
            </w:r>
            <w:r w:rsidR="00E91E1B">
              <w:rPr>
                <w:rFonts w:ascii="Calibri" w:hAnsi="Calibri" w:cs="Calibri"/>
                <w:color w:val="000000"/>
                <w:szCs w:val="21"/>
                <w:lang w:eastAsia="en-GB"/>
              </w:rPr>
              <w:fldChar w:fldCharType="end"/>
            </w:r>
          </w:p>
        </w:tc>
        <w:tc>
          <w:tcPr>
            <w:tcW w:w="1693" w:type="pct"/>
            <w:shd w:val="clear" w:color="auto" w:fill="auto"/>
            <w:noWrap/>
            <w:vAlign w:val="bottom"/>
            <w:hideMark/>
          </w:tcPr>
          <w:p w14:paraId="421941D6" w14:textId="77777777" w:rsidR="003229FE" w:rsidRPr="00B035C5" w:rsidRDefault="003229FE" w:rsidP="00B035C5">
            <w:pPr>
              <w:pStyle w:val="NoSpacing"/>
            </w:pPr>
            <w:r w:rsidRPr="00B035C5">
              <w:t xml:space="preserve">recovery rate of SAM if given standard ready-to-use therapeutic food (RUTF) treatment </w:t>
            </w:r>
          </w:p>
        </w:tc>
        <w:tc>
          <w:tcPr>
            <w:tcW w:w="800" w:type="pct"/>
          </w:tcPr>
          <w:p w14:paraId="59DA101D" w14:textId="4FB12C10" w:rsidR="003229FE" w:rsidRPr="006820D5" w:rsidRDefault="00A80ABA" w:rsidP="00B035C5">
            <w:pPr>
              <w:pStyle w:val="NoSpacing"/>
              <w:rPr>
                <w:sz w:val="18"/>
                <w:szCs w:val="18"/>
              </w:rPr>
            </w:pPr>
            <w:r>
              <w:rPr>
                <w:sz w:val="18"/>
                <w:szCs w:val="18"/>
              </w:rPr>
              <w:t>Value from a Cochrane review, lower than ‘</w:t>
            </w:r>
            <w:proofErr w:type="spellStart"/>
            <w:r>
              <w:rPr>
                <w:sz w:val="18"/>
                <w:szCs w:val="18"/>
              </w:rPr>
              <w:t>recovery_rate_withoutpatient_therapeutic_care</w:t>
            </w:r>
            <w:proofErr w:type="spellEnd"/>
            <w:r>
              <w:rPr>
                <w:sz w:val="18"/>
                <w:szCs w:val="18"/>
              </w:rPr>
              <w:t>’</w:t>
            </w:r>
          </w:p>
        </w:tc>
      </w:tr>
      <w:tr w:rsidR="003229FE" w:rsidRPr="00BD679D" w14:paraId="60EA4531" w14:textId="1DA91555" w:rsidTr="006820D5">
        <w:trPr>
          <w:trHeight w:val="310"/>
        </w:trPr>
        <w:tc>
          <w:tcPr>
            <w:tcW w:w="198" w:type="pct"/>
            <w:vMerge/>
            <w:shd w:val="clear" w:color="auto" w:fill="D0CECE" w:themeFill="background2" w:themeFillShade="E6"/>
            <w:vAlign w:val="center"/>
            <w:hideMark/>
          </w:tcPr>
          <w:p w14:paraId="30C85B0D"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1159C503" w14:textId="77777777" w:rsidR="003229FE" w:rsidRPr="00B035C5" w:rsidRDefault="003229FE" w:rsidP="00B035C5">
            <w:pPr>
              <w:pStyle w:val="NoSpacing"/>
            </w:pPr>
            <w:proofErr w:type="spellStart"/>
            <w:r w:rsidRPr="00B035C5">
              <w:t>recovery_rate_with_soy_RUSF</w:t>
            </w:r>
            <w:proofErr w:type="spellEnd"/>
          </w:p>
        </w:tc>
        <w:tc>
          <w:tcPr>
            <w:tcW w:w="680" w:type="pct"/>
            <w:shd w:val="clear" w:color="auto" w:fill="auto"/>
            <w:noWrap/>
            <w:vAlign w:val="bottom"/>
            <w:hideMark/>
          </w:tcPr>
          <w:p w14:paraId="3BE7BBE9" w14:textId="77777777" w:rsidR="003229FE" w:rsidRPr="00B035C5" w:rsidRDefault="003229FE" w:rsidP="00B035C5">
            <w:pPr>
              <w:pStyle w:val="NoSpacing"/>
            </w:pPr>
            <w:r w:rsidRPr="00B035C5">
              <w:t>0.805</w:t>
            </w:r>
          </w:p>
        </w:tc>
        <w:tc>
          <w:tcPr>
            <w:tcW w:w="474" w:type="pct"/>
            <w:shd w:val="clear" w:color="auto" w:fill="auto"/>
            <w:noWrap/>
            <w:vAlign w:val="bottom"/>
            <w:hideMark/>
          </w:tcPr>
          <w:p w14:paraId="4420BFD9" w14:textId="6A424746" w:rsidR="003229FE" w:rsidRPr="00BD679D" w:rsidRDefault="00437F19"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CD679E">
              <w:rPr>
                <w:rFonts w:ascii="Calibri" w:hAnsi="Calibri" w:cs="Calibri"/>
                <w:color w:val="000000"/>
                <w:szCs w:val="21"/>
                <w:lang w:eastAsia="en-GB"/>
              </w:rPr>
              <w:instrText xml:space="preserve">ADDIN CSL_CITATION {"citationItems":[{"id":"ITEM-1","itemData":{"DOI":"10.3945/ajcn.115.124636","ISSN":"19383207","PMID":"26864368","abstract":"Background: The utility of dairy ingredients in the supplementary foods used in the treatment of childhood moderate acute malnutrition (MAM) remains unsettled. Objective: We evaluated the effectiveness of a peanut-based readyto- use supplementary food (RUSF) with soy protein compared with a novel RUSF containing dairy ingredients in the form of whey permeate and whey protein concentrate in the treatment of children with MAM. Design: We conducted a randomized, double-blind clinical effectiveness trial involving rural Malawian and Mozambican children 6-59 mo of age with MAM treated with either soy RUSF or a novel whey RUSF treatment of </w:instrText>
            </w:r>
            <w:r w:rsidR="00CD679E">
              <w:rPr>
                <w:rFonts w:ascii="Cambria Math" w:hAnsi="Cambria Math" w:cs="Cambria Math"/>
                <w:color w:val="000000"/>
                <w:szCs w:val="21"/>
                <w:lang w:eastAsia="en-GB"/>
              </w:rPr>
              <w:instrText>∼</w:instrText>
            </w:r>
            <w:r w:rsidR="00CD679E">
              <w:rPr>
                <w:rFonts w:ascii="Calibri" w:hAnsi="Calibri" w:cs="Calibri"/>
                <w:color w:val="000000"/>
                <w:szCs w:val="21"/>
                <w:lang w:eastAsia="en-GB"/>
              </w:rPr>
              <w:instrText>75 kcal kg-1 d-1 for up to 12 wk. Results: The proportion of children that recovered from MAM was significantly higher in the group that received whey RUSF (960 of 1144; 83.9%) than in the group that received soy RUSF (874 of 1086; 80.5%; P &lt; 0.04; risk difference 3.4%, 95% CI: 0.3%, 6.6%). Children who consumed whey RUSF also demonstrated better growth markers, with a higher mean midupper arm circumference (MUAC) at the time of discharge (P &lt; 0.009), greater MUAC gain during the course of treatment (P &lt; 0.003), higher mean weight-forheight z score at discharge (P &lt; 0.008), and greater weight gain (P &lt; 0.05). No significant differences were identified in length gain or time to recovery between the 2 groups. Conclusion: This study highlights the importance of milk protein in the treatment of MAM, because the use of a novel whey RUSF resulted in higher recovery rates and improved growth than did soy RUSF, although the whey RUSF supplement provided less total protein and energy than the soy RUSF.","author":[{"dropping-particle":"","family":"Stobaugh","given":"Heather C.","non-dropping-particle":"","parse-names":false,"suffix":""},{"dropping-particle":"","family":"Ryan","given":"Kelsey N.","non-dropping-particle":"","parse-names":false,"suffix":""},{"dropping-particle":"","family":"Kennedy","given":"Julie A.","non-dropping-particle":"","parse-names":false,"suffix":""},{"dropping-particle":"","family":"Grise","given":"Jennifer B.","non-dropping-particle":"","parse-names":false,"suffix":""},{"dropping-particle":"","family":"Crocker","given":"Audrey H.","non-dropping-particle":"","parse-names":false,"suffix":""},{"dropping-particle":"","family":"Thakwalakwa","given":"Chrissie","non-dropping-particle":"","parse-names":false,"suffix":""},{"dropping-particle":"","family":"Litkowski","given":"Patricia E.","non-dropping-particle":"","parse-names":false,"suffix":""},{"dropping-particle":"","family":"Maleta","given":"Kenneth M.","non-dropping-particle":"","parse-names":false,"suffix":""},{"dropping-particle":"","family":"Manary","given":"Mark J.","non-dropping-particle":"","parse-names":false,"suffix":""},{"dropping-particle":"","family":"Trehan","given":"Indi","non-dropping-particle":"","parse-names":false,"suffix":""}],"container-title":"American Journal of Clinical Nutrition","id":"ITEM-1","issue":"3","issued":{"date-parts":[["2016","3","1"]]},"page":"926-933","publisher":"American Society for Nutrition","title":"Including whey protein and whey permeate in ready-to-use supplementary food improves recovery rates in children with moderate acute malnutrition: A randomized, double-blind clinical trial","type":"article-journal","volume":"103"},"uris":["http://www.mendeley.com/documents/?uuid=69671a8a-d39f-302f-9361-97bb92c244d8"]}],"mendeley":{"formattedCitation":"&lt;sup&gt;16&lt;/sup&gt;","plainTextFormattedCitation":"16","previouslyFormattedCitation":"&lt;sup&gt;16&lt;/sup&gt;"},"properties":{"noteIndex":0},"schema":"https://github.com/citation-style-language/schema/raw/master/csl-citation.json"}</w:instrText>
            </w:r>
            <w:r>
              <w:rPr>
                <w:rFonts w:ascii="Calibri" w:hAnsi="Calibri" w:cs="Calibri"/>
                <w:color w:val="000000"/>
                <w:szCs w:val="21"/>
                <w:lang w:eastAsia="en-GB"/>
              </w:rPr>
              <w:fldChar w:fldCharType="separate"/>
            </w:r>
            <w:r w:rsidR="00E91E1B" w:rsidRPr="00E91E1B">
              <w:rPr>
                <w:rFonts w:ascii="Calibri" w:hAnsi="Calibri" w:cs="Calibri"/>
                <w:noProof/>
                <w:color w:val="000000"/>
                <w:szCs w:val="21"/>
                <w:vertAlign w:val="superscript"/>
                <w:lang w:eastAsia="en-GB"/>
              </w:rPr>
              <w:t>16</w:t>
            </w:r>
            <w:r>
              <w:rPr>
                <w:rFonts w:ascii="Calibri" w:hAnsi="Calibri" w:cs="Calibri"/>
                <w:color w:val="000000"/>
                <w:szCs w:val="21"/>
                <w:lang w:eastAsia="en-GB"/>
              </w:rPr>
              <w:fldChar w:fldCharType="end"/>
            </w:r>
          </w:p>
        </w:tc>
        <w:tc>
          <w:tcPr>
            <w:tcW w:w="1693" w:type="pct"/>
            <w:shd w:val="clear" w:color="auto" w:fill="auto"/>
            <w:noWrap/>
            <w:vAlign w:val="bottom"/>
            <w:hideMark/>
          </w:tcPr>
          <w:p w14:paraId="376CB861" w14:textId="77777777" w:rsidR="003229FE" w:rsidRPr="00B035C5" w:rsidRDefault="003229FE" w:rsidP="00B035C5">
            <w:pPr>
              <w:pStyle w:val="NoSpacing"/>
            </w:pPr>
            <w:r w:rsidRPr="00B035C5">
              <w:t>recovery rate of MAM if given soy ready-to-use supplementary food (RUSF) treatment</w:t>
            </w:r>
          </w:p>
        </w:tc>
        <w:tc>
          <w:tcPr>
            <w:tcW w:w="800" w:type="pct"/>
          </w:tcPr>
          <w:p w14:paraId="7AA42DD3" w14:textId="7FE201FB" w:rsidR="003229FE" w:rsidRPr="006820D5" w:rsidRDefault="00A80ABA" w:rsidP="00B035C5">
            <w:pPr>
              <w:pStyle w:val="NoSpacing"/>
              <w:rPr>
                <w:sz w:val="18"/>
                <w:szCs w:val="18"/>
              </w:rPr>
            </w:pPr>
            <w:r>
              <w:rPr>
                <w:sz w:val="18"/>
                <w:szCs w:val="18"/>
              </w:rPr>
              <w:t>Malawi-specific</w:t>
            </w:r>
          </w:p>
        </w:tc>
      </w:tr>
      <w:tr w:rsidR="003229FE" w:rsidRPr="00BD679D" w14:paraId="6A4ECBF0" w14:textId="077EF097" w:rsidTr="006820D5">
        <w:trPr>
          <w:trHeight w:val="310"/>
        </w:trPr>
        <w:tc>
          <w:tcPr>
            <w:tcW w:w="198" w:type="pct"/>
            <w:vMerge/>
            <w:shd w:val="clear" w:color="auto" w:fill="D0CECE" w:themeFill="background2" w:themeFillShade="E6"/>
            <w:vAlign w:val="center"/>
            <w:hideMark/>
          </w:tcPr>
          <w:p w14:paraId="166D4E7B"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7A688AD0" w14:textId="77777777" w:rsidR="003229FE" w:rsidRPr="00B035C5" w:rsidRDefault="003229FE" w:rsidP="00B035C5">
            <w:pPr>
              <w:pStyle w:val="NoSpacing"/>
            </w:pPr>
            <w:proofErr w:type="spellStart"/>
            <w:r w:rsidRPr="00B035C5">
              <w:t>recovery_rate_with_CSB</w:t>
            </w:r>
            <w:proofErr w:type="spellEnd"/>
            <w:r w:rsidRPr="00B035C5">
              <w:t>++</w:t>
            </w:r>
          </w:p>
        </w:tc>
        <w:tc>
          <w:tcPr>
            <w:tcW w:w="680" w:type="pct"/>
            <w:shd w:val="clear" w:color="auto" w:fill="auto"/>
            <w:noWrap/>
            <w:vAlign w:val="bottom"/>
            <w:hideMark/>
          </w:tcPr>
          <w:p w14:paraId="17A24E5E" w14:textId="77777777" w:rsidR="003229FE" w:rsidRPr="00B035C5" w:rsidRDefault="003229FE" w:rsidP="00B035C5">
            <w:pPr>
              <w:pStyle w:val="NoSpacing"/>
            </w:pPr>
            <w:r w:rsidRPr="00B035C5">
              <w:t>0.8</w:t>
            </w:r>
          </w:p>
        </w:tc>
        <w:tc>
          <w:tcPr>
            <w:tcW w:w="474" w:type="pct"/>
            <w:shd w:val="clear" w:color="auto" w:fill="auto"/>
            <w:noWrap/>
            <w:vAlign w:val="bottom"/>
            <w:hideMark/>
          </w:tcPr>
          <w:p w14:paraId="48A528EA" w14:textId="5591DCA9" w:rsidR="003229FE" w:rsidRPr="00BD679D" w:rsidRDefault="00437F19"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CD679E">
              <w:rPr>
                <w:rFonts w:ascii="Calibri" w:hAnsi="Calibri" w:cs="Calibri"/>
                <w:color w:val="000000"/>
                <w:szCs w:val="21"/>
                <w:lang w:eastAsia="en-GB"/>
              </w:rPr>
              <w:instrText>ADDIN CSL_CITATION {"citationItems":[{"id":"ITEM-1","itemData":{"DOI":"10.1179/146532810X12703901870651","ISSN":"02724936","PMID":"20522296","abstract":"Background: Typical treatment of moderate acute malnutrition, simple wasting, in sub-Saharan Africa consists of dietary counselling and/or general or targeted distribution of corn/soy-blended flour (CSB). A randomised clinical effectiveness trial in 2007 showed CSB to be less effective than ready-to-use supplementary food (RUSF). Aim: To determine the operational effectiveness of treating moderate acute malnutrition with RUSF. Methods: Children aged 6-59 months were recruited in rural southern Malawi. Each child received 65 kcal/kg/d of locally produced soy/peanut RUSF, a product that provided about 1 RDA of each micronutrient. Anthropometric measurements were taken every 2 weeks and additional rations of RUSF were distributed at this time if the child remained wasted. Study participation lasted up to 8 weeks. Results: Of the 2417 children enrolled, 80% recovered, 4% defaulted, 0.4% died, 12% remained moderately wasted and 3% developed severe acute malnutrition. Weight, length and MUAC gain were 2.6 g/kg/d, 0.2 mm/d and 0.1 mm/d respectively. Cost per child treated was $5.39. Conclusions: This intervention proved to be robust, maintaining high recovery rates and low default rates when instituted without the additional supervision and beneficiary incentives of a research setting. © W. S. Maney &amp; Son Ltd 2010.","author":[{"dropping-particle":"","family":"Lagrone","given":"L.","non-dropping-particle":"","parse-names":false,"suffix":""},{"dropping-particle":"","family":"Cole","given":"S.","non-dropping-particle":"","parse-names":false,"suffix":""},{"dropping-particle":"","family":"Schondelmeyer","given":"A.","non-dropping-particle":"","parse-names":false,"suffix":""},{"dropping-particle":"","family":"Maleta","given":"K.","non-dropping-particle":"","parse-names":false,"suffix":""},{"dropping-particle":"","family":"Manary","given":"M. J.","non-dropping-particle":"","parse-names":false,"suffix":""}],"container-title":"Annals of Tropical Paediatrics","id":"ITEM-1","issue":"2","issued":{"date-parts":[["2010","6","1"]]},"page":"103-108","publisher":"Ann Trop Paediatr","title":"Locally produced ready-to-use supplementary food is an effective treatment of moderate acute malnutrition in an operational setting","type":"article-journal","volume":"30"},"uris":["http://www.mendeley.com/documents/?uuid=694b4330-c9d8-35ea-b3ab-00fca3e2b68e"]}],"mendeley":{"formattedCitation":"&lt;sup&gt;17&lt;/sup&gt;","plainTextFormattedCitation":"17","previouslyFormattedCitation":"&lt;sup&gt;17&lt;/sup&gt;"},"properties":{"noteIndex":0},"schema":"https://github.com/citation-style-language/schema/raw/master/csl-citation.json"}</w:instrText>
            </w:r>
            <w:r>
              <w:rPr>
                <w:rFonts w:ascii="Calibri" w:hAnsi="Calibri" w:cs="Calibri"/>
                <w:color w:val="000000"/>
                <w:szCs w:val="21"/>
                <w:lang w:eastAsia="en-GB"/>
              </w:rPr>
              <w:fldChar w:fldCharType="separate"/>
            </w:r>
            <w:r w:rsidR="00E91E1B" w:rsidRPr="00E91E1B">
              <w:rPr>
                <w:rFonts w:ascii="Calibri" w:hAnsi="Calibri" w:cs="Calibri"/>
                <w:noProof/>
                <w:color w:val="000000"/>
                <w:szCs w:val="21"/>
                <w:vertAlign w:val="superscript"/>
                <w:lang w:eastAsia="en-GB"/>
              </w:rPr>
              <w:t>17</w:t>
            </w:r>
            <w:r>
              <w:rPr>
                <w:rFonts w:ascii="Calibri" w:hAnsi="Calibri" w:cs="Calibri"/>
                <w:color w:val="000000"/>
                <w:szCs w:val="21"/>
                <w:lang w:eastAsia="en-GB"/>
              </w:rPr>
              <w:fldChar w:fldCharType="end"/>
            </w:r>
          </w:p>
        </w:tc>
        <w:tc>
          <w:tcPr>
            <w:tcW w:w="1693" w:type="pct"/>
            <w:shd w:val="clear" w:color="auto" w:fill="auto"/>
            <w:noWrap/>
            <w:vAlign w:val="bottom"/>
            <w:hideMark/>
          </w:tcPr>
          <w:p w14:paraId="031F7EC4" w14:textId="77777777" w:rsidR="003229FE" w:rsidRPr="00B035C5" w:rsidRDefault="003229FE" w:rsidP="00B035C5">
            <w:pPr>
              <w:pStyle w:val="NoSpacing"/>
            </w:pPr>
            <w:r w:rsidRPr="00B035C5">
              <w:t>recovery rate of MAM if given Corn Soy Blend ++ treatment</w:t>
            </w:r>
          </w:p>
        </w:tc>
        <w:tc>
          <w:tcPr>
            <w:tcW w:w="800" w:type="pct"/>
          </w:tcPr>
          <w:p w14:paraId="2BE08AED" w14:textId="6F9AAE1C" w:rsidR="003229FE" w:rsidRPr="006820D5" w:rsidRDefault="00A80ABA" w:rsidP="00B035C5">
            <w:pPr>
              <w:pStyle w:val="NoSpacing"/>
              <w:rPr>
                <w:sz w:val="18"/>
                <w:szCs w:val="18"/>
              </w:rPr>
            </w:pPr>
            <w:r>
              <w:rPr>
                <w:sz w:val="18"/>
                <w:szCs w:val="18"/>
              </w:rPr>
              <w:t>Malawi-specific</w:t>
            </w:r>
          </w:p>
        </w:tc>
      </w:tr>
      <w:tr w:rsidR="003229FE" w:rsidRPr="00BD679D" w14:paraId="15ACDDAC" w14:textId="603E772B" w:rsidTr="006820D5">
        <w:trPr>
          <w:trHeight w:val="320"/>
        </w:trPr>
        <w:tc>
          <w:tcPr>
            <w:tcW w:w="198" w:type="pct"/>
            <w:vMerge/>
            <w:shd w:val="clear" w:color="auto" w:fill="D0CECE" w:themeFill="background2" w:themeFillShade="E6"/>
            <w:vAlign w:val="center"/>
            <w:hideMark/>
          </w:tcPr>
          <w:p w14:paraId="6BF2B2DE" w14:textId="77777777" w:rsidR="003229FE" w:rsidRPr="00C226F8" w:rsidRDefault="003229FE" w:rsidP="00C226F8">
            <w:pPr>
              <w:pStyle w:val="NoSpacing"/>
              <w:jc w:val="center"/>
              <w:rPr>
                <w:b/>
                <w:bCs/>
              </w:rPr>
            </w:pPr>
          </w:p>
        </w:tc>
        <w:tc>
          <w:tcPr>
            <w:tcW w:w="1155" w:type="pct"/>
            <w:shd w:val="clear" w:color="auto" w:fill="auto"/>
            <w:noWrap/>
            <w:vAlign w:val="bottom"/>
            <w:hideMark/>
          </w:tcPr>
          <w:p w14:paraId="58C4E915" w14:textId="77777777" w:rsidR="003229FE" w:rsidRPr="00B035C5" w:rsidRDefault="003229FE" w:rsidP="00B035C5">
            <w:pPr>
              <w:pStyle w:val="NoSpacing"/>
            </w:pPr>
            <w:proofErr w:type="spellStart"/>
            <w:r w:rsidRPr="00B035C5">
              <w:t>recovery_rate_with_inpatient_care</w:t>
            </w:r>
            <w:proofErr w:type="spellEnd"/>
          </w:p>
        </w:tc>
        <w:tc>
          <w:tcPr>
            <w:tcW w:w="680" w:type="pct"/>
            <w:shd w:val="clear" w:color="auto" w:fill="auto"/>
            <w:noWrap/>
            <w:vAlign w:val="bottom"/>
            <w:hideMark/>
          </w:tcPr>
          <w:p w14:paraId="152E9CFA" w14:textId="77777777" w:rsidR="003229FE" w:rsidRPr="00B035C5" w:rsidRDefault="003229FE" w:rsidP="00B035C5">
            <w:pPr>
              <w:pStyle w:val="NoSpacing"/>
            </w:pPr>
            <w:r w:rsidRPr="00B035C5">
              <w:t>0.704</w:t>
            </w:r>
          </w:p>
        </w:tc>
        <w:tc>
          <w:tcPr>
            <w:tcW w:w="474" w:type="pct"/>
            <w:shd w:val="clear" w:color="auto" w:fill="auto"/>
            <w:noWrap/>
            <w:vAlign w:val="bottom"/>
            <w:hideMark/>
          </w:tcPr>
          <w:p w14:paraId="3848EE33" w14:textId="24B309F7" w:rsidR="003229FE" w:rsidRPr="00BD679D" w:rsidRDefault="003229FE" w:rsidP="00A74826">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sidR="00CD679E">
              <w:rPr>
                <w:rFonts w:ascii="Calibri" w:hAnsi="Calibri" w:cs="Calibri"/>
                <w:color w:val="000000"/>
                <w:szCs w:val="21"/>
                <w:lang w:eastAsia="en-GB"/>
              </w:rPr>
              <w:instrText>ADDIN CSL_CITATION {"citationItems":[{"id":"ITEM-1","itemData":{"DOI":"10.1371/journal.pone.0229698","ISSN":"19326203","PMID":"32187182","abstract":"Background Globally, Severe Acute Malnutrition (SAM) has been reduced by only 11% over the past 20 years and continues to be a significant cause of morbidity and mortality. So far, in Sub-Saharan Africa, several primary studies have been conducted on recovery rate and determinants of recovery from SAM in under-five children. However, comprehensive reviews that would have a shred of strong evidence for designing interventions are lacking. So, this review and meta-analysis was conducted to bridge this gap. Methods A systematic review of observational studies published in the years between 1/1/2000 to 12/31/2018 was conducted following the Meta-analysis of Observational Studies in Epidemiology (MOOSE) statement. Two reviewers have been searched and extracted data from CINAHL (EBSCO), MEDLINE (via Ovid), Emcare, PubMed databases, and Google scholar. Articles’ quality was assessed using the Newcastle-Ottawa Scale by two independent reviewers, and only studies with fair to good quality were included in the final analysis. The review presented the pooled recovery rate from SAM and an odds ratio of risk factors affecting recovery rate after checking for heterogeneity and publication bias. The review has been registered in PROSPERO with protocol number CRD42019122085. Result Children with SAM from 54 primary studies (n = 140,148) were included. A pooled rate of recovery was 71.2% (95% CI: 68.5–73.8; I2 = 98.9%). Children who received routine medication (Pooled Odds ratio (POR):1.85;95% CI: 1.49–2.29; I2 = 0.0%), older age (POR: 1.99;95% CI: 1.29–3.08; I2 = 80.6%), and absence of co-morbidity (POR:3.2;95% CI: 2.15–4.76; I2 = 78.7%) had better odds of recovery. This systematic review and meta-analysis suggestes HIV infected children had lower recovery rate from SAM (POR; 0.19; 95% CI: 0.09–0.39; I2 = 42.9%) compared to those non-infected. Conclusion The meta-analysis deciphers that the pooled recovery rate was below the SPHERE standard, and further works would be needed to improve the recovery rate. So, factors that were identified might help to revise the plan set by the countries, and further research might be required to explore health fascilities fidelity to the WHO SAM management protocol.","author":[{"dropping-particle":"","family":"Desyibelew","given":"Hanna Demelash","non-dropping-particle":"","parse-names":false,"suffix":""},{"dropping-particle":"","family":"Bayih","given":"Mulat Tirfie","non-dropping-particle":"","parse-names":false,"suffix":""},{"dropping-particle":"","family":"Baraki","given":"Adhanom Gebreegziabher","non-dropping-particle":"","parse-names":false,"suffix":""},{"dropping-particle":"","family":"Dadi","given":"Abel Fekadu","non-dropping-particle":"","parse-names":false,"suffix":""}],"container-title":"PLoS ONE","id":"ITEM-1","issue":"3","issued":{"date-parts":[["2020"]]},"publisher":"Public Library of Science","title":"The recovery rate from severe acute malnutrition among under-five years of children remains low in sub-Saharan Africa. A systematic review and meta-analysis of observational studies","type":"article-journal","volume":"15"},"uris":["http://www.mendeley.com/documents/?uuid=689c96a8-eca6-3e4a-a23a-93bd3050f988"]}],"mendeley":{"formattedCitation":"&lt;sup&gt;18&lt;/sup&gt;","plainTextFormattedCitation":"18","previouslyFormattedCitation":"&lt;sup&gt;18&lt;/sup&gt;"},"properties":{"noteIndex":0},"schema":"https://github.com/citation-style-language/schema/raw/master/csl-citation.json"}</w:instrText>
            </w:r>
            <w:r>
              <w:rPr>
                <w:rFonts w:ascii="Calibri" w:hAnsi="Calibri" w:cs="Calibri"/>
                <w:color w:val="000000"/>
                <w:szCs w:val="21"/>
                <w:lang w:eastAsia="en-GB"/>
              </w:rPr>
              <w:fldChar w:fldCharType="separate"/>
            </w:r>
            <w:r w:rsidR="00E91E1B" w:rsidRPr="00E91E1B">
              <w:rPr>
                <w:rFonts w:ascii="Calibri" w:hAnsi="Calibri" w:cs="Calibri"/>
                <w:noProof/>
                <w:color w:val="000000"/>
                <w:szCs w:val="21"/>
                <w:vertAlign w:val="superscript"/>
                <w:lang w:eastAsia="en-GB"/>
              </w:rPr>
              <w:t>18</w:t>
            </w:r>
            <w:r>
              <w:rPr>
                <w:rFonts w:ascii="Calibri" w:hAnsi="Calibri" w:cs="Calibri"/>
                <w:color w:val="000000"/>
                <w:szCs w:val="21"/>
                <w:lang w:eastAsia="en-GB"/>
              </w:rPr>
              <w:fldChar w:fldCharType="end"/>
            </w:r>
          </w:p>
        </w:tc>
        <w:tc>
          <w:tcPr>
            <w:tcW w:w="1693" w:type="pct"/>
            <w:shd w:val="clear" w:color="auto" w:fill="auto"/>
            <w:noWrap/>
            <w:vAlign w:val="bottom"/>
            <w:hideMark/>
          </w:tcPr>
          <w:p w14:paraId="60E6EA06" w14:textId="77777777" w:rsidR="003229FE" w:rsidRPr="00B035C5" w:rsidRDefault="003229FE" w:rsidP="00B035C5">
            <w:pPr>
              <w:pStyle w:val="NoSpacing"/>
            </w:pPr>
            <w:r w:rsidRPr="00B035C5">
              <w:t>recovery rate of complicated SAM with inpatient care treatment</w:t>
            </w:r>
          </w:p>
        </w:tc>
        <w:tc>
          <w:tcPr>
            <w:tcW w:w="800" w:type="pct"/>
          </w:tcPr>
          <w:p w14:paraId="576E9AFD" w14:textId="3E66258E" w:rsidR="003229FE" w:rsidRPr="006820D5" w:rsidRDefault="00A80ABA" w:rsidP="00B035C5">
            <w:pPr>
              <w:pStyle w:val="NoSpacing"/>
              <w:rPr>
                <w:sz w:val="18"/>
                <w:szCs w:val="18"/>
              </w:rPr>
            </w:pPr>
            <w:r>
              <w:rPr>
                <w:sz w:val="18"/>
                <w:szCs w:val="18"/>
              </w:rPr>
              <w:t>Pooled estimate for sub-Saharan Africa</w:t>
            </w:r>
          </w:p>
        </w:tc>
      </w:tr>
      <w:tr w:rsidR="003229FE" w:rsidRPr="00BD679D" w14:paraId="58D803BA" w14:textId="493CCB1A" w:rsidTr="006820D5">
        <w:trPr>
          <w:trHeight w:val="310"/>
        </w:trPr>
        <w:tc>
          <w:tcPr>
            <w:tcW w:w="198" w:type="pct"/>
            <w:vMerge w:val="restart"/>
            <w:shd w:val="clear" w:color="auto" w:fill="D0CECE" w:themeFill="background2" w:themeFillShade="E6"/>
            <w:noWrap/>
            <w:textDirection w:val="btLr"/>
            <w:vAlign w:val="bottom"/>
            <w:hideMark/>
          </w:tcPr>
          <w:p w14:paraId="23C0BBC5" w14:textId="77777777" w:rsidR="003229FE" w:rsidRPr="00C226F8" w:rsidRDefault="003229FE" w:rsidP="00C226F8">
            <w:pPr>
              <w:pStyle w:val="NoSpacing"/>
              <w:jc w:val="center"/>
              <w:rPr>
                <w:b/>
                <w:bCs/>
              </w:rPr>
            </w:pPr>
            <w:r w:rsidRPr="00C226F8">
              <w:rPr>
                <w:b/>
                <w:bCs/>
              </w:rPr>
              <w:t>Death</w:t>
            </w:r>
          </w:p>
        </w:tc>
        <w:tc>
          <w:tcPr>
            <w:tcW w:w="1155" w:type="pct"/>
            <w:shd w:val="clear" w:color="auto" w:fill="auto"/>
            <w:noWrap/>
            <w:vAlign w:val="center"/>
            <w:hideMark/>
          </w:tcPr>
          <w:p w14:paraId="33F03575" w14:textId="77777777" w:rsidR="003229FE" w:rsidRPr="00B035C5" w:rsidRDefault="003229FE" w:rsidP="00B035C5">
            <w:pPr>
              <w:pStyle w:val="NoSpacing"/>
            </w:pPr>
            <w:proofErr w:type="spellStart"/>
            <w:r w:rsidRPr="00B035C5">
              <w:t>base_death_rate_untreated_SAM</w:t>
            </w:r>
            <w:proofErr w:type="spellEnd"/>
          </w:p>
        </w:tc>
        <w:tc>
          <w:tcPr>
            <w:tcW w:w="680" w:type="pct"/>
            <w:shd w:val="clear" w:color="auto" w:fill="auto"/>
            <w:noWrap/>
            <w:vAlign w:val="center"/>
            <w:hideMark/>
          </w:tcPr>
          <w:p w14:paraId="213F8885" w14:textId="77777777" w:rsidR="003229FE" w:rsidRPr="00B035C5" w:rsidRDefault="003229FE" w:rsidP="00B035C5">
            <w:pPr>
              <w:pStyle w:val="NoSpacing"/>
            </w:pPr>
            <w:r w:rsidRPr="00B035C5">
              <w:t>0.207</w:t>
            </w:r>
          </w:p>
        </w:tc>
        <w:tc>
          <w:tcPr>
            <w:tcW w:w="474" w:type="pct"/>
            <w:shd w:val="clear" w:color="auto" w:fill="auto"/>
            <w:noWrap/>
            <w:vAlign w:val="bottom"/>
            <w:hideMark/>
          </w:tcPr>
          <w:p w14:paraId="1D6526F1" w14:textId="77777777" w:rsidR="003229FE" w:rsidRPr="00BD679D" w:rsidRDefault="003229FE"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p>
        </w:tc>
        <w:tc>
          <w:tcPr>
            <w:tcW w:w="1693" w:type="pct"/>
            <w:shd w:val="clear" w:color="auto" w:fill="auto"/>
            <w:noWrap/>
            <w:vAlign w:val="bottom"/>
            <w:hideMark/>
          </w:tcPr>
          <w:p w14:paraId="4C93B01C" w14:textId="77777777" w:rsidR="003229FE" w:rsidRPr="00B035C5" w:rsidRDefault="003229FE" w:rsidP="00B035C5">
            <w:pPr>
              <w:pStyle w:val="NoSpacing"/>
            </w:pPr>
            <w:r w:rsidRPr="00B035C5">
              <w:t>baseline case fatality rate of untreated SAM</w:t>
            </w:r>
          </w:p>
        </w:tc>
        <w:tc>
          <w:tcPr>
            <w:tcW w:w="800" w:type="pct"/>
          </w:tcPr>
          <w:p w14:paraId="3C489391" w14:textId="77777777" w:rsidR="003229FE" w:rsidRPr="006820D5" w:rsidRDefault="003229FE" w:rsidP="00B035C5">
            <w:pPr>
              <w:pStyle w:val="NoSpacing"/>
              <w:rPr>
                <w:sz w:val="18"/>
                <w:szCs w:val="18"/>
              </w:rPr>
            </w:pPr>
          </w:p>
        </w:tc>
      </w:tr>
      <w:tr w:rsidR="003229FE" w:rsidRPr="00BD679D" w14:paraId="2EA64CA7" w14:textId="4751E376" w:rsidTr="00A80ABA">
        <w:trPr>
          <w:trHeight w:val="310"/>
        </w:trPr>
        <w:tc>
          <w:tcPr>
            <w:tcW w:w="198" w:type="pct"/>
            <w:vMerge/>
            <w:shd w:val="clear" w:color="auto" w:fill="D0CECE" w:themeFill="background2" w:themeFillShade="E6"/>
            <w:vAlign w:val="center"/>
            <w:hideMark/>
          </w:tcPr>
          <w:p w14:paraId="7213E370" w14:textId="77777777" w:rsidR="003229FE" w:rsidRPr="00C226F8" w:rsidRDefault="003229FE" w:rsidP="00C226F8">
            <w:pPr>
              <w:pStyle w:val="NoSpacing"/>
              <w:jc w:val="center"/>
              <w:rPr>
                <w:b/>
                <w:bCs/>
              </w:rPr>
            </w:pPr>
          </w:p>
        </w:tc>
        <w:tc>
          <w:tcPr>
            <w:tcW w:w="1155" w:type="pct"/>
            <w:shd w:val="clear" w:color="auto" w:fill="auto"/>
            <w:noWrap/>
            <w:vAlign w:val="center"/>
          </w:tcPr>
          <w:p w14:paraId="00093CF9" w14:textId="2F6CBC56" w:rsidR="003229FE" w:rsidRPr="00B035C5" w:rsidRDefault="00A80ABA" w:rsidP="00B035C5">
            <w:pPr>
              <w:pStyle w:val="NoSpacing"/>
            </w:pPr>
            <w:proofErr w:type="spellStart"/>
            <w:r w:rsidRPr="00A80ABA">
              <w:t>rr_SAM_death_with_complications</w:t>
            </w:r>
            <w:proofErr w:type="spellEnd"/>
          </w:p>
        </w:tc>
        <w:tc>
          <w:tcPr>
            <w:tcW w:w="680" w:type="pct"/>
            <w:shd w:val="clear" w:color="auto" w:fill="auto"/>
            <w:noWrap/>
            <w:vAlign w:val="bottom"/>
          </w:tcPr>
          <w:p w14:paraId="7D74C48A" w14:textId="286CD82C" w:rsidR="003229FE" w:rsidRPr="00B035C5" w:rsidRDefault="00A80ABA" w:rsidP="00B035C5">
            <w:pPr>
              <w:pStyle w:val="NoSpacing"/>
            </w:pPr>
            <w:r w:rsidRPr="00A80ABA">
              <w:t>4.08</w:t>
            </w:r>
          </w:p>
        </w:tc>
        <w:tc>
          <w:tcPr>
            <w:tcW w:w="474" w:type="pct"/>
            <w:shd w:val="clear" w:color="auto" w:fill="auto"/>
            <w:vAlign w:val="bottom"/>
          </w:tcPr>
          <w:p w14:paraId="03A4E929" w14:textId="0A492D22" w:rsidR="003229FE" w:rsidRPr="00BD679D" w:rsidRDefault="003229FE" w:rsidP="00A74826">
            <w:pPr>
              <w:pStyle w:val="NoSpacing"/>
              <w:rPr>
                <w:rFonts w:ascii="Calibri" w:hAnsi="Calibri" w:cs="Calibri"/>
                <w:color w:val="000000"/>
                <w:szCs w:val="21"/>
                <w:lang w:eastAsia="en-GB"/>
              </w:rPr>
            </w:pPr>
          </w:p>
        </w:tc>
        <w:tc>
          <w:tcPr>
            <w:tcW w:w="1693" w:type="pct"/>
            <w:shd w:val="clear" w:color="auto" w:fill="auto"/>
            <w:noWrap/>
            <w:vAlign w:val="bottom"/>
          </w:tcPr>
          <w:p w14:paraId="689170EE" w14:textId="44164BA9" w:rsidR="003229FE" w:rsidRPr="00B035C5" w:rsidRDefault="00A80ABA" w:rsidP="00B035C5">
            <w:pPr>
              <w:pStyle w:val="NoSpacing"/>
            </w:pPr>
            <w:r w:rsidRPr="00B035C5">
              <w:t xml:space="preserve">relative risk of death </w:t>
            </w:r>
            <w:r>
              <w:t>from complicated SAM</w:t>
            </w:r>
          </w:p>
        </w:tc>
        <w:tc>
          <w:tcPr>
            <w:tcW w:w="800" w:type="pct"/>
          </w:tcPr>
          <w:p w14:paraId="2B901224" w14:textId="65348F75" w:rsidR="003229FE" w:rsidRPr="006820D5" w:rsidRDefault="00A80ABA" w:rsidP="00B035C5">
            <w:pPr>
              <w:pStyle w:val="NoSpacing"/>
              <w:rPr>
                <w:sz w:val="18"/>
                <w:szCs w:val="18"/>
              </w:rPr>
            </w:pPr>
            <w:r>
              <w:rPr>
                <w:sz w:val="18"/>
                <w:szCs w:val="18"/>
              </w:rPr>
              <w:t>Dummy estimate, but shouldn’t all deaths go through complications first?</w:t>
            </w:r>
          </w:p>
        </w:tc>
      </w:tr>
      <w:tr w:rsidR="00A80ABA" w:rsidRPr="00BD679D" w14:paraId="3E1F88D8" w14:textId="1946B405" w:rsidTr="006820D5">
        <w:trPr>
          <w:trHeight w:val="310"/>
        </w:trPr>
        <w:tc>
          <w:tcPr>
            <w:tcW w:w="198" w:type="pct"/>
            <w:vMerge/>
            <w:shd w:val="clear" w:color="auto" w:fill="D0CECE" w:themeFill="background2" w:themeFillShade="E6"/>
            <w:vAlign w:val="center"/>
            <w:hideMark/>
          </w:tcPr>
          <w:p w14:paraId="3E1CC2BB" w14:textId="77777777" w:rsidR="00A80ABA" w:rsidRPr="00C226F8" w:rsidRDefault="00A80ABA" w:rsidP="00C226F8">
            <w:pPr>
              <w:pStyle w:val="NoSpacing"/>
              <w:jc w:val="center"/>
              <w:rPr>
                <w:b/>
                <w:bCs/>
              </w:rPr>
            </w:pPr>
          </w:p>
        </w:tc>
        <w:tc>
          <w:tcPr>
            <w:tcW w:w="1155" w:type="pct"/>
            <w:shd w:val="clear" w:color="auto" w:fill="auto"/>
            <w:noWrap/>
            <w:vAlign w:val="center"/>
            <w:hideMark/>
          </w:tcPr>
          <w:p w14:paraId="70675D24" w14:textId="77777777" w:rsidR="00A80ABA" w:rsidRPr="00B035C5" w:rsidRDefault="00A80ABA" w:rsidP="00B035C5">
            <w:pPr>
              <w:pStyle w:val="NoSpacing"/>
            </w:pPr>
            <w:proofErr w:type="spellStart"/>
            <w:r w:rsidRPr="00B035C5">
              <w:t>rr_SAM_death_WHZ</w:t>
            </w:r>
            <w:proofErr w:type="spellEnd"/>
            <w:r w:rsidRPr="00B035C5">
              <w:t>&lt;-3_only</w:t>
            </w:r>
          </w:p>
        </w:tc>
        <w:tc>
          <w:tcPr>
            <w:tcW w:w="680" w:type="pct"/>
            <w:shd w:val="clear" w:color="auto" w:fill="auto"/>
            <w:noWrap/>
            <w:vAlign w:val="bottom"/>
            <w:hideMark/>
          </w:tcPr>
          <w:p w14:paraId="486D2CC8" w14:textId="77777777" w:rsidR="00A80ABA" w:rsidRPr="00B035C5" w:rsidRDefault="00A80ABA" w:rsidP="00B035C5">
            <w:pPr>
              <w:pStyle w:val="NoSpacing"/>
            </w:pPr>
            <w:r w:rsidRPr="00B035C5">
              <w:t>1.46</w:t>
            </w:r>
          </w:p>
        </w:tc>
        <w:tc>
          <w:tcPr>
            <w:tcW w:w="474" w:type="pct"/>
            <w:shd w:val="clear" w:color="auto" w:fill="auto"/>
            <w:vAlign w:val="bottom"/>
            <w:hideMark/>
          </w:tcPr>
          <w:p w14:paraId="1F5BD47E" w14:textId="0503BB54"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{"citationItems":[{"id":"ITEM-1","itemData":{"DOI":"10.1186/s12937-018-0384-4","ISSN":"14752891","PMID":"30217205","abstract":"Background: According to WHO childhood severe acute malnutrition (SAM) is diagnosed when the weight-for-height Z-score (WHZ) is &lt;-3Z of the WHO2006 standards, the mid-upper-arm circumference (MUAC) is &lt; 115 mm, there is nutritional oedema or any combination of these parameters. Recently there has been a move to eliminate WHZ as a diagnostic criterion on the assertion that children meeting the WHZ criterion are healthy, that MUAC is universally a superior prognostic indicator of mortality and that adding WHZ to the assessment does not improve the prediction; these assertions have lead to a controversy concerning the role of WHZ in the diagnosis of SAM. Methods: We examined the mortality experience of 76,887 6-60 month old severely malnourished children admitted for treatment to in-patient, out-patient or supplementary feeding facilities in 18 African countries, of whom 3588 died. They were divided into 7 different diagnostic categories for analysis of mortality rates by comparison of case fatality rates, relative risk of death and meta-analysis of the difference between children admitted using MUAC and WHZ criteria. Results: The mortality rate was higher in those children fulfilling the WHO2006 WHZ criterion than the MUAC criterion. This was the case for younger as well as older children and in all regions except for marasmic children in East Africa. Those fulfilling both criteria had a higher mortality. Nutritional oedema increased the risk of death. Having oedema and a low WHZ dramatically increased the mortality rate whereas addition of the MUAC criterion to either oedema-alone or oedema plus a low WHZ did not further increase the mortality rate. The data were subject to extreme confounding giving Simpson's paradox, which reversed the apparent mortality rates when children fulfilling both WHZ and MUAC criteria were included in the estimation of the risk of death of those fulfilling either the WHZ or MUAC criteria alone. Conclusions: Children with a low WHZ, but a MUAC above the SAM cut-off point are at high risk of death. Simpson's paradox due to confounding from oedema and mathematical coupling may make previous statistical analyses which failed to distinguish the diagnostic groups an unreliable guide to policy. WHZ needs to be retained as an independent criterion for diagnosis of SAM and methods found to identify those children with a low WHZ, but not a low MUAC, in the community.","author":[{"dropping-particle":"","family":"Grellety","given":"Emmanuel","non-dropping-particle":"","parse-names":false,"suffix":""},{"dropping-particle":"","family":"Golden","given":"Michael H.","non-dropping-particle":"","parse-names":false,"suffix":""}],"container-title":"Nutrition Journal","id":"ITEM-1","issue":"1","issued":{"date-parts":[["2018","9","15"]]},"publisher":"BioMed Central Ltd.","title":"Severely malnourished children with a low weight-for-height have a higher mortality than those with a low mid-upper-arm-circumference: I. Empirical data demonstrates Simpson's paradox","type":"article-journal","volume":"17"},"uris":["http://www.mendeley.com/documents/?uuid=348f4bee-938a-34de-b103-d11b8915585d"]}],"mendeley":{"formattedCitation":"&lt;sup&gt;19&lt;/sup&gt;","plainTextFormattedCitation":"19","previouslyFormattedCitation":"&lt;sup&gt;19&lt;/sup&gt;"},"properties":{"noteIndex":0},"schema":"https://github.com/citation-style-language/schema/raw/master/csl-citation.json"}</w:instrText>
            </w:r>
            <w:r>
              <w:rPr>
                <w:rFonts w:ascii="Calibri" w:hAnsi="Calibri" w:cs="Calibri"/>
                <w:color w:val="000000"/>
                <w:szCs w:val="21"/>
                <w:lang w:eastAsia="en-GB"/>
              </w:rPr>
              <w:fldChar w:fldCharType="separate"/>
            </w:r>
            <w:r w:rsidRPr="00E91E1B">
              <w:rPr>
                <w:rFonts w:ascii="Calibri" w:hAnsi="Calibri" w:cs="Calibri"/>
                <w:noProof/>
                <w:color w:val="000000"/>
                <w:szCs w:val="21"/>
                <w:vertAlign w:val="superscript"/>
                <w:lang w:eastAsia="en-GB"/>
              </w:rPr>
              <w:t>19</w:t>
            </w:r>
            <w:r>
              <w:rPr>
                <w:rFonts w:ascii="Calibri" w:hAnsi="Calibri" w:cs="Calibri"/>
                <w:color w:val="000000"/>
                <w:szCs w:val="21"/>
                <w:lang w:eastAsia="en-GB"/>
              </w:rPr>
              <w:fldChar w:fldCharType="end"/>
            </w:r>
          </w:p>
        </w:tc>
        <w:tc>
          <w:tcPr>
            <w:tcW w:w="1693" w:type="pct"/>
            <w:shd w:val="clear" w:color="auto" w:fill="auto"/>
            <w:noWrap/>
            <w:vAlign w:val="bottom"/>
            <w:hideMark/>
          </w:tcPr>
          <w:p w14:paraId="20F3A577" w14:textId="77777777" w:rsidR="00A80ABA" w:rsidRPr="00B035C5" w:rsidRDefault="00A80ABA" w:rsidP="00B035C5">
            <w:pPr>
              <w:pStyle w:val="NoSpacing"/>
            </w:pPr>
            <w:r w:rsidRPr="00B035C5">
              <w:t xml:space="preserve">relative risk of death if only having WHZ&lt;-3 anthropometric </w:t>
            </w:r>
            <w:proofErr w:type="spellStart"/>
            <w:r w:rsidRPr="00B035C5">
              <w:t>indice</w:t>
            </w:r>
            <w:proofErr w:type="spellEnd"/>
            <w:r w:rsidRPr="00B035C5">
              <w:t>, compared to MUAC&lt;115mm only</w:t>
            </w:r>
          </w:p>
        </w:tc>
        <w:tc>
          <w:tcPr>
            <w:tcW w:w="800" w:type="pct"/>
            <w:vMerge w:val="restart"/>
          </w:tcPr>
          <w:p w14:paraId="4874D93D" w14:textId="0A4B54F5" w:rsidR="00A80ABA" w:rsidRPr="006820D5" w:rsidRDefault="00A80ABA" w:rsidP="00B035C5">
            <w:pPr>
              <w:pStyle w:val="NoSpacing"/>
              <w:rPr>
                <w:sz w:val="18"/>
                <w:szCs w:val="18"/>
              </w:rPr>
            </w:pPr>
            <w:r>
              <w:rPr>
                <w:sz w:val="18"/>
                <w:szCs w:val="18"/>
              </w:rPr>
              <w:t xml:space="preserve">Risk factors for Hospital-based case fatality rates. </w:t>
            </w:r>
            <w:r>
              <w:rPr>
                <w:sz w:val="18"/>
                <w:szCs w:val="18"/>
              </w:rPr>
              <w:lastRenderedPageBreak/>
              <w:t>Used as risk factors for mortality without treatment.</w:t>
            </w:r>
          </w:p>
        </w:tc>
      </w:tr>
      <w:tr w:rsidR="00A80ABA" w:rsidRPr="00BD679D" w14:paraId="65319A1F" w14:textId="45BEE68E" w:rsidTr="006820D5">
        <w:trPr>
          <w:trHeight w:val="310"/>
        </w:trPr>
        <w:tc>
          <w:tcPr>
            <w:tcW w:w="198" w:type="pct"/>
            <w:vMerge/>
            <w:shd w:val="clear" w:color="auto" w:fill="D0CECE" w:themeFill="background2" w:themeFillShade="E6"/>
            <w:vAlign w:val="center"/>
            <w:hideMark/>
          </w:tcPr>
          <w:p w14:paraId="5AD18C4D" w14:textId="77777777" w:rsidR="00A80ABA" w:rsidRPr="00C226F8" w:rsidRDefault="00A80ABA" w:rsidP="00C226F8">
            <w:pPr>
              <w:pStyle w:val="NoSpacing"/>
              <w:jc w:val="center"/>
              <w:rPr>
                <w:b/>
                <w:bCs/>
              </w:rPr>
            </w:pPr>
          </w:p>
        </w:tc>
        <w:tc>
          <w:tcPr>
            <w:tcW w:w="1155" w:type="pct"/>
            <w:shd w:val="clear" w:color="auto" w:fill="auto"/>
            <w:noWrap/>
            <w:vAlign w:val="center"/>
            <w:hideMark/>
          </w:tcPr>
          <w:p w14:paraId="34004AE7" w14:textId="77777777" w:rsidR="00A80ABA" w:rsidRPr="00B035C5" w:rsidRDefault="00A80ABA" w:rsidP="00B035C5">
            <w:pPr>
              <w:pStyle w:val="NoSpacing"/>
            </w:pPr>
            <w:proofErr w:type="spellStart"/>
            <w:r w:rsidRPr="00B035C5">
              <w:t>rr_SAM_death_both_WHZ</w:t>
            </w:r>
            <w:proofErr w:type="spellEnd"/>
            <w:r w:rsidRPr="00B035C5">
              <w:t>&lt;-3_&amp;_MUAC&lt;115mm</w:t>
            </w:r>
          </w:p>
        </w:tc>
        <w:tc>
          <w:tcPr>
            <w:tcW w:w="680" w:type="pct"/>
            <w:shd w:val="clear" w:color="auto" w:fill="auto"/>
            <w:noWrap/>
            <w:vAlign w:val="bottom"/>
            <w:hideMark/>
          </w:tcPr>
          <w:p w14:paraId="0A464D19" w14:textId="77777777" w:rsidR="00A80ABA" w:rsidRPr="00B035C5" w:rsidRDefault="00A80ABA" w:rsidP="00B035C5">
            <w:pPr>
              <w:pStyle w:val="NoSpacing"/>
            </w:pPr>
            <w:r w:rsidRPr="00B035C5">
              <w:t>2.84</w:t>
            </w:r>
          </w:p>
        </w:tc>
        <w:tc>
          <w:tcPr>
            <w:tcW w:w="474" w:type="pct"/>
            <w:shd w:val="clear" w:color="auto" w:fill="auto"/>
            <w:vAlign w:val="bottom"/>
            <w:hideMark/>
          </w:tcPr>
          <w:p w14:paraId="46086F01" w14:textId="5CC8D9C7"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{"citationItems":[{"id":"ITEM-1","itemData":{"DOI":"10.1186/s12937-018-0384-4","ISSN":"14752891","PMID":"30217205","abstract":"Background: According to WHO childhood severe acute malnutrition (SAM) is diagnosed when the weight-for-height Z-score (WHZ) is &lt;-3Z of the WHO2006 standards, the mid-upper-arm circumference (MUAC) is &lt; 115 mm, there is nutritional oedema or any combination of these parameters. Recently there has been a move to eliminate WHZ as a diagnostic criterion on the assertion that children meeting the WHZ criterion are healthy, that MUAC is universally a superior prognostic indicator of mortality and that adding WHZ to the assessment does not improve the prediction; these assertions have lead to a controversy concerning the role of WHZ in the diagnosis of SAM. Methods: We examined the mortality experience of 76,887 6-60 month old severely malnourished children admitted for treatment to in-patient, out-patient or supplementary feeding facilities in 18 African countries, of whom 3588 died. They were divided into 7 different diagnostic categories for analysis of mortality rates by comparison of case fatality rates, relative risk of death and meta-analysis of the difference between children admitted using MUAC and WHZ criteria. Results: The mortality rate was higher in those children fulfilling the WHO2006 WHZ criterion than the MUAC criterion. This was the case for younger as well as older children and in all regions except for marasmic children in East Africa. Those fulfilling both criteria had a higher mortality. Nutritional oedema increased the risk of death. Having oedema and a low WHZ dramatically increased the mortality rate whereas addition of the MUAC criterion to either oedema-alone or oedema plus a low WHZ did not further increase the mortality rate. The data were subject to extreme confounding giving Simpson's paradox, which reversed the apparent mortality rates when children fulfilling both WHZ and MUAC criteria were included in the estimation of the risk of death of those fulfilling either the WHZ or MUAC criteria alone. Conclusions: Children with a low WHZ, but a MUAC above the SAM cut-off point are at high risk of death. Simpson's paradox due to confounding from oedema and mathematical coupling may make previous statistical analyses which failed to distinguish the diagnostic groups an unreliable guide to policy. WHZ needs to be retained as an independent criterion for diagnosis of SAM and methods found to identify those children with a low WHZ, but not a low MUAC, in the community.","author":[{"dropping-particle":"","family":"Grellety","given":"Emmanuel","non-dropping-particle":"","parse-names":false,"suffix":""},{"dropping-particle":"","family":"Golden","given":"Michael H.","non-dropping-particle":"","parse-names":false,"suffix":""}],"container-title":"Nutrition Journal","id":"ITEM-1","issue":"1","issued":{"date-parts":[["2018","9","15"]]},"publisher":"BioMed Central Ltd.","title":"Severely malnourished children with a low weight-for-height have a higher mortality than those with a low mid-upper-arm-circumference: I. Empirical data demonstrates Simpson's paradox","type":"article-journal","volume":"17"},"uris":["http://www.mendeley.com/documents/?uuid=348f4bee-938a-34de-b103-d11b8915585d"]}],"mendeley":{"formattedCitation":"&lt;sup&gt;19&lt;/sup&gt;","plainTextFormattedCitation":"19","previouslyFormattedCitation":"&lt;sup&gt;19&lt;/sup&gt;"},"properties":{"noteIndex":0},"schema":"https://github.com/citation-style-language/schema/raw/master/csl-citation.json"}</w:instrText>
            </w:r>
            <w:r>
              <w:rPr>
                <w:rFonts w:ascii="Calibri" w:hAnsi="Calibri" w:cs="Calibri"/>
                <w:color w:val="000000"/>
                <w:szCs w:val="21"/>
                <w:lang w:eastAsia="en-GB"/>
              </w:rPr>
              <w:fldChar w:fldCharType="separate"/>
            </w:r>
            <w:r w:rsidRPr="00E91E1B">
              <w:rPr>
                <w:rFonts w:ascii="Calibri" w:hAnsi="Calibri" w:cs="Calibri"/>
                <w:noProof/>
                <w:color w:val="000000"/>
                <w:szCs w:val="21"/>
                <w:vertAlign w:val="superscript"/>
                <w:lang w:eastAsia="en-GB"/>
              </w:rPr>
              <w:t>19</w:t>
            </w:r>
            <w:r>
              <w:rPr>
                <w:rFonts w:ascii="Calibri" w:hAnsi="Calibri" w:cs="Calibri"/>
                <w:color w:val="000000"/>
                <w:szCs w:val="21"/>
                <w:lang w:eastAsia="en-GB"/>
              </w:rPr>
              <w:fldChar w:fldCharType="end"/>
            </w:r>
          </w:p>
        </w:tc>
        <w:tc>
          <w:tcPr>
            <w:tcW w:w="1693" w:type="pct"/>
            <w:shd w:val="clear" w:color="auto" w:fill="auto"/>
            <w:noWrap/>
            <w:vAlign w:val="bottom"/>
            <w:hideMark/>
          </w:tcPr>
          <w:p w14:paraId="4C9758AC" w14:textId="77777777" w:rsidR="00A80ABA" w:rsidRPr="00B035C5" w:rsidRDefault="00A80ABA" w:rsidP="00B035C5">
            <w:pPr>
              <w:pStyle w:val="NoSpacing"/>
            </w:pPr>
            <w:r w:rsidRPr="00B035C5">
              <w:t xml:space="preserve">relative risk of death if having both WHZ&lt;-3 and MUAC&lt;115mm anthropometric </w:t>
            </w:r>
            <w:proofErr w:type="spellStart"/>
            <w:r w:rsidRPr="00B035C5">
              <w:t>indice</w:t>
            </w:r>
            <w:proofErr w:type="spellEnd"/>
            <w:r w:rsidRPr="00B035C5">
              <w:t>, compared to MUAC&lt;115mm only</w:t>
            </w:r>
          </w:p>
        </w:tc>
        <w:tc>
          <w:tcPr>
            <w:tcW w:w="800" w:type="pct"/>
            <w:vMerge/>
          </w:tcPr>
          <w:p w14:paraId="479FB6EB" w14:textId="77777777" w:rsidR="00A80ABA" w:rsidRPr="006820D5" w:rsidRDefault="00A80ABA" w:rsidP="00B035C5">
            <w:pPr>
              <w:pStyle w:val="NoSpacing"/>
              <w:rPr>
                <w:sz w:val="18"/>
                <w:szCs w:val="18"/>
              </w:rPr>
            </w:pPr>
          </w:p>
        </w:tc>
      </w:tr>
      <w:tr w:rsidR="00A80ABA" w:rsidRPr="00BD679D" w14:paraId="2DF1D45B" w14:textId="55392D56" w:rsidTr="006820D5">
        <w:trPr>
          <w:trHeight w:val="310"/>
        </w:trPr>
        <w:tc>
          <w:tcPr>
            <w:tcW w:w="198" w:type="pct"/>
            <w:vMerge/>
            <w:shd w:val="clear" w:color="auto" w:fill="D0CECE" w:themeFill="background2" w:themeFillShade="E6"/>
            <w:vAlign w:val="center"/>
            <w:hideMark/>
          </w:tcPr>
          <w:p w14:paraId="3AF276B9" w14:textId="77777777" w:rsidR="00A80ABA" w:rsidRPr="00C226F8" w:rsidRDefault="00A80ABA" w:rsidP="00C226F8">
            <w:pPr>
              <w:pStyle w:val="NoSpacing"/>
              <w:jc w:val="center"/>
              <w:rPr>
                <w:b/>
                <w:bCs/>
              </w:rPr>
            </w:pPr>
          </w:p>
        </w:tc>
        <w:tc>
          <w:tcPr>
            <w:tcW w:w="1155" w:type="pct"/>
            <w:shd w:val="clear" w:color="auto" w:fill="auto"/>
            <w:noWrap/>
            <w:vAlign w:val="center"/>
            <w:hideMark/>
          </w:tcPr>
          <w:p w14:paraId="02C15A6C" w14:textId="77777777" w:rsidR="00A80ABA" w:rsidRPr="00B035C5" w:rsidRDefault="00A80ABA" w:rsidP="00B035C5">
            <w:pPr>
              <w:pStyle w:val="NoSpacing"/>
            </w:pPr>
            <w:proofErr w:type="spellStart"/>
            <w:r w:rsidRPr="00B035C5">
              <w:t>rr_SAM_death_kwashiorkor_only</w:t>
            </w:r>
            <w:proofErr w:type="spellEnd"/>
          </w:p>
        </w:tc>
        <w:tc>
          <w:tcPr>
            <w:tcW w:w="680" w:type="pct"/>
            <w:shd w:val="clear" w:color="auto" w:fill="auto"/>
            <w:noWrap/>
            <w:vAlign w:val="bottom"/>
            <w:hideMark/>
          </w:tcPr>
          <w:p w14:paraId="4EB69216" w14:textId="77777777" w:rsidR="00A80ABA" w:rsidRPr="00B035C5" w:rsidRDefault="00A80ABA" w:rsidP="00B035C5">
            <w:pPr>
              <w:pStyle w:val="NoSpacing"/>
            </w:pPr>
            <w:r w:rsidRPr="00B035C5">
              <w:t>2.94</w:t>
            </w:r>
          </w:p>
        </w:tc>
        <w:tc>
          <w:tcPr>
            <w:tcW w:w="474" w:type="pct"/>
            <w:shd w:val="clear" w:color="auto" w:fill="auto"/>
            <w:vAlign w:val="bottom"/>
            <w:hideMark/>
          </w:tcPr>
          <w:p w14:paraId="4D0F4051" w14:textId="6CABB2E5"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{"citationItems":[{"id":"ITEM-1","itemData":{"DOI":"10.1186/s12937-018-0384-4","ISSN":"14752891","PMID":"30217205","abstract":"Background: According to WHO childhood severe acute malnutrition (SAM) is diagnosed when the weight-for-height Z-score (WHZ) is &lt;-3Z of the WHO2006 standards, the mid-upper-arm circumference (MUAC) is &lt; 115 mm, there is nutritional oedema or any combination of these parameters. Recently there has been a move to eliminate WHZ as a diagnostic criterion on the assertion that children meeting the WHZ criterion are healthy, that MUAC is universally a superior prognostic indicator of mortality and that adding WHZ to the assessment does not improve the prediction; these assertions have lead to a controversy concerning the role of WHZ in the diagnosis of SAM. Methods: We examined the mortality experience of 76,887 6-60 month old severely malnourished children admitted for treatment to in-patient, out-patient or supplementary feeding facilities in 18 African countries, of whom 3588 died. They were divided into 7 different diagnostic categories for analysis of mortality rates by comparison of case fatality rates, relative risk of death and meta-analysis of the difference between children admitted using MUAC and WHZ criteria. Results: The mortality rate was higher in those children fulfilling the WHO2006 WHZ criterion than the MUAC criterion. This was the case for younger as well as older children and in all regions except for marasmic children in East Africa. Those fulfilling both criteria had a higher mortality. Nutritional oedema increased the risk of death. Having oedema and a low WHZ dramatically increased the mortality rate whereas addition of the MUAC criterion to either oedema-alone or oedema plus a low WHZ did not further increase the mortality rate. The data were subject to extreme confounding giving Simpson's paradox, which reversed the apparent mortality rates when children fulfilling both WHZ and MUAC criteria were included in the estimation of the risk of death of those fulfilling either the WHZ or MUAC criteria alone. Conclusions: Children with a low WHZ, but a MUAC above the SAM cut-off point are at high risk of death. Simpson's paradox due to confounding from oedema and mathematical coupling may make previous statistical analyses which failed to distinguish the diagnostic groups an unreliable guide to policy. WHZ needs to be retained as an independent criterion for diagnosis of SAM and methods found to identify those children with a low WHZ, but not a low MUAC, in the community.","author":[{"dropping-particle":"","family":"Grellety","given":"Emmanuel","non-dropping-particle":"","parse-names":false,"suffix":""},{"dropping-particle":"","family":"Golden","given":"Michael H.","non-dropping-particle":"","parse-names":false,"suffix":""}],"container-title":"Nutrition Journal","id":"ITEM-1","issue":"1","issued":{"date-parts":[["2018","9","15"]]},"publisher":"BioMed Central Ltd.","title":"Severely malnourished children with a low weight-for-height have a higher mortality than those with a low mid-upper-arm-circumference: I. Empirical data demonstrates Simpson's paradox","type":"article-journal","volume":"17"},"uris":["http://www.mendeley.com/documents/?uuid=348f4bee-938a-34de-b103-d11b8915585d"]}],"mendeley":{"formattedCitation":"&lt;sup&gt;19&lt;/sup&gt;","plainTextFormattedCitation":"19","previouslyFormattedCitation":"&lt;sup&gt;19&lt;/sup&gt;"},"properties":{"noteIndex":0},"schema":"https://github.com/citation-style-language/schema/raw/master/csl-citation.json"}</w:instrText>
            </w:r>
            <w:r>
              <w:rPr>
                <w:rFonts w:ascii="Calibri" w:hAnsi="Calibri" w:cs="Calibri"/>
                <w:color w:val="000000"/>
                <w:szCs w:val="21"/>
                <w:lang w:eastAsia="en-GB"/>
              </w:rPr>
              <w:fldChar w:fldCharType="separate"/>
            </w:r>
            <w:r w:rsidRPr="00E91E1B">
              <w:rPr>
                <w:rFonts w:ascii="Calibri" w:hAnsi="Calibri" w:cs="Calibri"/>
                <w:noProof/>
                <w:color w:val="000000"/>
                <w:szCs w:val="21"/>
                <w:vertAlign w:val="superscript"/>
                <w:lang w:eastAsia="en-GB"/>
              </w:rPr>
              <w:t>19</w:t>
            </w:r>
            <w:r>
              <w:rPr>
                <w:rFonts w:ascii="Calibri" w:hAnsi="Calibri" w:cs="Calibri"/>
                <w:color w:val="000000"/>
                <w:szCs w:val="21"/>
                <w:lang w:eastAsia="en-GB"/>
              </w:rPr>
              <w:fldChar w:fldCharType="end"/>
            </w:r>
          </w:p>
        </w:tc>
        <w:tc>
          <w:tcPr>
            <w:tcW w:w="1693" w:type="pct"/>
            <w:shd w:val="clear" w:color="auto" w:fill="auto"/>
            <w:noWrap/>
            <w:vAlign w:val="bottom"/>
            <w:hideMark/>
          </w:tcPr>
          <w:p w14:paraId="5D234A9A" w14:textId="77777777" w:rsidR="00A80ABA" w:rsidRPr="00B035C5" w:rsidRDefault="00A80ABA" w:rsidP="00B035C5">
            <w:pPr>
              <w:pStyle w:val="NoSpacing"/>
            </w:pPr>
            <w:r w:rsidRPr="00B035C5">
              <w:t>relative risk of death if having kwashiorkor only, compared to (marasmus) MUAC&lt;115mm only</w:t>
            </w:r>
          </w:p>
        </w:tc>
        <w:tc>
          <w:tcPr>
            <w:tcW w:w="800" w:type="pct"/>
            <w:vMerge/>
          </w:tcPr>
          <w:p w14:paraId="0D8D1F87" w14:textId="77777777" w:rsidR="00A80ABA" w:rsidRPr="006820D5" w:rsidRDefault="00A80ABA" w:rsidP="00B035C5">
            <w:pPr>
              <w:pStyle w:val="NoSpacing"/>
              <w:rPr>
                <w:sz w:val="18"/>
                <w:szCs w:val="18"/>
              </w:rPr>
            </w:pPr>
          </w:p>
        </w:tc>
      </w:tr>
      <w:tr w:rsidR="00A80ABA" w:rsidRPr="00BD679D" w14:paraId="14A26C4D" w14:textId="79FF2501" w:rsidTr="006820D5">
        <w:trPr>
          <w:trHeight w:val="310"/>
        </w:trPr>
        <w:tc>
          <w:tcPr>
            <w:tcW w:w="198" w:type="pct"/>
            <w:vMerge/>
            <w:shd w:val="clear" w:color="auto" w:fill="D0CECE" w:themeFill="background2" w:themeFillShade="E6"/>
            <w:vAlign w:val="center"/>
            <w:hideMark/>
          </w:tcPr>
          <w:p w14:paraId="316C7BCE" w14:textId="77777777" w:rsidR="00A80ABA" w:rsidRPr="00C226F8" w:rsidRDefault="00A80ABA" w:rsidP="00C226F8">
            <w:pPr>
              <w:pStyle w:val="NoSpacing"/>
              <w:jc w:val="center"/>
              <w:rPr>
                <w:b/>
                <w:bCs/>
              </w:rPr>
            </w:pPr>
          </w:p>
        </w:tc>
        <w:tc>
          <w:tcPr>
            <w:tcW w:w="1155" w:type="pct"/>
            <w:shd w:val="clear" w:color="auto" w:fill="auto"/>
            <w:noWrap/>
            <w:vAlign w:val="center"/>
            <w:hideMark/>
          </w:tcPr>
          <w:p w14:paraId="29D65206" w14:textId="77777777" w:rsidR="00A80ABA" w:rsidRPr="00B035C5" w:rsidRDefault="00A80ABA" w:rsidP="00B035C5">
            <w:pPr>
              <w:pStyle w:val="NoSpacing"/>
            </w:pPr>
            <w:proofErr w:type="spellStart"/>
            <w:r w:rsidRPr="00B035C5">
              <w:t>rr_SAM_death_kwashiorkor_MUAC</w:t>
            </w:r>
            <w:proofErr w:type="spellEnd"/>
            <w:r w:rsidRPr="00B035C5">
              <w:t>&lt;115mm_only</w:t>
            </w:r>
          </w:p>
        </w:tc>
        <w:tc>
          <w:tcPr>
            <w:tcW w:w="680" w:type="pct"/>
            <w:shd w:val="clear" w:color="auto" w:fill="auto"/>
            <w:noWrap/>
            <w:vAlign w:val="bottom"/>
            <w:hideMark/>
          </w:tcPr>
          <w:p w14:paraId="1E156EE6" w14:textId="77777777" w:rsidR="00A80ABA" w:rsidRPr="00B035C5" w:rsidRDefault="00A80ABA" w:rsidP="00B035C5">
            <w:pPr>
              <w:pStyle w:val="NoSpacing"/>
            </w:pPr>
            <w:r w:rsidRPr="00B035C5">
              <w:t>3.63</w:t>
            </w:r>
          </w:p>
        </w:tc>
        <w:tc>
          <w:tcPr>
            <w:tcW w:w="474" w:type="pct"/>
            <w:shd w:val="clear" w:color="auto" w:fill="auto"/>
            <w:vAlign w:val="bottom"/>
            <w:hideMark/>
          </w:tcPr>
          <w:p w14:paraId="374C224E" w14:textId="035A1C95"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{"citationItems":[{"id":"ITEM-1","itemData":{"DOI":"10.1186/s12937-018-0384-4","ISSN":"14752891","PMID":"30217205","abstract":"Background: According to WHO childhood severe acute malnutrition (SAM) is diagnosed when the weight-for-height Z-score (WHZ) is &lt;-3Z of the WHO2006 standards, the mid-upper-arm circumference (MUAC) is &lt; 115 mm, there is nutritional oedema or any combination of these parameters. Recently there has been a move to eliminate WHZ as a diagnostic criterion on the assertion that children meeting the WHZ criterion are healthy, that MUAC is universally a superior prognostic indicator of mortality and that adding WHZ to the assessment does not improve the prediction; these assertions have lead to a controversy concerning the role of WHZ in the diagnosis of SAM. Methods: We examined the mortality experience of 76,887 6-60 month old severely malnourished children admitted for treatment to in-patient, out-patient or supplementary feeding facilities in 18 African countries, of whom 3588 died. They were divided into 7 different diagnostic categories for analysis of mortality rates by comparison of case fatality rates, relative risk of death and meta-analysis of the difference between children admitted using MUAC and WHZ criteria. Results: The mortality rate was higher in those children fulfilling the WHO2006 WHZ criterion than the MUAC criterion. This was the case for younger as well as older children and in all regions except for marasmic children in East Africa. Those fulfilling both criteria had a higher mortality. Nutritional oedema increased the risk of death. Having oedema and a low WHZ dramatically increased the mortality rate whereas addition of the MUAC criterion to either oedema-alone or oedema plus a low WHZ did not further increase the mortality rate. The data were subject to extreme confounding giving Simpson's paradox, which reversed the apparent mortality rates when children fulfilling both WHZ and MUAC criteria were included in the estimation of the risk of death of those fulfilling either the WHZ or MUAC criteria alone. Conclusions: Children with a low WHZ, but a MUAC above the SAM cut-off point are at high risk of death. Simpson's paradox due to confounding from oedema and mathematical coupling may make previous statistical analyses which failed to distinguish the diagnostic groups an unreliable guide to policy. WHZ needs to be retained as an independent criterion for diagnosis of SAM and methods found to identify those children with a low WHZ, but not a low MUAC, in the community.","author":[{"dropping-particle":"","family":"Grellety","given":"Emmanuel","non-dropping-particle":"","parse-names":false,"suffix":""},{"dropping-particle":"","family":"Golden","given":"Michael H.","non-dropping-particle":"","parse-names":false,"suffix":""}],"container-title":"Nutrition Journal","id":"ITEM-1","issue":"1","issued":{"date-parts":[["2018","9","15"]]},"publisher":"BioMed Central Ltd.","title":"Severely malnourished children with a low weight-for-height have a higher mortality than those with a low mid-upper-arm-circumference: I. Empirical data demonstrates Simpson's paradox","type":"article-journal","volume":"17"},"uris":["http://www.mendeley.com/documents/?uuid=348f4bee-938a-34de-b103-d11b8915585d"]}],"mendeley":{"formattedCitation":"&lt;sup&gt;19&lt;/sup&gt;","plainTextFormattedCitation":"19","previouslyFormattedCitation":"&lt;sup&gt;19&lt;/sup&gt;"},"properties":{"noteIndex":0},"schema":"https://github.com/citation-style-language/schema/raw/master/csl-citation.json"}</w:instrText>
            </w:r>
            <w:r>
              <w:rPr>
                <w:rFonts w:ascii="Calibri" w:hAnsi="Calibri" w:cs="Calibri"/>
                <w:color w:val="000000"/>
                <w:szCs w:val="21"/>
                <w:lang w:eastAsia="en-GB"/>
              </w:rPr>
              <w:fldChar w:fldCharType="separate"/>
            </w:r>
            <w:r w:rsidRPr="00E91E1B">
              <w:rPr>
                <w:rFonts w:ascii="Calibri" w:hAnsi="Calibri" w:cs="Calibri"/>
                <w:noProof/>
                <w:color w:val="000000"/>
                <w:szCs w:val="21"/>
                <w:vertAlign w:val="superscript"/>
                <w:lang w:eastAsia="en-GB"/>
              </w:rPr>
              <w:t>19</w:t>
            </w:r>
            <w:r>
              <w:rPr>
                <w:rFonts w:ascii="Calibri" w:hAnsi="Calibri" w:cs="Calibri"/>
                <w:color w:val="000000"/>
                <w:szCs w:val="21"/>
                <w:lang w:eastAsia="en-GB"/>
              </w:rPr>
              <w:fldChar w:fldCharType="end"/>
            </w:r>
          </w:p>
        </w:tc>
        <w:tc>
          <w:tcPr>
            <w:tcW w:w="1693" w:type="pct"/>
            <w:shd w:val="clear" w:color="auto" w:fill="auto"/>
            <w:noWrap/>
            <w:vAlign w:val="bottom"/>
            <w:hideMark/>
          </w:tcPr>
          <w:p w14:paraId="7ECCDF60" w14:textId="77777777" w:rsidR="00A80ABA" w:rsidRPr="00B035C5" w:rsidRDefault="00A80ABA" w:rsidP="00B035C5">
            <w:pPr>
              <w:pStyle w:val="NoSpacing"/>
            </w:pPr>
            <w:r w:rsidRPr="00B035C5">
              <w:t>relative risk of death if having kwashiorkor and MUAC&lt;115mm, compared to (marasmus) MUAC&lt;115mm only</w:t>
            </w:r>
          </w:p>
        </w:tc>
        <w:tc>
          <w:tcPr>
            <w:tcW w:w="800" w:type="pct"/>
            <w:vMerge/>
          </w:tcPr>
          <w:p w14:paraId="4C3B8296" w14:textId="77777777" w:rsidR="00A80ABA" w:rsidRPr="006820D5" w:rsidRDefault="00A80ABA" w:rsidP="00B035C5">
            <w:pPr>
              <w:pStyle w:val="NoSpacing"/>
              <w:rPr>
                <w:sz w:val="18"/>
                <w:szCs w:val="18"/>
              </w:rPr>
            </w:pPr>
          </w:p>
        </w:tc>
      </w:tr>
      <w:tr w:rsidR="00A80ABA" w:rsidRPr="00BD679D" w14:paraId="138A12D6" w14:textId="220D8BA3" w:rsidTr="006820D5">
        <w:trPr>
          <w:trHeight w:val="310"/>
        </w:trPr>
        <w:tc>
          <w:tcPr>
            <w:tcW w:w="198" w:type="pct"/>
            <w:vMerge/>
            <w:shd w:val="clear" w:color="auto" w:fill="D0CECE" w:themeFill="background2" w:themeFillShade="E6"/>
            <w:vAlign w:val="center"/>
            <w:hideMark/>
          </w:tcPr>
          <w:p w14:paraId="3621745B" w14:textId="77777777" w:rsidR="00A80ABA" w:rsidRPr="00C226F8" w:rsidRDefault="00A80ABA" w:rsidP="00C226F8">
            <w:pPr>
              <w:pStyle w:val="NoSpacing"/>
              <w:jc w:val="center"/>
              <w:rPr>
                <w:b/>
                <w:bCs/>
              </w:rPr>
            </w:pPr>
          </w:p>
        </w:tc>
        <w:tc>
          <w:tcPr>
            <w:tcW w:w="1155" w:type="pct"/>
            <w:shd w:val="clear" w:color="auto" w:fill="auto"/>
            <w:noWrap/>
            <w:vAlign w:val="center"/>
            <w:hideMark/>
          </w:tcPr>
          <w:p w14:paraId="3C798B3E" w14:textId="77777777" w:rsidR="00A80ABA" w:rsidRPr="00B035C5" w:rsidRDefault="00A80ABA" w:rsidP="00B035C5">
            <w:pPr>
              <w:pStyle w:val="NoSpacing"/>
            </w:pPr>
            <w:proofErr w:type="spellStart"/>
            <w:r w:rsidRPr="00B035C5">
              <w:t>rr_SAM_death_kwashiorkor_WHZ</w:t>
            </w:r>
            <w:proofErr w:type="spellEnd"/>
            <w:r w:rsidRPr="00B035C5">
              <w:t>&lt;-3_only</w:t>
            </w:r>
          </w:p>
        </w:tc>
        <w:tc>
          <w:tcPr>
            <w:tcW w:w="680" w:type="pct"/>
            <w:shd w:val="clear" w:color="auto" w:fill="auto"/>
            <w:noWrap/>
            <w:vAlign w:val="bottom"/>
            <w:hideMark/>
          </w:tcPr>
          <w:p w14:paraId="1DDFAE9B" w14:textId="77777777" w:rsidR="00A80ABA" w:rsidRPr="00B035C5" w:rsidRDefault="00A80ABA" w:rsidP="00B035C5">
            <w:pPr>
              <w:pStyle w:val="NoSpacing"/>
            </w:pPr>
            <w:r w:rsidRPr="00B035C5">
              <w:t>7.97</w:t>
            </w:r>
          </w:p>
        </w:tc>
        <w:tc>
          <w:tcPr>
            <w:tcW w:w="474" w:type="pct"/>
            <w:shd w:val="clear" w:color="auto" w:fill="auto"/>
            <w:vAlign w:val="bottom"/>
            <w:hideMark/>
          </w:tcPr>
          <w:p w14:paraId="293A250F" w14:textId="59C2643A"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{"citationItems":[{"id":"ITEM-1","itemData":{"DOI":"10.1186/s12937-018-0384-4","ISSN":"14752891","PMID":"30217205","abstract":"Background: According to WHO childhood severe acute malnutrition (SAM) is diagnosed when the weight-for-height Z-score (WHZ) is &lt;-3Z of the WHO2006 standards, the mid-upper-arm circumference (MUAC) is &lt; 115 mm, there is nutritional oedema or any combination of these parameters. Recently there has been a move to eliminate WHZ as a diagnostic criterion on the assertion that children meeting the WHZ criterion are healthy, that MUAC is universally a superior prognostic indicator of mortality and that adding WHZ to the assessment does not improve the prediction; these assertions have lead to a controversy concerning the role of WHZ in the diagnosis of SAM. Methods: We examined the mortality experience of 76,887 6-60 month old severely malnourished children admitted for treatment to in-patient, out-patient or supplementary feeding facilities in 18 African countries, of whom 3588 died. They were divided into 7 different diagnostic categories for analysis of mortality rates by comparison of case fatality rates, relative risk of death and meta-analysis of the difference between children admitted using MUAC and WHZ criteria. Results: The mortality rate was higher in those children fulfilling the WHO2006 WHZ criterion than the MUAC criterion. This was the case for younger as well as older children and in all regions except for marasmic children in East Africa. Those fulfilling both criteria had a higher mortality. Nutritional oedema increased the risk of death. Having oedema and a low WHZ dramatically increased the mortality rate whereas addition of the MUAC criterion to either oedema-alone or oedema plus a low WHZ did not further increase the mortality rate. The data were subject to extreme confounding giving Simpson's paradox, which reversed the apparent mortality rates when children fulfilling both WHZ and MUAC criteria were included in the estimation of the risk of death of those fulfilling either the WHZ or MUAC criteria alone. Conclusions: Children with a low WHZ, but a MUAC above the SAM cut-off point are at high risk of death. Simpson's paradox due to confounding from oedema and mathematical coupling may make previous statistical analyses which failed to distinguish the diagnostic groups an unreliable guide to policy. WHZ needs to be retained as an independent criterion for diagnosis of SAM and methods found to identify those children with a low WHZ, but not a low MUAC, in the community.","author":[{"dropping-particle":"","family":"Grellety","given":"Emmanuel","non-dropping-particle":"","parse-names":false,"suffix":""},{"dropping-particle":"","family":"Golden","given":"Michael H.","non-dropping-particle":"","parse-names":false,"suffix":""}],"container-title":"Nutrition Journal","id":"ITEM-1","issue":"1","issued":{"date-parts":[["2018","9","15"]]},"publisher":"BioMed Central Ltd.","title":"Severely malnourished children with a low weight-for-height have a higher mortality than those with a low mid-upper-arm-circumference: I. Empirical data demonstrates Simpson's paradox","type":"article-journal","volume":"17"},"uris":["http://www.mendeley.com/documents/?uuid=348f4bee-938a-34de-b103-d11b8915585d"]}],"mendeley":{"formattedCitation":"&lt;sup&gt;19&lt;/sup&gt;","plainTextFormattedCitation":"19","previouslyFormattedCitation":"&lt;sup&gt;19&lt;/sup&gt;"},"properties":{"noteIndex":0},"schema":"https://github.com/citation-style-language/schema/raw/master/csl-citation.json"}</w:instrText>
            </w:r>
            <w:r>
              <w:rPr>
                <w:rFonts w:ascii="Calibri" w:hAnsi="Calibri" w:cs="Calibri"/>
                <w:color w:val="000000"/>
                <w:szCs w:val="21"/>
                <w:lang w:eastAsia="en-GB"/>
              </w:rPr>
              <w:fldChar w:fldCharType="separate"/>
            </w:r>
            <w:r w:rsidRPr="00E91E1B">
              <w:rPr>
                <w:rFonts w:ascii="Calibri" w:hAnsi="Calibri" w:cs="Calibri"/>
                <w:noProof/>
                <w:color w:val="000000"/>
                <w:szCs w:val="21"/>
                <w:vertAlign w:val="superscript"/>
                <w:lang w:eastAsia="en-GB"/>
              </w:rPr>
              <w:t>19</w:t>
            </w:r>
            <w:r>
              <w:rPr>
                <w:rFonts w:ascii="Calibri" w:hAnsi="Calibri" w:cs="Calibri"/>
                <w:color w:val="000000"/>
                <w:szCs w:val="21"/>
                <w:lang w:eastAsia="en-GB"/>
              </w:rPr>
              <w:fldChar w:fldCharType="end"/>
            </w:r>
          </w:p>
        </w:tc>
        <w:tc>
          <w:tcPr>
            <w:tcW w:w="1693" w:type="pct"/>
            <w:shd w:val="clear" w:color="auto" w:fill="auto"/>
            <w:noWrap/>
            <w:vAlign w:val="bottom"/>
            <w:hideMark/>
          </w:tcPr>
          <w:p w14:paraId="36AC857E" w14:textId="77777777" w:rsidR="00A80ABA" w:rsidRPr="00B035C5" w:rsidRDefault="00A80ABA" w:rsidP="00B035C5">
            <w:pPr>
              <w:pStyle w:val="NoSpacing"/>
            </w:pPr>
            <w:r w:rsidRPr="00B035C5">
              <w:t>relative risk of death if having kwashiorkor and WHZ&lt;-3, compared to (marasmus) MUAC&lt;115mm only</w:t>
            </w:r>
          </w:p>
        </w:tc>
        <w:tc>
          <w:tcPr>
            <w:tcW w:w="800" w:type="pct"/>
            <w:vMerge/>
          </w:tcPr>
          <w:p w14:paraId="7CB2A934" w14:textId="77777777" w:rsidR="00A80ABA" w:rsidRPr="006820D5" w:rsidRDefault="00A80ABA" w:rsidP="00B035C5">
            <w:pPr>
              <w:pStyle w:val="NoSpacing"/>
              <w:rPr>
                <w:sz w:val="18"/>
                <w:szCs w:val="18"/>
              </w:rPr>
            </w:pPr>
          </w:p>
        </w:tc>
      </w:tr>
      <w:tr w:rsidR="00A80ABA" w:rsidRPr="00BD679D" w14:paraId="4FD92066" w14:textId="6D122A8C" w:rsidTr="006820D5">
        <w:trPr>
          <w:trHeight w:val="320"/>
        </w:trPr>
        <w:tc>
          <w:tcPr>
            <w:tcW w:w="198" w:type="pct"/>
            <w:vMerge/>
            <w:shd w:val="clear" w:color="auto" w:fill="D0CECE" w:themeFill="background2" w:themeFillShade="E6"/>
            <w:vAlign w:val="center"/>
            <w:hideMark/>
          </w:tcPr>
          <w:p w14:paraId="330149F9" w14:textId="77777777" w:rsidR="00A80ABA" w:rsidRPr="00C226F8" w:rsidRDefault="00A80ABA" w:rsidP="00C226F8">
            <w:pPr>
              <w:pStyle w:val="NoSpacing"/>
              <w:jc w:val="center"/>
              <w:rPr>
                <w:b/>
                <w:bCs/>
              </w:rPr>
            </w:pPr>
          </w:p>
        </w:tc>
        <w:tc>
          <w:tcPr>
            <w:tcW w:w="1155" w:type="pct"/>
            <w:shd w:val="clear" w:color="auto" w:fill="auto"/>
            <w:noWrap/>
            <w:vAlign w:val="center"/>
            <w:hideMark/>
          </w:tcPr>
          <w:p w14:paraId="537FB211" w14:textId="77777777" w:rsidR="00A80ABA" w:rsidRPr="00B035C5" w:rsidRDefault="00A80ABA" w:rsidP="00B035C5">
            <w:pPr>
              <w:pStyle w:val="NoSpacing"/>
            </w:pPr>
            <w:proofErr w:type="spellStart"/>
            <w:r w:rsidRPr="00B035C5">
              <w:t>rr_SAM_death_kwashiorkor_both_WHZ</w:t>
            </w:r>
            <w:proofErr w:type="spellEnd"/>
            <w:r w:rsidRPr="00B035C5">
              <w:t>&lt;-3_&amp;_MUAC&lt;115mm</w:t>
            </w:r>
          </w:p>
        </w:tc>
        <w:tc>
          <w:tcPr>
            <w:tcW w:w="680" w:type="pct"/>
            <w:shd w:val="clear" w:color="auto" w:fill="auto"/>
            <w:noWrap/>
            <w:vAlign w:val="bottom"/>
            <w:hideMark/>
          </w:tcPr>
          <w:p w14:paraId="64DF237F" w14:textId="77777777" w:rsidR="00A80ABA" w:rsidRPr="00B035C5" w:rsidRDefault="00A80ABA" w:rsidP="00B035C5">
            <w:pPr>
              <w:pStyle w:val="NoSpacing"/>
            </w:pPr>
            <w:r w:rsidRPr="00B035C5">
              <w:t>7.01</w:t>
            </w:r>
          </w:p>
        </w:tc>
        <w:tc>
          <w:tcPr>
            <w:tcW w:w="474" w:type="pct"/>
            <w:shd w:val="clear" w:color="auto" w:fill="auto"/>
            <w:vAlign w:val="bottom"/>
            <w:hideMark/>
          </w:tcPr>
          <w:p w14:paraId="5F619980" w14:textId="448E168C" w:rsidR="00A80ABA" w:rsidRPr="00BD679D" w:rsidRDefault="00A80ABA" w:rsidP="00A74826">
            <w:pPr>
              <w:pStyle w:val="NoSpacing"/>
              <w:rPr>
                <w:rFonts w:ascii="Calibri" w:hAnsi="Calibri" w:cs="Calibri"/>
                <w:color w:val="000000"/>
                <w:szCs w:val="21"/>
                <w:lang w:eastAsia="en-GB"/>
              </w:rPr>
            </w:pPr>
            <w:r w:rsidRPr="00BD679D">
              <w:rPr>
                <w:rFonts w:ascii="Calibri" w:hAnsi="Calibri" w:cs="Calibri"/>
                <w:color w:val="000000"/>
                <w:szCs w:val="21"/>
                <w:lang w:eastAsia="en-GB"/>
              </w:rPr>
              <w:t> </w:t>
            </w: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{"citationItems":[{"id":"ITEM-1","itemData":{"DOI":"10.1186/s12937-018-0384-4","ISSN":"14752891","PMID":"30217205","abstract":"Background: According to WHO childhood severe acute malnutrition (SAM) is diagnosed when the weight-for-height Z-score (WHZ) is &lt;-3Z of the WHO2006 standards, the mid-upper-arm circumference (MUAC) is &lt; 115 mm, there is nutritional oedema or any combination of these parameters. Recently there has been a move to eliminate WHZ as a diagnostic criterion on the assertion that children meeting the WHZ criterion are healthy, that MUAC is universally a superior prognostic indicator of mortality and that adding WHZ to the assessment does not improve the prediction; these assertions have lead to a controversy concerning the role of WHZ in the diagnosis of SAM. Methods: We examined the mortality experience of 76,887 6-60 month old severely malnourished children admitted for treatment to in-patient, out-patient or supplementary feeding facilities in 18 African countries, of whom 3588 died. They were divided into 7 different diagnostic categories for analysis of mortality rates by comparison of case fatality rates, relative risk of death and meta-analysis of the difference between children admitted using MUAC and WHZ criteria. Results: The mortality rate was higher in those children fulfilling the WHO2006 WHZ criterion than the MUAC criterion. This was the case for younger as well as older children and in all regions except for marasmic children in East Africa. Those fulfilling both criteria had a higher mortality. Nutritional oedema increased the risk of death. Having oedema and a low WHZ dramatically increased the mortality rate whereas addition of the MUAC criterion to either oedema-alone or oedema plus a low WHZ did not further increase the mortality rate. The data were subject to extreme confounding giving Simpson's paradox, which reversed the apparent mortality rates when children fulfilling both WHZ and MUAC criteria were included in the estimation of the risk of death of those fulfilling either the WHZ or MUAC criteria alone. Conclusions: Children with a low WHZ, but a MUAC above the SAM cut-off point are at high risk of death. Simpson's paradox due to confounding from oedema and mathematical coupling may make previous statistical analyses which failed to distinguish the diagnostic groups an unreliable guide to policy. WHZ needs to be retained as an independent criterion for diagnosis of SAM and methods found to identify those children with a low WHZ, but not a low MUAC, in the community.","author":[{"dropping-particle":"","family":"Grellety","given":"Emmanuel","non-dropping-particle":"","parse-names":false,"suffix":""},{"dropping-particle":"","family":"Golden","given":"Michael H.","non-dropping-particle":"","parse-names":false,"suffix":""}],"container-title":"Nutrition Journal","id":"ITEM-1","issue":"1","issued":{"date-parts":[["2018","9","15"]]},"publisher":"BioMed Central Ltd.","title":"Severely malnourished children with a low weight-for-height have a higher mortality than those with a low mid-upper-arm-circumference: I. Empirical data demonstrates Simpson's paradox","type":"article-journal","volume":"17"},"uris":["http://www.mendeley.com/documents/?uuid=348f4bee-938a-34de-b103-d11b8915585d"]}],"mendeley":{"formattedCitation":"&lt;sup&gt;19&lt;/sup&gt;","plainTextFormattedCitation":"19","previouslyFormattedCitation":"&lt;sup&gt;19&lt;/sup&gt;"},"properties":{"noteIndex":0},"schema":"https://github.com/citation-style-language/schema/raw/master/csl-citation.json"}</w:instrText>
            </w:r>
            <w:r>
              <w:rPr>
                <w:rFonts w:ascii="Calibri" w:hAnsi="Calibri" w:cs="Calibri"/>
                <w:color w:val="000000"/>
                <w:szCs w:val="21"/>
                <w:lang w:eastAsia="en-GB"/>
              </w:rPr>
              <w:fldChar w:fldCharType="separate"/>
            </w:r>
            <w:r w:rsidRPr="00E91E1B">
              <w:rPr>
                <w:rFonts w:ascii="Calibri" w:hAnsi="Calibri" w:cs="Calibri"/>
                <w:noProof/>
                <w:color w:val="000000"/>
                <w:szCs w:val="21"/>
                <w:vertAlign w:val="superscript"/>
                <w:lang w:eastAsia="en-GB"/>
              </w:rPr>
              <w:t>19</w:t>
            </w:r>
            <w:r>
              <w:rPr>
                <w:rFonts w:ascii="Calibri" w:hAnsi="Calibri" w:cs="Calibri"/>
                <w:color w:val="000000"/>
                <w:szCs w:val="21"/>
                <w:lang w:eastAsia="en-GB"/>
              </w:rPr>
              <w:fldChar w:fldCharType="end"/>
            </w:r>
          </w:p>
        </w:tc>
        <w:tc>
          <w:tcPr>
            <w:tcW w:w="1693" w:type="pct"/>
            <w:shd w:val="clear" w:color="auto" w:fill="auto"/>
            <w:noWrap/>
            <w:vAlign w:val="bottom"/>
            <w:hideMark/>
          </w:tcPr>
          <w:p w14:paraId="3E4A9F96" w14:textId="77777777" w:rsidR="00A80ABA" w:rsidRPr="00B035C5" w:rsidRDefault="00A80ABA" w:rsidP="00B035C5">
            <w:pPr>
              <w:pStyle w:val="NoSpacing"/>
            </w:pPr>
            <w:r w:rsidRPr="00B035C5">
              <w:t>relative risk of death if having kwashiorkor, WHZ&lt;-3 and MUAC&lt;115mm, compared to (marasmus) MUAC&lt;115mm only</w:t>
            </w:r>
          </w:p>
        </w:tc>
        <w:tc>
          <w:tcPr>
            <w:tcW w:w="800" w:type="pct"/>
            <w:vMerge/>
          </w:tcPr>
          <w:p w14:paraId="6CF72409" w14:textId="77777777" w:rsidR="00A80ABA" w:rsidRPr="006820D5" w:rsidRDefault="00A80ABA" w:rsidP="00B035C5">
            <w:pPr>
              <w:pStyle w:val="NoSpacing"/>
              <w:rPr>
                <w:sz w:val="18"/>
                <w:szCs w:val="18"/>
              </w:rPr>
            </w:pPr>
          </w:p>
        </w:tc>
      </w:tr>
    </w:tbl>
    <w:p w14:paraId="46C124E1" w14:textId="77777777" w:rsidR="00B15081" w:rsidRDefault="00B15081" w:rsidP="00B15081">
      <w:pPr>
        <w:ind w:firstLine="0"/>
      </w:pPr>
    </w:p>
    <w:p w14:paraId="7F87241B" w14:textId="4622F942" w:rsidR="0070722F" w:rsidRPr="008909E4" w:rsidRDefault="0070722F" w:rsidP="008909E4">
      <w:pPr>
        <w:rPr>
          <w:color w:val="1F4E79" w:themeColor="accent1" w:themeShade="80"/>
          <w:sz w:val="25"/>
          <w:szCs w:val="32"/>
        </w:rPr>
      </w:pPr>
      <w:r>
        <w:br w:type="page"/>
      </w:r>
    </w:p>
    <w:p w14:paraId="7E812182" w14:textId="702564A3" w:rsidR="0070722F" w:rsidRPr="00005E4B" w:rsidRDefault="0070722F" w:rsidP="002E4D31">
      <w:pPr>
        <w:rPr>
          <w:b/>
          <w:bCs/>
          <w:color w:val="FF0000"/>
        </w:rPr>
      </w:pPr>
      <w:r>
        <w:lastRenderedPageBreak/>
        <w:t xml:space="preserve">Now, adding-in the </w:t>
      </w:r>
      <w:r w:rsidR="00E468F2">
        <w:t>nutritional health outcomes</w:t>
      </w:r>
      <w:r>
        <w:t xml:space="preserve"> </w:t>
      </w:r>
      <w:r w:rsidR="00E468F2">
        <w:t>following the end of treatment.</w:t>
      </w:r>
      <w:r w:rsidR="001608C1">
        <w:t xml:space="preserve"> </w:t>
      </w:r>
      <w:r w:rsidR="001608C1" w:rsidRPr="00005E4B">
        <w:rPr>
          <w:b/>
          <w:bCs/>
          <w:color w:val="FF0000"/>
        </w:rPr>
        <w:t>(THIS PART NOT YET IN THE CODE)</w:t>
      </w:r>
    </w:p>
    <w:p w14:paraId="3AEF6240" w14:textId="77777777" w:rsidR="0070722F" w:rsidRDefault="0070722F" w:rsidP="002E4D31"/>
    <w:p w14:paraId="0C990BFE" w14:textId="1FD0C634" w:rsidR="00751F97" w:rsidRDefault="00751F97" w:rsidP="002E4D31">
      <w:pPr>
        <w:pStyle w:val="Caption"/>
      </w:pPr>
      <w:r>
        <w:t xml:space="preserve">Table </w:t>
      </w:r>
      <w:fldSimple w:instr=" SEQ Table \* ARABIC ">
        <w:r w:rsidR="00EC5D76">
          <w:rPr>
            <w:noProof/>
          </w:rPr>
          <w:t>5</w:t>
        </w:r>
      </w:fldSimple>
      <w:r>
        <w:t xml:space="preserve"> - </w:t>
      </w:r>
      <w:r w:rsidRPr="00E621EF">
        <w:t>Key terminology and definitions</w:t>
      </w:r>
      <w:r>
        <w:t xml:space="preserve"> from CORTASAM </w:t>
      </w:r>
      <w:r>
        <w:fldChar w:fldCharType="begin" w:fldLock="1"/>
      </w:r>
      <w:r w:rsidR="00CD679E">
        <w:instrText>ADDIN CSL_CITATION {"citationItems":[{"id":"ITEM-1","itemData":{"author":[{"dropping-particle":"","family":"CORTASAM","given":"","non-dropping-particle":"","parse-names":false,"suffix":""}],"id":"ITEM-1","issued":{"date-parts":[["2020"]]},"title":"GUIDANCE TO IMPROVE THE COLLECTING AND REPORTING OF DATA ON RELAPSE IN CHILDREN FOLLOWING TREATMENT IN WASTING PROGRAMMES","type":"report"},"uris":["http://www.mendeley.com/documents/?uuid=f78c73bb-0134-3e6c-938a-65dc4eee7db8"]}],"mendeley":{"formattedCitation":"&lt;sup&gt;20&lt;/sup&gt;","plainTextFormattedCitation":"20","previouslyFormattedCitation":"&lt;sup&gt;20&lt;/sup&gt;"},"properties":{"noteIndex":0},"schema":"https://github.com/citation-style-language/schema/raw/master/csl-citation.json"}</w:instrText>
      </w:r>
      <w:r>
        <w:fldChar w:fldCharType="separate"/>
      </w:r>
      <w:r w:rsidR="00E91E1B" w:rsidRPr="00E91E1B">
        <w:rPr>
          <w:b w:val="0"/>
          <w:noProof/>
          <w:vertAlign w:val="superscript"/>
        </w:rPr>
        <w:t>20</w:t>
      </w:r>
      <w:r>
        <w:fldChar w:fldCharType="end"/>
      </w:r>
    </w:p>
    <w:tbl>
      <w:tblPr>
        <w:tblStyle w:val="TableGrid"/>
        <w:tblW w:w="0" w:type="auto"/>
        <w:tblLook w:val="04A0" w:firstRow="1" w:lastRow="0" w:firstColumn="1" w:lastColumn="0" w:noHBand="0" w:noVBand="1"/>
      </w:tblPr>
      <w:tblGrid>
        <w:gridCol w:w="3539"/>
        <w:gridCol w:w="6917"/>
      </w:tblGrid>
      <w:tr w:rsidR="00751F97" w:rsidRPr="00170F7E" w14:paraId="055D2D7D" w14:textId="77777777" w:rsidTr="00EC6445">
        <w:tc>
          <w:tcPr>
            <w:tcW w:w="3539" w:type="dxa"/>
            <w:shd w:val="clear" w:color="auto" w:fill="BDD6EE" w:themeFill="accent1" w:themeFillTint="66"/>
          </w:tcPr>
          <w:p w14:paraId="666DC179" w14:textId="77777777" w:rsidR="00751F97" w:rsidRPr="007E36FF" w:rsidRDefault="00751F97" w:rsidP="00EC6445">
            <w:pPr>
              <w:pStyle w:val="NoSpacing"/>
              <w:rPr>
                <w:b/>
              </w:rPr>
            </w:pPr>
            <w:r w:rsidRPr="007E36FF">
              <w:rPr>
                <w:b/>
              </w:rPr>
              <w:t>Term</w:t>
            </w:r>
            <w:r>
              <w:rPr>
                <w:b/>
              </w:rPr>
              <w:t>inology</w:t>
            </w:r>
          </w:p>
        </w:tc>
        <w:tc>
          <w:tcPr>
            <w:tcW w:w="6917" w:type="dxa"/>
            <w:shd w:val="clear" w:color="auto" w:fill="BDD6EE" w:themeFill="accent1" w:themeFillTint="66"/>
          </w:tcPr>
          <w:p w14:paraId="1BA4339F" w14:textId="77777777" w:rsidR="00751F97" w:rsidRPr="007E36FF" w:rsidRDefault="00751F97" w:rsidP="00EC6445">
            <w:pPr>
              <w:pStyle w:val="NoSpacing"/>
              <w:rPr>
                <w:b/>
              </w:rPr>
            </w:pPr>
            <w:r w:rsidRPr="007E36FF">
              <w:rPr>
                <w:b/>
              </w:rPr>
              <w:t>Definition</w:t>
            </w:r>
          </w:p>
        </w:tc>
      </w:tr>
      <w:tr w:rsidR="00751F97" w:rsidRPr="00170F7E" w14:paraId="1BB3CF59" w14:textId="77777777" w:rsidTr="00EC6445">
        <w:tc>
          <w:tcPr>
            <w:tcW w:w="3539" w:type="dxa"/>
          </w:tcPr>
          <w:p w14:paraId="62A6B5E7" w14:textId="77777777" w:rsidR="00751F97" w:rsidRPr="00170F7E" w:rsidRDefault="00751F97" w:rsidP="00EC6445">
            <w:pPr>
              <w:pStyle w:val="NoSpacing"/>
            </w:pPr>
            <w:r w:rsidRPr="00170F7E">
              <w:t>Relapse to severe wasting following treatment for severe wasting</w:t>
            </w:r>
          </w:p>
        </w:tc>
        <w:tc>
          <w:tcPr>
            <w:tcW w:w="6917" w:type="dxa"/>
          </w:tcPr>
          <w:p w14:paraId="309D402D" w14:textId="77777777" w:rsidR="00751F97" w:rsidRPr="00170F7E" w:rsidRDefault="00751F97" w:rsidP="00EC6445">
            <w:pPr>
              <w:pStyle w:val="NoSpacing"/>
            </w:pPr>
            <w:r w:rsidRPr="00170F7E">
              <w:t>“an episode of severe wasting within 6 months of being discharged from treatment for severe wasting as per current recommended criteria</w:t>
            </w:r>
            <w:r w:rsidRPr="00170F7E">
              <w:rPr>
                <w:rStyle w:val="FootnoteReference"/>
                <w:szCs w:val="21"/>
              </w:rPr>
              <w:footnoteReference w:id="1"/>
            </w:r>
            <w:r w:rsidRPr="00170F7E">
              <w:t>”</w:t>
            </w:r>
          </w:p>
        </w:tc>
      </w:tr>
      <w:tr w:rsidR="00751F97" w:rsidRPr="00170F7E" w14:paraId="571B827B" w14:textId="77777777" w:rsidTr="00EC6445">
        <w:tc>
          <w:tcPr>
            <w:tcW w:w="3539" w:type="dxa"/>
          </w:tcPr>
          <w:p w14:paraId="5C264A5E" w14:textId="77777777" w:rsidR="00751F97" w:rsidRPr="00170F7E" w:rsidRDefault="00751F97" w:rsidP="00EC6445">
            <w:pPr>
              <w:pStyle w:val="NoSpacing"/>
            </w:pPr>
            <w:r>
              <w:t>R</w:t>
            </w:r>
            <w:r w:rsidRPr="00170F7E">
              <w:t>elapse to moderate wasting following treatment for moderate wasting</w:t>
            </w:r>
          </w:p>
        </w:tc>
        <w:tc>
          <w:tcPr>
            <w:tcW w:w="6917" w:type="dxa"/>
          </w:tcPr>
          <w:p w14:paraId="43FFEB77" w14:textId="77777777" w:rsidR="00751F97" w:rsidRDefault="00751F97" w:rsidP="00EC6445">
            <w:pPr>
              <w:pStyle w:val="NoSpacing"/>
            </w:pPr>
            <w:r w:rsidRPr="00170F7E">
              <w:t>“an episode of moderate wasting within 6 months of being discharged from treatment for moderate wasting as per current recomm</w:t>
            </w:r>
            <w:r>
              <w:t xml:space="preserve">ended anthropometric </w:t>
            </w:r>
            <w:r w:rsidRPr="00170F7E">
              <w:t>criteria”</w:t>
            </w:r>
            <w:r>
              <w:t xml:space="preserve">. This should be divided into two categories of relapse: </w:t>
            </w:r>
          </w:p>
          <w:p w14:paraId="4BF8FC9C" w14:textId="77777777" w:rsidR="00751F97" w:rsidRDefault="00751F97" w:rsidP="00EC6445">
            <w:pPr>
              <w:pStyle w:val="NoSpacing"/>
              <w:numPr>
                <w:ilvl w:val="0"/>
                <w:numId w:val="3"/>
              </w:numPr>
            </w:pPr>
            <w:r>
              <w:t xml:space="preserve">Relapse in children who were referred from severe wasting treatment programmes; and </w:t>
            </w:r>
          </w:p>
          <w:p w14:paraId="29FFD858" w14:textId="77777777" w:rsidR="00751F97" w:rsidRPr="00170F7E" w:rsidRDefault="00751F97" w:rsidP="00EC6445">
            <w:pPr>
              <w:pStyle w:val="NoSpacing"/>
              <w:numPr>
                <w:ilvl w:val="0"/>
                <w:numId w:val="3"/>
              </w:numPr>
            </w:pPr>
            <w:r>
              <w:t>Relapse in children who were direct admissions of primary moderate wasting cases</w:t>
            </w:r>
          </w:p>
        </w:tc>
      </w:tr>
      <w:tr w:rsidR="00751F97" w:rsidRPr="00170F7E" w14:paraId="566C4E78" w14:textId="77777777" w:rsidTr="00EC6445">
        <w:tc>
          <w:tcPr>
            <w:tcW w:w="3539" w:type="dxa"/>
          </w:tcPr>
          <w:p w14:paraId="556992B5" w14:textId="77777777" w:rsidR="00751F97" w:rsidRPr="00170F7E" w:rsidRDefault="00751F97" w:rsidP="00EC6445">
            <w:pPr>
              <w:pStyle w:val="NoSpacing"/>
            </w:pPr>
            <w:r w:rsidRPr="00170F7E">
              <w:t>Relapse to severe wasting following treatment for moderate wasting</w:t>
            </w:r>
          </w:p>
        </w:tc>
        <w:tc>
          <w:tcPr>
            <w:tcW w:w="6917" w:type="dxa"/>
          </w:tcPr>
          <w:p w14:paraId="4E2E046B" w14:textId="77777777" w:rsidR="00751F97" w:rsidRPr="00170F7E" w:rsidRDefault="00751F97" w:rsidP="00EC6445">
            <w:pPr>
              <w:pStyle w:val="NoSpacing"/>
            </w:pPr>
            <w:r w:rsidRPr="00170F7E">
              <w:t>“an episode of severe wasting within 6 months of being discharged from treatment for moderate wasting as per current recommended criteria”</w:t>
            </w:r>
          </w:p>
        </w:tc>
      </w:tr>
      <w:tr w:rsidR="00751F97" w:rsidRPr="00170F7E" w14:paraId="3F40A6DA" w14:textId="77777777" w:rsidTr="00EC6445">
        <w:tc>
          <w:tcPr>
            <w:tcW w:w="3539" w:type="dxa"/>
          </w:tcPr>
          <w:p w14:paraId="140B2405" w14:textId="77777777" w:rsidR="00751F97" w:rsidRPr="00170F7E" w:rsidRDefault="00751F97" w:rsidP="00EC6445">
            <w:pPr>
              <w:pStyle w:val="NoSpacing"/>
            </w:pPr>
            <w:r w:rsidRPr="00170F7E">
              <w:t>Relapse to moderate wasting following treatment for severe wasting</w:t>
            </w:r>
          </w:p>
        </w:tc>
        <w:tc>
          <w:tcPr>
            <w:tcW w:w="6917" w:type="dxa"/>
          </w:tcPr>
          <w:p w14:paraId="0A717FCE" w14:textId="77777777" w:rsidR="00751F97" w:rsidRPr="00170F7E" w:rsidRDefault="00751F97" w:rsidP="00EC6445">
            <w:pPr>
              <w:pStyle w:val="NoSpacing"/>
            </w:pPr>
            <w:r w:rsidRPr="00170F7E">
              <w:t>“an episode of moderate wasting within 6 months of being discharged from treatment for severe wasting as per current recommended criteria”</w:t>
            </w:r>
          </w:p>
        </w:tc>
      </w:tr>
      <w:tr w:rsidR="00751F97" w:rsidRPr="00170F7E" w14:paraId="547ECF07" w14:textId="77777777" w:rsidTr="00EC6445">
        <w:tc>
          <w:tcPr>
            <w:tcW w:w="3539" w:type="dxa"/>
          </w:tcPr>
          <w:p w14:paraId="2E4DC8B2" w14:textId="77777777" w:rsidR="00751F97" w:rsidRPr="00170F7E" w:rsidRDefault="00751F97" w:rsidP="00EC6445">
            <w:pPr>
              <w:pStyle w:val="NoSpacing"/>
            </w:pPr>
            <w:r>
              <w:t>Ongoing episodes *</w:t>
            </w:r>
          </w:p>
        </w:tc>
        <w:tc>
          <w:tcPr>
            <w:tcW w:w="6917" w:type="dxa"/>
          </w:tcPr>
          <w:p w14:paraId="791923C9" w14:textId="77777777" w:rsidR="00751F97" w:rsidRPr="00170F7E" w:rsidRDefault="00751F97" w:rsidP="00EC6445">
            <w:pPr>
              <w:pStyle w:val="NoSpacing"/>
            </w:pPr>
            <w:r>
              <w:t>Cases of severe wasting within 6 months after exiting treatment before reaching recommended criteria</w:t>
            </w:r>
          </w:p>
        </w:tc>
      </w:tr>
      <w:tr w:rsidR="00751F97" w:rsidRPr="00170F7E" w14:paraId="02A74924" w14:textId="77777777" w:rsidTr="00EC6445">
        <w:tc>
          <w:tcPr>
            <w:tcW w:w="3539" w:type="dxa"/>
          </w:tcPr>
          <w:p w14:paraId="1FD926DF" w14:textId="77777777" w:rsidR="00751F97" w:rsidRPr="00170F7E" w:rsidRDefault="00751F97" w:rsidP="00EC6445">
            <w:pPr>
              <w:pStyle w:val="NoSpacing"/>
            </w:pPr>
            <w:r>
              <w:t>Regression *</w:t>
            </w:r>
          </w:p>
        </w:tc>
        <w:tc>
          <w:tcPr>
            <w:tcW w:w="6917" w:type="dxa"/>
          </w:tcPr>
          <w:p w14:paraId="68B4FEFE" w14:textId="77777777" w:rsidR="00751F97" w:rsidRPr="00170F7E" w:rsidRDefault="00751F97" w:rsidP="00EC6445">
            <w:pPr>
              <w:pStyle w:val="NoSpacing"/>
            </w:pPr>
            <w:r>
              <w:t>Cases that regressed to a more severe form of wasting after incomplete recovery, within 6 months after exiting treatment before reaching recommended criteria</w:t>
            </w:r>
          </w:p>
        </w:tc>
      </w:tr>
      <w:tr w:rsidR="00751F97" w:rsidRPr="00170F7E" w14:paraId="527F8EE5" w14:textId="77777777" w:rsidTr="00EC6445">
        <w:tc>
          <w:tcPr>
            <w:tcW w:w="3539" w:type="dxa"/>
          </w:tcPr>
          <w:p w14:paraId="66ADAF03" w14:textId="77777777" w:rsidR="00751F97" w:rsidRPr="00170F7E" w:rsidRDefault="00751F97" w:rsidP="00EC6445">
            <w:pPr>
              <w:pStyle w:val="NoSpacing"/>
            </w:pPr>
            <w:r>
              <w:t>Reoccurrence</w:t>
            </w:r>
          </w:p>
        </w:tc>
        <w:tc>
          <w:tcPr>
            <w:tcW w:w="6917" w:type="dxa"/>
          </w:tcPr>
          <w:p w14:paraId="301FE421" w14:textId="77777777" w:rsidR="00751F97" w:rsidRPr="00170F7E" w:rsidRDefault="00751F97" w:rsidP="00EC6445">
            <w:pPr>
              <w:pStyle w:val="NoSpacing"/>
            </w:pPr>
            <w:r>
              <w:t xml:space="preserve">New episodes of wasting between </w:t>
            </w:r>
            <w:proofErr w:type="gramStart"/>
            <w:r>
              <w:t>6 and 12 months</w:t>
            </w:r>
            <w:proofErr w:type="gramEnd"/>
            <w:r>
              <w:t xml:space="preserve"> post-discharge </w:t>
            </w:r>
            <w:r w:rsidRPr="00170F7E">
              <w:t>as per current recommended criteria</w:t>
            </w:r>
          </w:p>
        </w:tc>
      </w:tr>
    </w:tbl>
    <w:p w14:paraId="0299B6EB" w14:textId="77777777" w:rsidR="002E4D31" w:rsidRPr="0070722F" w:rsidRDefault="00751F97" w:rsidP="0070722F">
      <w:pPr>
        <w:ind w:firstLine="0"/>
        <w:rPr>
          <w:sz w:val="19"/>
          <w:szCs w:val="19"/>
        </w:rPr>
      </w:pPr>
      <w:r w:rsidRPr="0068046F">
        <w:rPr>
          <w:sz w:val="19"/>
          <w:szCs w:val="19"/>
        </w:rPr>
        <w:t xml:space="preserve">*Distinct from relapse. These </w:t>
      </w:r>
      <w:r>
        <w:rPr>
          <w:sz w:val="19"/>
          <w:szCs w:val="19"/>
        </w:rPr>
        <w:t>terms</w:t>
      </w:r>
      <w:r w:rsidRPr="0068046F">
        <w:rPr>
          <w:sz w:val="19"/>
          <w:szCs w:val="19"/>
        </w:rPr>
        <w:t xml:space="preserve"> relate to cases </w:t>
      </w:r>
      <w:r>
        <w:rPr>
          <w:sz w:val="19"/>
          <w:szCs w:val="19"/>
        </w:rPr>
        <w:t xml:space="preserve">of wasting </w:t>
      </w:r>
      <w:r w:rsidRPr="0068046F">
        <w:rPr>
          <w:sz w:val="19"/>
          <w:szCs w:val="19"/>
        </w:rPr>
        <w:t>that default during treatment and those who are discharged without meeting the current recommended anthropometric</w:t>
      </w:r>
      <w:r>
        <w:rPr>
          <w:sz w:val="19"/>
          <w:szCs w:val="19"/>
        </w:rPr>
        <w:t xml:space="preserve"> discharge</w:t>
      </w:r>
      <w:r w:rsidRPr="0068046F">
        <w:rPr>
          <w:sz w:val="19"/>
          <w:szCs w:val="19"/>
        </w:rPr>
        <w:t xml:space="preserve"> criteria</w:t>
      </w:r>
      <w:r w:rsidR="0070722F">
        <w:rPr>
          <w:sz w:val="19"/>
          <w:szCs w:val="19"/>
        </w:rPr>
        <w:t>.</w:t>
      </w:r>
      <w:r w:rsidR="002E4D31">
        <w:rPr>
          <w:b/>
        </w:rPr>
        <w:br w:type="page"/>
      </w:r>
    </w:p>
    <w:p w14:paraId="5E0B1309" w14:textId="77777777" w:rsidR="002E4D31" w:rsidRDefault="002E4D31">
      <w:pPr>
        <w:spacing w:after="160" w:line="259" w:lineRule="auto"/>
        <w:ind w:firstLine="0"/>
        <w:jc w:val="left"/>
        <w:sectPr w:rsidR="002E4D31" w:rsidSect="00460A79">
          <w:pgSz w:w="11906" w:h="16838"/>
          <w:pgMar w:top="720" w:right="720" w:bottom="720" w:left="720" w:header="708" w:footer="708" w:gutter="0"/>
          <w:cols w:space="708"/>
          <w:docGrid w:linePitch="360"/>
        </w:sectPr>
      </w:pPr>
    </w:p>
    <w:p w14:paraId="69E62CEA" w14:textId="4E32A0A7" w:rsidR="002E4D31" w:rsidRDefault="002E4D31" w:rsidP="002E4D31">
      <w:pPr>
        <w:pStyle w:val="Caption"/>
        <w:keepNext/>
        <w:jc w:val="left"/>
      </w:pPr>
      <w:r>
        <w:lastRenderedPageBreak/>
        <w:t xml:space="preserve">Figure </w:t>
      </w:r>
      <w:fldSimple w:instr=" SEQ Figure \* ARABIC ">
        <w:r w:rsidR="00CD679E">
          <w:rPr>
            <w:noProof/>
          </w:rPr>
          <w:t>4</w:t>
        </w:r>
      </w:fldSimple>
      <w:r>
        <w:t xml:space="preserve"> - </w:t>
      </w:r>
      <w:r w:rsidRPr="00423DFF">
        <w:t>Conceptual framework of wasting treatment outcomes</w:t>
      </w:r>
    </w:p>
    <w:p w14:paraId="3E560C63" w14:textId="77777777" w:rsidR="002E4D31" w:rsidRDefault="006D0DFA">
      <w:pPr>
        <w:spacing w:after="160" w:line="259" w:lineRule="auto"/>
        <w:ind w:firstLine="0"/>
        <w:jc w:val="left"/>
      </w:pPr>
      <w:r>
        <w:rPr>
          <w:noProof/>
          <w:lang w:eastAsia="en-GB"/>
        </w:rPr>
        <w:drawing>
          <wp:inline distT="0" distB="0" distL="0" distR="0" wp14:anchorId="1E84E0B7" wp14:editId="6AAD9A7B">
            <wp:extent cx="9254408" cy="4572260"/>
            <wp:effectExtent l="0" t="0" r="4445" b="0"/>
            <wp:docPr id="2" name="Picture 2" descr="https://documents.lucid.app/documents/a69147d6-9e7a-44db-aceb-123349ce2791/pages/0_0?a=5219&amp;x=558&amp;y=789&amp;w=1203&amp;h=678&amp;store=1&amp;accept=image%2F*&amp;auth=LCA%20858d5e2ba9fbf675f927b4a406ada301ba514b78-ts%3D1615466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a69147d6-9e7a-44db-aceb-123349ce2791/pages/0_0?a=5219&amp;x=558&amp;y=789&amp;w=1203&amp;h=678&amp;store=1&amp;accept=image%2F*&amp;auth=LCA%20858d5e2ba9fbf675f927b4a406ada301ba514b78-ts%3D1615466089"/>
                    <pic:cNvPicPr>
                      <a:picLocks noChangeAspect="1" noChangeArrowheads="1"/>
                    </pic:cNvPicPr>
                  </pic:nvPicPr>
                  <pic:blipFill rotWithShape="1">
                    <a:blip r:embed="rId15">
                      <a:extLst>
                        <a:ext uri="{28A0092B-C50C-407E-A947-70E740481C1C}">
                          <a14:useLocalDpi xmlns:a14="http://schemas.microsoft.com/office/drawing/2010/main" val="0"/>
                        </a:ext>
                      </a:extLst>
                    </a:blip>
                    <a:srcRect t="7926" b="4253"/>
                    <a:stretch/>
                  </pic:blipFill>
                  <pic:spPr bwMode="auto">
                    <a:xfrm>
                      <a:off x="0" y="0"/>
                      <a:ext cx="9260226" cy="4575135"/>
                    </a:xfrm>
                    <a:prstGeom prst="rect">
                      <a:avLst/>
                    </a:prstGeom>
                    <a:noFill/>
                    <a:ln>
                      <a:noFill/>
                    </a:ln>
                    <a:extLst>
                      <a:ext uri="{53640926-AAD7-44D8-BBD7-CCE9431645EC}">
                        <a14:shadowObscured xmlns:a14="http://schemas.microsoft.com/office/drawing/2010/main"/>
                      </a:ext>
                    </a:extLst>
                  </pic:spPr>
                </pic:pic>
              </a:graphicData>
            </a:graphic>
          </wp:inline>
        </w:drawing>
      </w:r>
    </w:p>
    <w:p w14:paraId="062603B7" w14:textId="77777777" w:rsidR="001D5F0A" w:rsidRDefault="001D5F0A" w:rsidP="001D5F0A">
      <w:pPr>
        <w:pStyle w:val="NoSpacing"/>
      </w:pPr>
      <w:r>
        <w:t>*Recovery: anthropometric criteria of WHZ&gt;=-2 or MUAC &gt;=125mm and no oedema for at least 2 weeks</w:t>
      </w:r>
    </w:p>
    <w:p w14:paraId="7B693D79" w14:textId="77777777" w:rsidR="001D5F0A" w:rsidRDefault="001D5F0A" w:rsidP="001D5F0A">
      <w:pPr>
        <w:pStyle w:val="NoSpacing"/>
      </w:pPr>
      <w:r>
        <w:t>Description: following the</w:t>
      </w:r>
      <w:r w:rsidR="005D18AF">
        <w:t xml:space="preserve"> start of treatment, </w:t>
      </w:r>
      <w:r>
        <w:t xml:space="preserve">the individual child can either recover to the next improved nutritional state, </w:t>
      </w:r>
      <w:r w:rsidR="005D18AF">
        <w:t>continue</w:t>
      </w:r>
      <w:r>
        <w:t xml:space="preserve"> in the same </w:t>
      </w:r>
      <w:r w:rsidR="005D18AF">
        <w:t xml:space="preserve">nutritional </w:t>
      </w:r>
      <w:r>
        <w:t>state as</w:t>
      </w:r>
      <w:r w:rsidR="005D18AF">
        <w:t xml:space="preserve"> at the start of treatment, or die while under treatment. These processes are represented by the black arrows. The model updates the status of wasting 3 months after treatment.</w:t>
      </w:r>
    </w:p>
    <w:p w14:paraId="0F683B6D" w14:textId="77777777" w:rsidR="00375ABB" w:rsidRDefault="001D5F0A" w:rsidP="00005E4B">
      <w:pPr>
        <w:rPr>
          <w:rFonts w:eastAsiaTheme="majorEastAsia" w:cstheme="majorBidi"/>
          <w:b/>
          <w:color w:val="44546A" w:themeColor="text2"/>
          <w:sz w:val="24"/>
          <w:szCs w:val="26"/>
        </w:rPr>
      </w:pPr>
      <w:r>
        <w:t xml:space="preserve">Red </w:t>
      </w:r>
      <w:r w:rsidR="00764974">
        <w:t xml:space="preserve">and orange arrows </w:t>
      </w:r>
      <w:proofErr w:type="gramStart"/>
      <w:r w:rsidR="00764974">
        <w:t>denotes</w:t>
      </w:r>
      <w:proofErr w:type="gramEnd"/>
      <w:r w:rsidR="00764974">
        <w:t xml:space="preserve"> the processes that occur after discharge/exit from treatment. The red arrows denote the occurrences after discharge</w:t>
      </w:r>
      <w:r w:rsidR="00764974" w:rsidRPr="00170F7E">
        <w:t xml:space="preserve"> from treatment for </w:t>
      </w:r>
      <w:r w:rsidR="00764974">
        <w:t xml:space="preserve">moderate or </w:t>
      </w:r>
      <w:r w:rsidR="00764974" w:rsidRPr="00170F7E">
        <w:t>severe wasting as per current recommended criteria</w:t>
      </w:r>
      <w:r w:rsidR="00764974">
        <w:t xml:space="preserve">. </w:t>
      </w:r>
      <w:proofErr w:type="gramStart"/>
      <w:r w:rsidR="00764974">
        <w:t>Whereas,</w:t>
      </w:r>
      <w:proofErr w:type="gramEnd"/>
      <w:r w:rsidR="00764974">
        <w:t xml:space="preserve"> the orange arrows denotes the occurrences after discharge</w:t>
      </w:r>
      <w:r w:rsidR="00764974" w:rsidRPr="00170F7E">
        <w:t xml:space="preserve"> from treatment</w:t>
      </w:r>
      <w:r w:rsidR="00764974">
        <w:t xml:space="preserve"> before reaching the recommended criteria.</w:t>
      </w:r>
      <w:r w:rsidR="00375ABB">
        <w:br w:type="page"/>
      </w:r>
    </w:p>
    <w:p w14:paraId="2CBC90CD" w14:textId="77777777" w:rsidR="002E4D31" w:rsidRDefault="002E4D31" w:rsidP="00BF5A2D">
      <w:pPr>
        <w:pStyle w:val="Heading2"/>
        <w:sectPr w:rsidR="002E4D31" w:rsidSect="002E4D31">
          <w:pgSz w:w="16838" w:h="11906" w:orient="landscape"/>
          <w:pgMar w:top="720" w:right="720" w:bottom="720" w:left="720" w:header="709" w:footer="709" w:gutter="0"/>
          <w:cols w:space="708"/>
          <w:docGrid w:linePitch="360"/>
        </w:sectPr>
      </w:pPr>
    </w:p>
    <w:p w14:paraId="5A68E512" w14:textId="77777777" w:rsidR="007036DD" w:rsidRDefault="007036DD" w:rsidP="007036DD">
      <w:pPr>
        <w:pStyle w:val="Heading1"/>
        <w:jc w:val="left"/>
        <w:rPr>
          <w:shd w:val="clear" w:color="auto" w:fill="FFFFFF"/>
        </w:rPr>
      </w:pPr>
      <w:bookmarkStart w:id="30" w:name="_Toc71105507"/>
      <w:bookmarkStart w:id="31" w:name="_Toc74050885"/>
      <w:r>
        <w:rPr>
          <w:shd w:val="clear" w:color="auto" w:fill="FFFFFF"/>
        </w:rPr>
        <w:lastRenderedPageBreak/>
        <w:t xml:space="preserve">Conceptualisation of </w:t>
      </w:r>
      <w:r>
        <w:rPr>
          <w:color w:val="538135" w:themeColor="accent6" w:themeShade="BF"/>
          <w:shd w:val="clear" w:color="auto" w:fill="FFFFFF"/>
        </w:rPr>
        <w:t>stun</w:t>
      </w:r>
      <w:r w:rsidRPr="007053A1">
        <w:rPr>
          <w:color w:val="538135" w:themeColor="accent6" w:themeShade="BF"/>
          <w:shd w:val="clear" w:color="auto" w:fill="FFFFFF"/>
        </w:rPr>
        <w:t>ting</w:t>
      </w:r>
      <w:r>
        <w:rPr>
          <w:shd w:val="clear" w:color="auto" w:fill="FFFFFF"/>
        </w:rPr>
        <w:t xml:space="preserve"> model structure</w:t>
      </w:r>
      <w:bookmarkEnd w:id="30"/>
      <w:bookmarkEnd w:id="31"/>
      <w:r>
        <w:rPr>
          <w:shd w:val="clear" w:color="auto" w:fill="FFFFFF"/>
        </w:rPr>
        <w:t xml:space="preserve"> </w:t>
      </w:r>
    </w:p>
    <w:p w14:paraId="7EA7D910" w14:textId="43C746B2" w:rsidR="005D2F5C" w:rsidRPr="005D2F5C" w:rsidRDefault="00B3647F" w:rsidP="005D2F5C">
      <w:pPr>
        <w:pStyle w:val="Heading2"/>
      </w:pPr>
      <w:bookmarkStart w:id="32" w:name="_Toc71105508"/>
      <w:bookmarkStart w:id="33" w:name="_Toc74050886"/>
      <w:r>
        <w:t>Summary</w:t>
      </w:r>
      <w:bookmarkEnd w:id="32"/>
      <w:bookmarkEnd w:id="33"/>
      <w:r>
        <w:t xml:space="preserve"> </w:t>
      </w:r>
    </w:p>
    <w:p w14:paraId="334E9E07" w14:textId="2282CD50" w:rsidR="00AC557C" w:rsidRDefault="003936FC" w:rsidP="005D2F5C">
      <w:pPr>
        <w:rPr>
          <w:noProof/>
          <w:lang w:eastAsia="en-GB"/>
        </w:rPr>
      </w:pPr>
      <w:r>
        <w:t>In the design of a model for chronic malnutrition, the underlying ‘truth’ of an individual’s condition is determined by the height-for-age Z-score</w:t>
      </w:r>
      <w:r w:rsidR="005D2F5C">
        <w:t xml:space="preserve"> (HAZ)</w:t>
      </w:r>
      <w:r>
        <w:t>, or stunting status</w:t>
      </w:r>
      <w:r w:rsidR="005D2F5C">
        <w:t xml:space="preserve"> (HAZ&lt;-2)</w:t>
      </w:r>
      <w:r>
        <w:t xml:space="preserve">, following the WHO 2006 Child Growth Standards. </w:t>
      </w:r>
      <w:r w:rsidR="005D2F5C">
        <w:t>Stunting classification by the WHO guidelines has two categories: moderate (-3</w:t>
      </w:r>
      <w:r w:rsidR="005D2F5C">
        <w:rPr>
          <w:rFonts w:cs="Arial"/>
        </w:rPr>
        <w:t>≤</w:t>
      </w:r>
      <w:r w:rsidR="005D2F5C">
        <w:t>HAZ&lt;-2) or severe (HAZ&lt;-3).</w:t>
      </w:r>
      <w:r w:rsidR="00AC557C" w:rsidRPr="00AC557C">
        <w:rPr>
          <w:noProof/>
          <w:lang w:eastAsia="en-GB"/>
        </w:rPr>
        <w:t xml:space="preserve"> </w:t>
      </w:r>
    </w:p>
    <w:p w14:paraId="0F0B2BF0" w14:textId="6FE06AED" w:rsidR="00CD679E" w:rsidRDefault="00CD679E" w:rsidP="005D2F5C">
      <w:pPr>
        <w:rPr>
          <w:noProof/>
          <w:lang w:eastAsia="en-GB"/>
        </w:rPr>
      </w:pPr>
      <w:r>
        <w:rPr>
          <w:noProof/>
          <w:lang w:eastAsia="en-GB"/>
        </w:rPr>
        <w:t>Stunting is a result of complex multifactor interaction</w:t>
      </w:r>
      <w:r w:rsidR="000059C6">
        <w:rPr>
          <w:noProof/>
          <w:lang w:eastAsia="en-GB"/>
        </w:rPr>
        <w:t xml:space="preserve"> as represented in</w:t>
      </w:r>
      <w:r>
        <w:rPr>
          <w:noProof/>
          <w:lang w:eastAsia="en-GB"/>
        </w:rPr>
        <w:t xml:space="preserve"> Figure 5</w:t>
      </w:r>
      <w:r w:rsidR="000059C6">
        <w:rPr>
          <w:noProof/>
          <w:lang w:eastAsia="en-GB"/>
        </w:rPr>
        <w:t xml:space="preserve">, </w:t>
      </w:r>
      <w:r>
        <w:rPr>
          <w:noProof/>
          <w:lang w:eastAsia="en-GB"/>
        </w:rPr>
        <w:t>a conceptual framework of stunting developed by Fenske and colleagues. For the simplicity of the model, only a few of these variables</w:t>
      </w:r>
      <w:r w:rsidR="000059C6">
        <w:rPr>
          <w:noProof/>
          <w:lang w:eastAsia="en-GB"/>
        </w:rPr>
        <w:t>, which are measurable,</w:t>
      </w:r>
      <w:r>
        <w:rPr>
          <w:noProof/>
          <w:lang w:eastAsia="en-GB"/>
        </w:rPr>
        <w:t xml:space="preserve"> will serve as risk factors for stunting.</w:t>
      </w:r>
    </w:p>
    <w:p w14:paraId="2062F783" w14:textId="77777777" w:rsidR="00AC557C" w:rsidRDefault="00AC557C" w:rsidP="00AC557C">
      <w:pPr>
        <w:ind w:firstLine="0"/>
        <w:rPr>
          <w:noProof/>
          <w:lang w:eastAsia="en-GB"/>
        </w:rPr>
      </w:pPr>
    </w:p>
    <w:p w14:paraId="30F67961" w14:textId="31836BBF" w:rsidR="00CD679E" w:rsidRDefault="00CD679E" w:rsidP="00CD679E">
      <w:pPr>
        <w:pStyle w:val="Caption"/>
        <w:keepNext/>
      </w:pPr>
      <w:r>
        <w:t xml:space="preserve">Figure </w:t>
      </w:r>
      <w:fldSimple w:instr=" SEQ Figure \* ARABIC ">
        <w:r>
          <w:rPr>
            <w:noProof/>
          </w:rPr>
          <w:t>5</w:t>
        </w:r>
      </w:fldSimple>
      <w:r>
        <w:t xml:space="preserve"> - Conceptual framework of stunting (source: Fenske 2013) </w:t>
      </w:r>
      <w:r>
        <w:fldChar w:fldCharType="begin" w:fldLock="1"/>
      </w:r>
      <w:r w:rsidR="00091B09">
        <w:instrText>ADDIN CSL_CITATION {"citationItems":[{"id":"ITEM-1","itemData":{"DOI":"10.1371/journal.pone.0078692","ISSN":"19326203","PMID":"24223839","abstract":"Background: Most attempts to address undernutrition, responsible for one third of global child deaths, have fallen behind expectations. This suggests that the assumptions underlying current modelling and intervention practices should be revisited. Objective: We undertook a comprehensive analysis of the determinants of child stunting in India, and explored whether the established focus on linear effects of single risks is appropriate. Design: Using cross-sectional data for children aged 0-24 months from the Indian National Family Health Survey for 2005/2006, we populated an evidence-based diagram of immediate, intermediate and underlying determinants of stunting. We modelled linear, non-linear, spatial and age-varying effects of these determinants using additive quantile regression for four quantiles of the Z-score of standardized height-for-age and logistic regression for stunting and severe stunting. Results: At least one variable within each of eleven groups of determinants was significantly associated with height-for-age in the 35% Z-score quantile regression. The non-modifiable risk factors child age and sex, and the protective factors household wealth, maternal education and BMI showed the largest effects. Being a twin or multiple birth was associated with dramatically decreased height-for-age. Maternal age, maternal BMI, birth order and number of antenatal visits influenced child stunting in non-linear ways. Findings across the four quantile and two logistic regression models were largely comparable. Conclusions: Our analysis confirms the multifactorial nature of child stunting. It emphasizes the need to pursue a systems-based approach and to consider non-linear effects, and suggests that differential effects across the height-for-age distribution do not play a major role. © 2013 Fenske et al.","author":[{"dropping-particle":"","family":"Fenske","given":"Nora","non-dropping-particle":"","parse-names":false,"suffix":""},{"dropping-particle":"","family":"Burns","given":"Jacob","non-dropping-particle":"","parse-names":false,"suffix":""},{"dropping-particle":"","family":"Hothorn","given":"Torsten","non-dropping-particle":"","parse-names":false,"suffix":""},{"dropping-particle":"","family":"Rehfuess","given":"Eva A.","non-dropping-particle":"","parse-names":false,"suffix":""}],"container-title":"PLoS ONE","id":"ITEM-1","issue":"11","issued":{"date-parts":[["2013","11","4"]]},"page":"e78692","publisher":"Public Library of Science","title":"Understanding child stunting in India: A comprehensive analysis of socio-economic, nutritional and environmental determinants using additive quantile regression","type":"article-journal","volume":"8"},"uris":["http://www.mendeley.com/documents/?uuid=13db738e-5cdd-34b2-a796-ca42e99988ae"]}],"mendeley":{"formattedCitation":"&lt;sup&gt;21&lt;/sup&gt;","plainTextFormattedCitation":"21","previouslyFormattedCitation":"&lt;sup&gt;21&lt;/sup&gt;"},"properties":{"noteIndex":0},"schema":"https://github.com/citation-style-language/schema/raw/master/csl-citation.json"}</w:instrText>
      </w:r>
      <w:r>
        <w:fldChar w:fldCharType="separate"/>
      </w:r>
      <w:r w:rsidRPr="00CD679E">
        <w:rPr>
          <w:b w:val="0"/>
          <w:noProof/>
          <w:vertAlign w:val="superscript"/>
        </w:rPr>
        <w:t>21</w:t>
      </w:r>
      <w:r>
        <w:fldChar w:fldCharType="end"/>
      </w:r>
    </w:p>
    <w:p w14:paraId="09406988" w14:textId="55FA02E8" w:rsidR="003936FC" w:rsidRDefault="00005E4B" w:rsidP="00AC557C">
      <w:pPr>
        <w:ind w:firstLine="0"/>
        <w:rPr>
          <w:shd w:val="clear" w:color="auto" w:fill="FFFFFF"/>
        </w:rPr>
      </w:pPr>
      <w:r w:rsidRPr="00005E4B">
        <w:rPr>
          <w:noProof/>
        </w:rPr>
        <w:drawing>
          <wp:inline distT="0" distB="0" distL="0" distR="0" wp14:anchorId="2C1D9F0A" wp14:editId="75C047BD">
            <wp:extent cx="6645910" cy="4885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885690"/>
                    </a:xfrm>
                    <a:prstGeom prst="rect">
                      <a:avLst/>
                    </a:prstGeom>
                  </pic:spPr>
                </pic:pic>
              </a:graphicData>
            </a:graphic>
          </wp:inline>
        </w:drawing>
      </w:r>
    </w:p>
    <w:p w14:paraId="734E6B99" w14:textId="77777777" w:rsidR="00CD679E" w:rsidRPr="005D2F5C" w:rsidRDefault="00CD679E" w:rsidP="00AC557C">
      <w:pPr>
        <w:ind w:firstLine="0"/>
        <w:rPr>
          <w:shd w:val="clear" w:color="auto" w:fill="FFFFFF"/>
        </w:rPr>
      </w:pPr>
    </w:p>
    <w:p w14:paraId="07AF9FDD" w14:textId="67254D7D" w:rsidR="003936FC" w:rsidRDefault="00B3647F" w:rsidP="003936FC">
      <w:r>
        <w:t xml:space="preserve">The </w:t>
      </w:r>
      <w:r w:rsidR="00E468F2">
        <w:t>stunting</w:t>
      </w:r>
      <w:r>
        <w:t xml:space="preserve"> module updates the chronic nutritional status </w:t>
      </w:r>
      <w:r w:rsidR="005D2F5C">
        <w:t>to all</w:t>
      </w:r>
      <w:r>
        <w:t xml:space="preserve"> children under 5 years of age. It is responsible for assigning the prevalence at initiation of the simulation, </w:t>
      </w:r>
      <w:r w:rsidR="005D2F5C">
        <w:t xml:space="preserve">the monthly </w:t>
      </w:r>
      <w:r>
        <w:t xml:space="preserve">incidence rate of stunting, </w:t>
      </w:r>
      <w:r w:rsidR="003936FC">
        <w:t xml:space="preserve">changes between stunting states, </w:t>
      </w:r>
      <w:r>
        <w:t>and scheduling health system interactions where interventions are deployed.</w:t>
      </w:r>
      <w:r w:rsidR="004E6916">
        <w:t xml:space="preserve"> </w:t>
      </w:r>
      <w:r w:rsidR="003936FC">
        <w:t xml:space="preserve">Death from stunting is not modelled, stunting serves as a risk factor for </w:t>
      </w:r>
      <w:r w:rsidR="000059C6">
        <w:t xml:space="preserve">morbidity and </w:t>
      </w:r>
      <w:r w:rsidR="003936FC">
        <w:t>mortality due to other diseases.</w:t>
      </w:r>
    </w:p>
    <w:p w14:paraId="5C465512" w14:textId="77777777" w:rsidR="005D2F5C" w:rsidRDefault="005D2F5C" w:rsidP="003936FC"/>
    <w:p w14:paraId="23991130" w14:textId="423513B6" w:rsidR="005D2F5C" w:rsidRPr="005D2F5C" w:rsidRDefault="005D2F5C" w:rsidP="005D2F5C">
      <w:pPr>
        <w:pStyle w:val="Heading2"/>
      </w:pPr>
      <w:bookmarkStart w:id="34" w:name="_Toc74050887"/>
      <w:r>
        <w:t>Module p</w:t>
      </w:r>
      <w:r w:rsidR="0016449C">
        <w:t>roperties</w:t>
      </w:r>
      <w:bookmarkEnd w:id="34"/>
    </w:p>
    <w:p w14:paraId="0B4F5463" w14:textId="085CA6A8" w:rsidR="005D2F5C" w:rsidRDefault="005D2F5C" w:rsidP="005D2F5C">
      <w:pPr>
        <w:pStyle w:val="Caption"/>
        <w:keepNext/>
      </w:pPr>
      <w:r>
        <w:t xml:space="preserve">Table </w:t>
      </w:r>
      <w:fldSimple w:instr=" SEQ Table \* ARABIC ">
        <w:r w:rsidR="00EC5D76">
          <w:rPr>
            <w:noProof/>
          </w:rPr>
          <w:t>6</w:t>
        </w:r>
      </w:fldSimple>
      <w:r>
        <w:t xml:space="preserve"> - </w:t>
      </w:r>
      <w:r w:rsidRPr="005549A0">
        <w:t xml:space="preserve">Properties of the </w:t>
      </w:r>
      <w:r>
        <w:t>stunt</w:t>
      </w:r>
      <w:r w:rsidRPr="005549A0">
        <w:t>ing module, and respective type and description</w:t>
      </w:r>
    </w:p>
    <w:tbl>
      <w:tblPr>
        <w:tblStyle w:val="TableGridLight"/>
        <w:tblpPr w:leftFromText="180" w:rightFromText="180" w:vertAnchor="text" w:horzAnchor="margin" w:tblpY="136"/>
        <w:tblW w:w="10060" w:type="dxa"/>
        <w:tblLayout w:type="fixed"/>
        <w:tblLook w:val="04A0" w:firstRow="1" w:lastRow="0" w:firstColumn="1" w:lastColumn="0" w:noHBand="0" w:noVBand="1"/>
      </w:tblPr>
      <w:tblGrid>
        <w:gridCol w:w="2689"/>
        <w:gridCol w:w="4110"/>
        <w:gridCol w:w="3261"/>
      </w:tblGrid>
      <w:tr w:rsidR="00C47A30" w:rsidRPr="009934B1" w14:paraId="64DE3F65" w14:textId="77777777" w:rsidTr="00C47A30">
        <w:trPr>
          <w:trHeight w:val="310"/>
        </w:trPr>
        <w:tc>
          <w:tcPr>
            <w:tcW w:w="2689" w:type="dxa"/>
            <w:shd w:val="clear" w:color="auto" w:fill="B4C6E7" w:themeFill="accent5" w:themeFillTint="66"/>
            <w:noWrap/>
            <w:hideMark/>
          </w:tcPr>
          <w:p w14:paraId="2D725279" w14:textId="77777777" w:rsidR="00C47A30" w:rsidRPr="00C47A30" w:rsidRDefault="00C47A30" w:rsidP="00C47A30">
            <w:pPr>
              <w:pStyle w:val="NoSpacing"/>
              <w:rPr>
                <w:b/>
                <w:bCs/>
                <w:lang w:eastAsia="en-GB"/>
              </w:rPr>
            </w:pPr>
            <w:r w:rsidRPr="00C47A30">
              <w:rPr>
                <w:b/>
                <w:bCs/>
                <w:lang w:eastAsia="en-GB"/>
              </w:rPr>
              <w:t>Property name</w:t>
            </w:r>
          </w:p>
        </w:tc>
        <w:tc>
          <w:tcPr>
            <w:tcW w:w="4110" w:type="dxa"/>
            <w:shd w:val="clear" w:color="auto" w:fill="B4C6E7" w:themeFill="accent5" w:themeFillTint="66"/>
            <w:noWrap/>
            <w:hideMark/>
          </w:tcPr>
          <w:p w14:paraId="15D2B889" w14:textId="77777777" w:rsidR="00C47A30" w:rsidRPr="00C47A30" w:rsidRDefault="00C47A30" w:rsidP="00C47A30">
            <w:pPr>
              <w:pStyle w:val="NoSpacing"/>
              <w:rPr>
                <w:b/>
                <w:bCs/>
                <w:lang w:eastAsia="en-GB"/>
              </w:rPr>
            </w:pPr>
            <w:r w:rsidRPr="00C47A30">
              <w:rPr>
                <w:b/>
                <w:bCs/>
                <w:lang w:eastAsia="en-GB"/>
              </w:rPr>
              <w:t>Type</w:t>
            </w:r>
          </w:p>
        </w:tc>
        <w:tc>
          <w:tcPr>
            <w:tcW w:w="3261" w:type="dxa"/>
            <w:shd w:val="clear" w:color="auto" w:fill="B4C6E7" w:themeFill="accent5" w:themeFillTint="66"/>
            <w:noWrap/>
            <w:hideMark/>
          </w:tcPr>
          <w:p w14:paraId="4FFE2BAC" w14:textId="77777777" w:rsidR="00C47A30" w:rsidRPr="00C47A30" w:rsidRDefault="00C47A30" w:rsidP="00C47A30">
            <w:pPr>
              <w:pStyle w:val="NoSpacing"/>
              <w:rPr>
                <w:b/>
                <w:bCs/>
                <w:lang w:eastAsia="en-GB"/>
              </w:rPr>
            </w:pPr>
            <w:r w:rsidRPr="00C47A30">
              <w:rPr>
                <w:b/>
                <w:bCs/>
                <w:lang w:eastAsia="en-GB"/>
              </w:rPr>
              <w:t>Description</w:t>
            </w:r>
          </w:p>
        </w:tc>
      </w:tr>
      <w:tr w:rsidR="00C47A30" w:rsidRPr="009934B1" w14:paraId="47C13DD4" w14:textId="77777777" w:rsidTr="00C47A30">
        <w:trPr>
          <w:trHeight w:val="310"/>
        </w:trPr>
        <w:tc>
          <w:tcPr>
            <w:tcW w:w="2689" w:type="dxa"/>
            <w:noWrap/>
            <w:hideMark/>
          </w:tcPr>
          <w:p w14:paraId="3D3304B2" w14:textId="77777777" w:rsidR="00C47A30" w:rsidRPr="00E25C34" w:rsidRDefault="00C47A30" w:rsidP="00C47A30">
            <w:pPr>
              <w:pStyle w:val="NoSpacing"/>
              <w:rPr>
                <w:b/>
                <w:bCs/>
                <w:lang w:eastAsia="en-GB"/>
              </w:rPr>
            </w:pPr>
            <w:proofErr w:type="spellStart"/>
            <w:r w:rsidRPr="00E25C34">
              <w:rPr>
                <w:b/>
                <w:bCs/>
                <w:lang w:eastAsia="en-GB"/>
              </w:rPr>
              <w:t>un_ever_stunted</w:t>
            </w:r>
            <w:proofErr w:type="spellEnd"/>
          </w:p>
        </w:tc>
        <w:tc>
          <w:tcPr>
            <w:tcW w:w="4110" w:type="dxa"/>
            <w:noWrap/>
            <w:hideMark/>
          </w:tcPr>
          <w:p w14:paraId="6947F5EE" w14:textId="77777777" w:rsidR="00C47A30" w:rsidRPr="009934B1" w:rsidRDefault="00C47A30" w:rsidP="00C47A30">
            <w:pPr>
              <w:pStyle w:val="NoSpacing"/>
              <w:rPr>
                <w:lang w:eastAsia="en-GB"/>
              </w:rPr>
            </w:pPr>
            <w:r w:rsidRPr="009934B1">
              <w:rPr>
                <w:lang w:eastAsia="en-GB"/>
              </w:rPr>
              <w:t>Boolean</w:t>
            </w:r>
          </w:p>
        </w:tc>
        <w:tc>
          <w:tcPr>
            <w:tcW w:w="3261" w:type="dxa"/>
            <w:noWrap/>
            <w:hideMark/>
          </w:tcPr>
          <w:p w14:paraId="08B2A06D" w14:textId="77777777" w:rsidR="00C47A30" w:rsidRPr="009934B1" w:rsidRDefault="00C47A30" w:rsidP="00C47A30">
            <w:pPr>
              <w:pStyle w:val="NoSpacing"/>
              <w:rPr>
                <w:lang w:eastAsia="en-GB"/>
              </w:rPr>
            </w:pPr>
            <w:r w:rsidRPr="009934B1">
              <w:rPr>
                <w:lang w:eastAsia="en-GB"/>
              </w:rPr>
              <w:t>ever had an episode of stunting (WHZ&lt;-2)</w:t>
            </w:r>
          </w:p>
        </w:tc>
      </w:tr>
      <w:tr w:rsidR="00C47A30" w:rsidRPr="009934B1" w14:paraId="39E954AE" w14:textId="77777777" w:rsidTr="00C47A30">
        <w:trPr>
          <w:trHeight w:val="310"/>
        </w:trPr>
        <w:tc>
          <w:tcPr>
            <w:tcW w:w="2689" w:type="dxa"/>
            <w:noWrap/>
            <w:hideMark/>
          </w:tcPr>
          <w:p w14:paraId="5B6DCBC0" w14:textId="77777777" w:rsidR="00C47A30" w:rsidRPr="00E25C34" w:rsidRDefault="00C47A30" w:rsidP="00C47A30">
            <w:pPr>
              <w:pStyle w:val="NoSpacing"/>
              <w:rPr>
                <w:b/>
                <w:bCs/>
                <w:lang w:eastAsia="en-GB"/>
              </w:rPr>
            </w:pPr>
            <w:proofErr w:type="spellStart"/>
            <w:r w:rsidRPr="00E25C34">
              <w:rPr>
                <w:b/>
                <w:bCs/>
                <w:lang w:eastAsia="en-GB"/>
              </w:rPr>
              <w:lastRenderedPageBreak/>
              <w:t>un_HAZ_category</w:t>
            </w:r>
            <w:proofErr w:type="spellEnd"/>
          </w:p>
        </w:tc>
        <w:tc>
          <w:tcPr>
            <w:tcW w:w="4110" w:type="dxa"/>
            <w:noWrap/>
            <w:hideMark/>
          </w:tcPr>
          <w:p w14:paraId="1E2E6782" w14:textId="77777777" w:rsidR="00C47A30" w:rsidRDefault="00C47A30" w:rsidP="00C47A30">
            <w:pPr>
              <w:pStyle w:val="NoSpacing"/>
              <w:rPr>
                <w:lang w:eastAsia="en-GB"/>
              </w:rPr>
            </w:pPr>
            <w:r w:rsidRPr="009934B1">
              <w:rPr>
                <w:lang w:eastAsia="en-GB"/>
              </w:rPr>
              <w:t xml:space="preserve">Categorical </w:t>
            </w:r>
          </w:p>
          <w:p w14:paraId="7545A922" w14:textId="77777777" w:rsidR="00C47A30" w:rsidRPr="009934B1" w:rsidRDefault="00C47A30" w:rsidP="00C47A30">
            <w:pPr>
              <w:pStyle w:val="NoSpacing"/>
              <w:rPr>
                <w:lang w:eastAsia="en-GB"/>
              </w:rPr>
            </w:pPr>
            <w:r w:rsidRPr="009934B1">
              <w:rPr>
                <w:lang w:eastAsia="en-GB"/>
              </w:rPr>
              <w:t>['HAZ&lt;-3', '-3&lt;=HAZ&lt;-2', 'HAZ&gt;=-2']</w:t>
            </w:r>
          </w:p>
        </w:tc>
        <w:tc>
          <w:tcPr>
            <w:tcW w:w="3261" w:type="dxa"/>
            <w:noWrap/>
            <w:hideMark/>
          </w:tcPr>
          <w:p w14:paraId="0C76856D" w14:textId="77777777" w:rsidR="00C47A30" w:rsidRPr="009934B1" w:rsidRDefault="00C47A30" w:rsidP="00C47A30">
            <w:pPr>
              <w:pStyle w:val="NoSpacing"/>
              <w:rPr>
                <w:lang w:eastAsia="en-GB"/>
              </w:rPr>
            </w:pPr>
            <w:r w:rsidRPr="009934B1">
              <w:rPr>
                <w:lang w:eastAsia="en-GB"/>
              </w:rPr>
              <w:t>height-for-age z-score category</w:t>
            </w:r>
          </w:p>
        </w:tc>
      </w:tr>
      <w:tr w:rsidR="00C47A30" w:rsidRPr="009934B1" w14:paraId="07B17B69" w14:textId="77777777" w:rsidTr="00C47A30">
        <w:trPr>
          <w:trHeight w:val="310"/>
        </w:trPr>
        <w:tc>
          <w:tcPr>
            <w:tcW w:w="2689" w:type="dxa"/>
            <w:noWrap/>
            <w:hideMark/>
          </w:tcPr>
          <w:p w14:paraId="476265E3" w14:textId="77777777" w:rsidR="00C47A30" w:rsidRPr="00E25C34" w:rsidRDefault="00C47A30" w:rsidP="00C47A30">
            <w:pPr>
              <w:pStyle w:val="NoSpacing"/>
              <w:rPr>
                <w:b/>
                <w:bCs/>
                <w:lang w:eastAsia="en-GB"/>
              </w:rPr>
            </w:pPr>
            <w:proofErr w:type="spellStart"/>
            <w:r w:rsidRPr="00E25C34">
              <w:rPr>
                <w:b/>
                <w:bCs/>
                <w:lang w:eastAsia="en-GB"/>
              </w:rPr>
              <w:t>un_clinical_chronic_malnutrition</w:t>
            </w:r>
            <w:proofErr w:type="spellEnd"/>
          </w:p>
        </w:tc>
        <w:tc>
          <w:tcPr>
            <w:tcW w:w="4110" w:type="dxa"/>
            <w:noWrap/>
            <w:hideMark/>
          </w:tcPr>
          <w:p w14:paraId="24EB84AB" w14:textId="77777777" w:rsidR="00C47A30" w:rsidRDefault="00C47A30" w:rsidP="00C47A30">
            <w:pPr>
              <w:pStyle w:val="NoSpacing"/>
              <w:rPr>
                <w:lang w:eastAsia="en-GB"/>
              </w:rPr>
            </w:pPr>
            <w:r w:rsidRPr="009934B1">
              <w:rPr>
                <w:lang w:eastAsia="en-GB"/>
              </w:rPr>
              <w:t xml:space="preserve">Categorical </w:t>
            </w:r>
          </w:p>
          <w:p w14:paraId="7A4D475E" w14:textId="77777777" w:rsidR="00C47A30" w:rsidRPr="009934B1" w:rsidRDefault="00C47A30" w:rsidP="00C47A30">
            <w:pPr>
              <w:pStyle w:val="NoSpacing"/>
              <w:rPr>
                <w:lang w:eastAsia="en-GB"/>
              </w:rPr>
            </w:pPr>
            <w:r w:rsidRPr="009934B1">
              <w:rPr>
                <w:lang w:eastAsia="en-GB"/>
              </w:rPr>
              <w:t>['</w:t>
            </w:r>
            <w:proofErr w:type="spellStart"/>
            <w:r w:rsidRPr="009934B1">
              <w:rPr>
                <w:lang w:eastAsia="en-GB"/>
              </w:rPr>
              <w:t>moderate_stunting</w:t>
            </w:r>
            <w:proofErr w:type="spellEnd"/>
            <w:r w:rsidRPr="009934B1">
              <w:rPr>
                <w:lang w:eastAsia="en-GB"/>
              </w:rPr>
              <w:t>', '</w:t>
            </w:r>
            <w:proofErr w:type="spellStart"/>
            <w:r w:rsidRPr="009934B1">
              <w:rPr>
                <w:lang w:eastAsia="en-GB"/>
              </w:rPr>
              <w:t>severe_stunting</w:t>
            </w:r>
            <w:proofErr w:type="spellEnd"/>
            <w:r w:rsidRPr="009934B1">
              <w:rPr>
                <w:lang w:eastAsia="en-GB"/>
              </w:rPr>
              <w:t>']</w:t>
            </w:r>
          </w:p>
        </w:tc>
        <w:tc>
          <w:tcPr>
            <w:tcW w:w="3261" w:type="dxa"/>
            <w:noWrap/>
            <w:hideMark/>
          </w:tcPr>
          <w:p w14:paraId="01B7EAA5" w14:textId="77777777" w:rsidR="00C47A30" w:rsidRPr="009934B1" w:rsidRDefault="00C47A30" w:rsidP="00C47A30">
            <w:pPr>
              <w:pStyle w:val="NoSpacing"/>
              <w:rPr>
                <w:lang w:eastAsia="en-GB"/>
              </w:rPr>
            </w:pPr>
            <w:r w:rsidRPr="009934B1">
              <w:rPr>
                <w:lang w:eastAsia="en-GB"/>
              </w:rPr>
              <w:t>clinical acute malnutrition state based on HAZ</w:t>
            </w:r>
          </w:p>
        </w:tc>
      </w:tr>
      <w:tr w:rsidR="00C47A30" w:rsidRPr="009934B1" w14:paraId="4C120857" w14:textId="77777777" w:rsidTr="00C47A30">
        <w:trPr>
          <w:trHeight w:val="310"/>
        </w:trPr>
        <w:tc>
          <w:tcPr>
            <w:tcW w:w="2689" w:type="dxa"/>
            <w:noWrap/>
            <w:hideMark/>
          </w:tcPr>
          <w:p w14:paraId="3ED818DB" w14:textId="77777777" w:rsidR="00C47A30" w:rsidRPr="00E25C34" w:rsidRDefault="00C47A30" w:rsidP="00C47A30">
            <w:pPr>
              <w:pStyle w:val="NoSpacing"/>
              <w:rPr>
                <w:b/>
                <w:bCs/>
                <w:lang w:eastAsia="en-GB"/>
              </w:rPr>
            </w:pPr>
            <w:proofErr w:type="spellStart"/>
            <w:r w:rsidRPr="00E25C34">
              <w:rPr>
                <w:b/>
                <w:bCs/>
                <w:lang w:eastAsia="en-GB"/>
              </w:rPr>
              <w:t>un_last_stunting_date_of_onset</w:t>
            </w:r>
            <w:proofErr w:type="spellEnd"/>
          </w:p>
        </w:tc>
        <w:tc>
          <w:tcPr>
            <w:tcW w:w="4110" w:type="dxa"/>
            <w:noWrap/>
            <w:hideMark/>
          </w:tcPr>
          <w:p w14:paraId="033E4C64" w14:textId="77777777" w:rsidR="00C47A30" w:rsidRPr="009934B1" w:rsidRDefault="00C47A30" w:rsidP="00C47A30">
            <w:pPr>
              <w:pStyle w:val="NoSpacing"/>
              <w:rPr>
                <w:lang w:eastAsia="en-GB"/>
              </w:rPr>
            </w:pPr>
            <w:r w:rsidRPr="009934B1">
              <w:rPr>
                <w:lang w:eastAsia="en-GB"/>
              </w:rPr>
              <w:t>Date</w:t>
            </w:r>
          </w:p>
        </w:tc>
        <w:tc>
          <w:tcPr>
            <w:tcW w:w="3261" w:type="dxa"/>
            <w:noWrap/>
            <w:hideMark/>
          </w:tcPr>
          <w:p w14:paraId="08053D6C" w14:textId="77777777" w:rsidR="00C47A30" w:rsidRPr="009934B1" w:rsidRDefault="00C47A30" w:rsidP="00C47A30">
            <w:pPr>
              <w:pStyle w:val="NoSpacing"/>
              <w:rPr>
                <w:lang w:eastAsia="en-GB"/>
              </w:rPr>
            </w:pPr>
            <w:r w:rsidRPr="009934B1">
              <w:rPr>
                <w:lang w:eastAsia="en-GB"/>
              </w:rPr>
              <w:t>date of onset of last episode of stunting</w:t>
            </w:r>
          </w:p>
        </w:tc>
      </w:tr>
      <w:tr w:rsidR="00C47A30" w:rsidRPr="009934B1" w14:paraId="30035911" w14:textId="77777777" w:rsidTr="00C47A30">
        <w:trPr>
          <w:trHeight w:val="310"/>
        </w:trPr>
        <w:tc>
          <w:tcPr>
            <w:tcW w:w="2689" w:type="dxa"/>
            <w:noWrap/>
            <w:hideMark/>
          </w:tcPr>
          <w:p w14:paraId="6AD6D39A" w14:textId="23FCEBF3" w:rsidR="00C47A30" w:rsidRPr="00E25C34" w:rsidRDefault="00E25C34" w:rsidP="00C47A30">
            <w:pPr>
              <w:pStyle w:val="NoSpacing"/>
              <w:rPr>
                <w:b/>
                <w:bCs/>
                <w:lang w:eastAsia="en-GB"/>
              </w:rPr>
            </w:pPr>
            <w:proofErr w:type="spellStart"/>
            <w:r w:rsidRPr="00E25C34">
              <w:rPr>
                <w:b/>
                <w:bCs/>
                <w:lang w:eastAsia="en-GB"/>
              </w:rPr>
              <w:t>un_stunting_recovery_date</w:t>
            </w:r>
            <w:proofErr w:type="spellEnd"/>
          </w:p>
        </w:tc>
        <w:tc>
          <w:tcPr>
            <w:tcW w:w="4110" w:type="dxa"/>
            <w:noWrap/>
            <w:hideMark/>
          </w:tcPr>
          <w:p w14:paraId="4E809BFA" w14:textId="77777777" w:rsidR="00C47A30" w:rsidRPr="009934B1" w:rsidRDefault="00C47A30" w:rsidP="00C47A30">
            <w:pPr>
              <w:pStyle w:val="NoSpacing"/>
              <w:rPr>
                <w:lang w:eastAsia="en-GB"/>
              </w:rPr>
            </w:pPr>
            <w:r w:rsidRPr="009934B1">
              <w:rPr>
                <w:lang w:eastAsia="en-GB"/>
              </w:rPr>
              <w:t>Date</w:t>
            </w:r>
          </w:p>
        </w:tc>
        <w:tc>
          <w:tcPr>
            <w:tcW w:w="3261" w:type="dxa"/>
            <w:noWrap/>
            <w:hideMark/>
          </w:tcPr>
          <w:p w14:paraId="36ECA85A" w14:textId="0A4A247E" w:rsidR="00C47A30" w:rsidRPr="009934B1" w:rsidRDefault="00E25C34" w:rsidP="00C47A30">
            <w:pPr>
              <w:pStyle w:val="NoSpacing"/>
              <w:rPr>
                <w:lang w:eastAsia="en-GB"/>
              </w:rPr>
            </w:pPr>
            <w:r>
              <w:rPr>
                <w:lang w:eastAsia="en-GB"/>
              </w:rPr>
              <w:t>Date of recovery</w:t>
            </w:r>
          </w:p>
        </w:tc>
      </w:tr>
      <w:tr w:rsidR="00C47A30" w:rsidRPr="009934B1" w14:paraId="2EDC01AB" w14:textId="77777777" w:rsidTr="00C47A30">
        <w:trPr>
          <w:trHeight w:val="310"/>
        </w:trPr>
        <w:tc>
          <w:tcPr>
            <w:tcW w:w="2689" w:type="dxa"/>
            <w:noWrap/>
            <w:hideMark/>
          </w:tcPr>
          <w:p w14:paraId="0B7CA8E3" w14:textId="77777777" w:rsidR="00C47A30" w:rsidRPr="00E25C34" w:rsidRDefault="00C47A30" w:rsidP="00C47A30">
            <w:pPr>
              <w:pStyle w:val="NoSpacing"/>
              <w:rPr>
                <w:b/>
                <w:bCs/>
                <w:lang w:eastAsia="en-GB"/>
              </w:rPr>
            </w:pPr>
            <w:proofErr w:type="spellStart"/>
            <w:r w:rsidRPr="00E25C34">
              <w:rPr>
                <w:b/>
                <w:bCs/>
                <w:lang w:eastAsia="en-GB"/>
              </w:rPr>
              <w:t>un_CM_treatment_type</w:t>
            </w:r>
            <w:proofErr w:type="spellEnd"/>
          </w:p>
        </w:tc>
        <w:tc>
          <w:tcPr>
            <w:tcW w:w="4110" w:type="dxa"/>
            <w:noWrap/>
            <w:hideMark/>
          </w:tcPr>
          <w:p w14:paraId="4867B96C" w14:textId="77777777" w:rsidR="00C47A30" w:rsidRDefault="00C47A30" w:rsidP="00C47A30">
            <w:pPr>
              <w:pStyle w:val="NoSpacing"/>
              <w:rPr>
                <w:lang w:eastAsia="en-GB"/>
              </w:rPr>
            </w:pPr>
            <w:r w:rsidRPr="009934B1">
              <w:rPr>
                <w:lang w:eastAsia="en-GB"/>
              </w:rPr>
              <w:t xml:space="preserve">Categorical </w:t>
            </w:r>
          </w:p>
          <w:p w14:paraId="4E413D79" w14:textId="1D1A918C" w:rsidR="00C47A30" w:rsidRPr="009934B1" w:rsidRDefault="00C47A30" w:rsidP="00C47A30">
            <w:pPr>
              <w:pStyle w:val="NoSpacing"/>
              <w:rPr>
                <w:lang w:eastAsia="en-GB"/>
              </w:rPr>
            </w:pPr>
            <w:r w:rsidRPr="009934B1">
              <w:rPr>
                <w:lang w:eastAsia="en-GB"/>
              </w:rPr>
              <w:t>['</w:t>
            </w:r>
            <w:proofErr w:type="spellStart"/>
            <w:r w:rsidRPr="009934B1">
              <w:rPr>
                <w:lang w:eastAsia="en-GB"/>
              </w:rPr>
              <w:t>education</w:t>
            </w:r>
            <w:r>
              <w:rPr>
                <w:lang w:eastAsia="en-GB"/>
              </w:rPr>
              <w:t>_on_complementary_feeding</w:t>
            </w:r>
            <w:proofErr w:type="spellEnd"/>
            <w:proofErr w:type="gramStart"/>
            <w:r>
              <w:rPr>
                <w:lang w:eastAsia="en-GB"/>
              </w:rPr>
              <w:t>',</w:t>
            </w:r>
            <w:r w:rsidRPr="009934B1">
              <w:rPr>
                <w:lang w:eastAsia="en-GB"/>
              </w:rPr>
              <w:t xml:space="preserve">   </w:t>
            </w:r>
            <w:proofErr w:type="gramEnd"/>
            <w:r w:rsidRPr="009934B1">
              <w:rPr>
                <w:lang w:eastAsia="en-GB"/>
              </w:rPr>
              <w:t xml:space="preserve">                                              '</w:t>
            </w:r>
            <w:proofErr w:type="spellStart"/>
            <w:r w:rsidRPr="009934B1">
              <w:rPr>
                <w:lang w:eastAsia="en-GB"/>
              </w:rPr>
              <w:t>complementary_feeding_with_food_supplementation</w:t>
            </w:r>
            <w:proofErr w:type="spellEnd"/>
            <w:r w:rsidRPr="009934B1">
              <w:rPr>
                <w:lang w:eastAsia="en-GB"/>
              </w:rPr>
              <w:t>']</w:t>
            </w:r>
          </w:p>
        </w:tc>
        <w:tc>
          <w:tcPr>
            <w:tcW w:w="3261" w:type="dxa"/>
            <w:noWrap/>
            <w:hideMark/>
          </w:tcPr>
          <w:p w14:paraId="37E0319C" w14:textId="77777777" w:rsidR="00C47A30" w:rsidRPr="009934B1" w:rsidRDefault="00C47A30" w:rsidP="00C47A30">
            <w:pPr>
              <w:pStyle w:val="NoSpacing"/>
              <w:rPr>
                <w:lang w:eastAsia="en-GB"/>
              </w:rPr>
            </w:pPr>
            <w:r w:rsidRPr="009934B1">
              <w:rPr>
                <w:lang w:eastAsia="en-GB"/>
              </w:rPr>
              <w:t>treatment types for chronic malnutrition</w:t>
            </w:r>
          </w:p>
        </w:tc>
      </w:tr>
    </w:tbl>
    <w:p w14:paraId="1991D4B9" w14:textId="77777777" w:rsidR="00B3647F" w:rsidRPr="00460A79" w:rsidRDefault="00B3647F" w:rsidP="00B3647F"/>
    <w:p w14:paraId="0A9A7662" w14:textId="77777777" w:rsidR="00B3647F" w:rsidRDefault="00B3647F" w:rsidP="007036DD">
      <w:pPr>
        <w:pStyle w:val="Heading2"/>
      </w:pPr>
      <w:bookmarkStart w:id="35" w:name="_Toc71105509"/>
      <w:bookmarkStart w:id="36" w:name="_Toc74050888"/>
      <w:r>
        <w:t>Prevalence of stunting at start of simulation</w:t>
      </w:r>
      <w:bookmarkEnd w:id="35"/>
      <w:bookmarkEnd w:id="36"/>
    </w:p>
    <w:p w14:paraId="62BC316A" w14:textId="6130CADA" w:rsidR="00B3647F" w:rsidRPr="00EC6445" w:rsidRDefault="00B3647F" w:rsidP="00B3647F">
      <w:r>
        <w:t>At initiation, the prevalence of stunting is set. Based on the DHS 2015-16 data, the mean and standard deviation of the normal distribution of HAZ scores for each age group: &lt;6, 6-11, 12-23, 24-35, 36-47, 48-59</w:t>
      </w:r>
      <w:r w:rsidRPr="00EC6445">
        <w:t xml:space="preserve"> </w:t>
      </w:r>
      <w:r>
        <w:t xml:space="preserve">months are used to determine the probability of HAZ&lt; -2 (wasted) for each age category. Then this probability of stunting </w:t>
      </w:r>
      <w:r w:rsidR="00B21E9E">
        <w:t xml:space="preserve">is </w:t>
      </w:r>
      <w:r>
        <w:t>convert</w:t>
      </w:r>
      <w:r w:rsidR="00B21E9E">
        <w:t>ed</w:t>
      </w:r>
      <w:r>
        <w:t xml:space="preserve"> into odds of stunting, for which the odds ratios of risk factors are added to the linear model of </w:t>
      </w:r>
      <w:r w:rsidR="005D2F5C">
        <w:t>stun</w:t>
      </w:r>
      <w:r>
        <w:t>ting prevalence.</w:t>
      </w:r>
      <w:r w:rsidR="00B21E9E">
        <w:t xml:space="preserve"> Prevalence parameters and respective values are listed in Table 7.</w:t>
      </w:r>
    </w:p>
    <w:p w14:paraId="68C0A8F7" w14:textId="77777777" w:rsidR="00B3647F" w:rsidRDefault="00B3647F" w:rsidP="00B3647F">
      <w:pPr>
        <w:ind w:firstLine="0"/>
      </w:pPr>
    </w:p>
    <w:p w14:paraId="421EF66E" w14:textId="77777777" w:rsidR="0016449C" w:rsidRDefault="0016449C" w:rsidP="0016449C">
      <w:pPr>
        <w:pStyle w:val="Heading2"/>
      </w:pPr>
      <w:bookmarkStart w:id="37" w:name="_Toc74050889"/>
      <w:r>
        <w:t>Incidence of stunting and disease progression</w:t>
      </w:r>
      <w:bookmarkEnd w:id="37"/>
      <w:r>
        <w:t xml:space="preserve"> </w:t>
      </w:r>
    </w:p>
    <w:p w14:paraId="38E0A69D" w14:textId="77777777" w:rsidR="00B3647F" w:rsidRPr="00B3647F" w:rsidRDefault="00B3647F" w:rsidP="00E468F2">
      <w:r>
        <w:t xml:space="preserve">The figure below (Figure 1) shows the proposed model structure for stunting (low height-for-age), the chronic form of undernutrition. It focuses on the natural history of </w:t>
      </w:r>
      <w:r w:rsidR="00E468F2">
        <w:t>stunting</w:t>
      </w:r>
      <w:r>
        <w:t xml:space="preserve"> without input of the h</w:t>
      </w:r>
      <w:r w:rsidR="00E468F2">
        <w:t>ealthcare system interventions.</w:t>
      </w:r>
    </w:p>
    <w:p w14:paraId="1D64A7E9" w14:textId="1F4E793C" w:rsidR="00804831" w:rsidRDefault="00D57B7B" w:rsidP="000059C6">
      <w:r>
        <w:t xml:space="preserve">A regular event, occurring every month, applies the incidence of new stunting cases by age. Then, for </w:t>
      </w:r>
      <w:proofErr w:type="gramStart"/>
      <w:r>
        <w:t>each individual</w:t>
      </w:r>
      <w:proofErr w:type="gramEnd"/>
      <w:r>
        <w:t xml:space="preserve">, a probability of progression to severe stunting in the next 3 months is applied, as well as the probability of natural improvement by 1 standard deviation – if severely stunted the child can improve to moderate stunting; if moderately stunted, the child can improve to no stunting. Most children once stunted, will remain stunted, </w:t>
      </w:r>
      <w:proofErr w:type="gramStart"/>
      <w:r>
        <w:t>as a result of</w:t>
      </w:r>
      <w:proofErr w:type="gramEnd"/>
      <w:r>
        <w:t xml:space="preserve"> chronic undernutrition.</w:t>
      </w:r>
    </w:p>
    <w:p w14:paraId="183EC738" w14:textId="757DF315" w:rsidR="00AC557C" w:rsidRDefault="00AC557C" w:rsidP="00AC557C">
      <w:pPr>
        <w:pStyle w:val="Caption"/>
        <w:keepNext/>
      </w:pPr>
      <w:r>
        <w:lastRenderedPageBreak/>
        <w:t xml:space="preserve">Figure </w:t>
      </w:r>
      <w:fldSimple w:instr=" SEQ Figure \* ARABIC ">
        <w:r w:rsidR="00CD679E">
          <w:rPr>
            <w:noProof/>
          </w:rPr>
          <w:t>6</w:t>
        </w:r>
      </w:fldSimple>
      <w:r>
        <w:t xml:space="preserve"> - </w:t>
      </w:r>
      <w:r w:rsidRPr="00DC7608">
        <w:t xml:space="preserve">Model structure of the natural history of </w:t>
      </w:r>
      <w:r>
        <w:t>chronic malnutrition</w:t>
      </w:r>
    </w:p>
    <w:p w14:paraId="015FA8E4" w14:textId="3E76DC5A" w:rsidR="00AC557C" w:rsidRDefault="00AC557C" w:rsidP="00804831">
      <w:pPr>
        <w:ind w:firstLine="0"/>
      </w:pPr>
      <w:r>
        <w:rPr>
          <w:noProof/>
        </w:rPr>
        <w:drawing>
          <wp:inline distT="0" distB="0" distL="0" distR="0" wp14:anchorId="1EA0D7F1" wp14:editId="5FBB33B6">
            <wp:extent cx="4939748" cy="43632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7">
                      <a:extLst>
                        <a:ext uri="{28A0092B-C50C-407E-A947-70E740481C1C}">
                          <a14:useLocalDpi xmlns:a14="http://schemas.microsoft.com/office/drawing/2010/main" val="0"/>
                        </a:ext>
                      </a:extLst>
                    </a:blip>
                    <a:srcRect l="2407" t="5477" r="5548" b="5477"/>
                    <a:stretch/>
                  </pic:blipFill>
                  <pic:spPr bwMode="auto">
                    <a:xfrm>
                      <a:off x="0" y="0"/>
                      <a:ext cx="4940060" cy="4363554"/>
                    </a:xfrm>
                    <a:prstGeom prst="rect">
                      <a:avLst/>
                    </a:prstGeom>
                    <a:noFill/>
                    <a:ln>
                      <a:noFill/>
                    </a:ln>
                    <a:extLst>
                      <a:ext uri="{53640926-AAD7-44D8-BBD7-CCE9431645EC}">
                        <a14:shadowObscured xmlns:a14="http://schemas.microsoft.com/office/drawing/2010/main"/>
                      </a:ext>
                    </a:extLst>
                  </pic:spPr>
                </pic:pic>
              </a:graphicData>
            </a:graphic>
          </wp:inline>
        </w:drawing>
      </w:r>
    </w:p>
    <w:p w14:paraId="78112B94" w14:textId="13E2AD32" w:rsidR="00D57B7B" w:rsidRDefault="00D57B7B" w:rsidP="00D57B7B">
      <w:r>
        <w:t>As shown in the proposed model structure, the incidence of stunting is dependent on age and several risk factors including, birth size (preterm birth, gestational age), HIV status, household wealth, exclusive breastfeeding until 6 months of age, prior episodes of diarrhoea, and prior wasting episodes.</w:t>
      </w:r>
    </w:p>
    <w:p w14:paraId="4A391C34" w14:textId="2C5E661B" w:rsidR="00D57B7B" w:rsidRDefault="00D57B7B" w:rsidP="00D57B7B">
      <w:r>
        <w:t>Once in a state of moderate stunting (-3</w:t>
      </w:r>
      <w:r>
        <w:rPr>
          <w:rFonts w:cs="Arial"/>
        </w:rPr>
        <w:t>≥</w:t>
      </w:r>
      <w:r>
        <w:t>HAZ&lt;-2), the individual will remain in that state for the following 3 months after onset</w:t>
      </w:r>
      <w:r w:rsidR="006A4A85">
        <w:t>, and a probability of stunting progression to severe is applied, as well as a probability of natural improvement of moderately stunted to normal height-for-age.</w:t>
      </w:r>
    </w:p>
    <w:p w14:paraId="2C54B05B" w14:textId="2C9A91FA" w:rsidR="006A4A85" w:rsidRDefault="006A4A85" w:rsidP="00D57B7B">
      <w:r>
        <w:t xml:space="preserve">The rate of progression to severe wasting depends on age and risk factors that way have changed since first onset of stunting, such as, HIV under treatment, wasting episode during stunting, and diarrhoeal episodes since onset of stunting. All other risk factors associated with incidence are assumed to remain constant for the individual (immutable), such as birth outcomes, been exclusively breastfed, and wealth level. When in the severe stunting state (HAZ&lt;-3), the individual will remain in that state for 3 months. After this period, </w:t>
      </w:r>
      <w:r w:rsidR="00AF3590">
        <w:t>the individual may recover to moderate stunting, but not fully recovered to non-stunting state.</w:t>
      </w:r>
    </w:p>
    <w:p w14:paraId="398A4513" w14:textId="77777777" w:rsidR="00B51924" w:rsidRDefault="00B51924" w:rsidP="007434BA">
      <w:pPr>
        <w:ind w:firstLine="0"/>
        <w:rPr>
          <w:rFonts w:ascii="Helvetica" w:hAnsi="Helvetica" w:cs="Helvetica"/>
          <w:color w:val="2A2A2A"/>
          <w:szCs w:val="23"/>
          <w:shd w:val="clear" w:color="auto" w:fill="FFFFFF"/>
        </w:rPr>
      </w:pPr>
    </w:p>
    <w:p w14:paraId="0888C2EC" w14:textId="612E9FDF" w:rsidR="00131B95" w:rsidRDefault="00AC557C" w:rsidP="00AC557C">
      <w:pPr>
        <w:pStyle w:val="Heading2"/>
      </w:pPr>
      <w:bookmarkStart w:id="38" w:name="_Toc74050890"/>
      <w:r>
        <w:t>Health System Interactions</w:t>
      </w:r>
      <w:bookmarkEnd w:id="38"/>
    </w:p>
    <w:p w14:paraId="54B806E0" w14:textId="6373360A" w:rsidR="00091B09" w:rsidRDefault="00091B09" w:rsidP="00091B09">
      <w:r>
        <w:t>There is a monthly regular event that checks on the probability of recovery/improvement from stunting based on interventions.</w:t>
      </w:r>
      <w:r w:rsidR="00935A83">
        <w:t xml:space="preserve"> Sever stunting cannot </w:t>
      </w:r>
      <w:proofErr w:type="gramStart"/>
      <w:r w:rsidR="00935A83">
        <w:t>revert back</w:t>
      </w:r>
      <w:proofErr w:type="gramEnd"/>
      <w:r w:rsidR="00935A83">
        <w:t xml:space="preserve"> to normal state, the individual can only improve by 1 z-score. </w:t>
      </w:r>
    </w:p>
    <w:p w14:paraId="4802F5FE" w14:textId="7DD92BA2" w:rsidR="00A401D5" w:rsidRDefault="00A401D5" w:rsidP="00935A83">
      <w:pPr>
        <w:spacing w:after="160" w:line="259" w:lineRule="auto"/>
      </w:pPr>
      <w:r>
        <w:t>Being a complex problem, there is no single nutrition intervention to address stunting in children, but rather multiple, complex and coordinated nutrition-sensitive and nutrition-specific interventions in partnership with other health and non-health actors in development</w:t>
      </w:r>
      <w:r w:rsidR="00C12542">
        <w:fldChar w:fldCharType="begin" w:fldLock="1"/>
      </w:r>
      <w:r w:rsidR="00C12542">
        <w:instrText>ADDIN CSL_CITATION {"citationItems":[{"id":"ITEM-1","itemData":{"author":[{"dropping-particle":"","family":"World Health Organization","given":"","non-dropping-particle":"","parse-names":false,"suffix":""}],"id":"ITEM-1","issued":{"date-parts":[["2018"]]},"publisher-place":"Geneva","title":"Reducing Stunting in Children: Equity considerations for achieving the Global Nutrition Targets 2025","type":"report"},"uris":["http://www.mendeley.com/documents/?uuid=6dd7aaca-96fa-3888-a5e4-1cef5ef89cb8"]}],"mendeley":{"formattedCitation":"&lt;sup&gt;22&lt;/sup&gt;","plainTextFormattedCitation":"22","previouslyFormattedCitation":"&lt;sup&gt;22&lt;/sup&gt;"},"properties":{"noteIndex":0},"schema":"https://github.com/citation-style-language/schema/raw/master/csl-citation.json"}</w:instrText>
      </w:r>
      <w:r w:rsidR="00C12542">
        <w:fldChar w:fldCharType="separate"/>
      </w:r>
      <w:r w:rsidR="00C12542" w:rsidRPr="00C12542">
        <w:rPr>
          <w:noProof/>
          <w:vertAlign w:val="superscript"/>
        </w:rPr>
        <w:t>22</w:t>
      </w:r>
      <w:r w:rsidR="00C12542">
        <w:fldChar w:fldCharType="end"/>
      </w:r>
      <w:r>
        <w:t xml:space="preserve">. </w:t>
      </w:r>
    </w:p>
    <w:p w14:paraId="3EBA8B51" w14:textId="77777777" w:rsidR="00935A83" w:rsidRDefault="00935A83" w:rsidP="00935A83">
      <w:pPr>
        <w:spacing w:after="160" w:line="259" w:lineRule="auto"/>
        <w:jc w:val="left"/>
      </w:pPr>
      <w:r>
        <w:t xml:space="preserve">In Malawi’s Essential Health Package, relevant interventions for stunting include: </w:t>
      </w:r>
    </w:p>
    <w:p w14:paraId="03F889B8" w14:textId="74AB354F" w:rsidR="00935A83" w:rsidRDefault="00935A83" w:rsidP="00935A83">
      <w:pPr>
        <w:pStyle w:val="ListParagraph"/>
        <w:numPr>
          <w:ilvl w:val="0"/>
          <w:numId w:val="25"/>
        </w:numPr>
        <w:spacing w:after="160" w:line="259" w:lineRule="auto"/>
        <w:jc w:val="left"/>
      </w:pPr>
      <w:r>
        <w:t>Promotion of exclusive breastfeeding</w:t>
      </w:r>
      <w:r>
        <w:t xml:space="preserve"> (part of the IMCI counselling part)</w:t>
      </w:r>
    </w:p>
    <w:p w14:paraId="43535263" w14:textId="6C5D89D6" w:rsidR="00935A83" w:rsidRDefault="00935A83" w:rsidP="00935A83">
      <w:pPr>
        <w:pStyle w:val="ListParagraph"/>
        <w:numPr>
          <w:ilvl w:val="0"/>
          <w:numId w:val="25"/>
        </w:numPr>
        <w:spacing w:after="160" w:line="259" w:lineRule="auto"/>
        <w:jc w:val="left"/>
      </w:pPr>
      <w:r>
        <w:t>Growth monitor</w:t>
      </w:r>
      <w:r>
        <w:t>in</w:t>
      </w:r>
      <w:r>
        <w:t>g</w:t>
      </w:r>
      <w:r>
        <w:t xml:space="preserve"> </w:t>
      </w:r>
      <w:r>
        <w:t>(</w:t>
      </w:r>
      <w:r>
        <w:t>checked in routine check-ups</w:t>
      </w:r>
      <w:r>
        <w:t>)</w:t>
      </w:r>
    </w:p>
    <w:p w14:paraId="1D606E90" w14:textId="4EDFCA9C" w:rsidR="00935A83" w:rsidRDefault="00935A83" w:rsidP="00935A83">
      <w:pPr>
        <w:pStyle w:val="ListParagraph"/>
        <w:numPr>
          <w:ilvl w:val="0"/>
          <w:numId w:val="25"/>
        </w:numPr>
        <w:spacing w:after="160" w:line="259" w:lineRule="auto"/>
        <w:jc w:val="left"/>
      </w:pPr>
      <w:r>
        <w:t>De-worming</w:t>
      </w:r>
      <w:r>
        <w:t xml:space="preserve"> </w:t>
      </w:r>
      <w:r>
        <w:t xml:space="preserve">(part of the IMCI </w:t>
      </w:r>
      <w:r>
        <w:t>routine medications</w:t>
      </w:r>
      <w:r>
        <w:t>)</w:t>
      </w:r>
    </w:p>
    <w:p w14:paraId="64009E6E" w14:textId="647E7B58" w:rsidR="00935A83" w:rsidRDefault="00935A83" w:rsidP="00935A83">
      <w:pPr>
        <w:pStyle w:val="ListParagraph"/>
        <w:numPr>
          <w:ilvl w:val="0"/>
          <w:numId w:val="25"/>
        </w:numPr>
        <w:spacing w:after="160" w:line="259" w:lineRule="auto"/>
        <w:jc w:val="left"/>
      </w:pPr>
      <w:r>
        <w:lastRenderedPageBreak/>
        <w:t>Micronutrient supplementation</w:t>
      </w:r>
      <w:r>
        <w:t xml:space="preserve"> </w:t>
      </w:r>
      <w:r>
        <w:t>(part of the IMCI routine medications)</w:t>
      </w:r>
    </w:p>
    <w:p w14:paraId="59362D7B" w14:textId="303F4A34" w:rsidR="00935A83" w:rsidRDefault="00935A83" w:rsidP="00935A83">
      <w:pPr>
        <w:pStyle w:val="ListParagraph"/>
        <w:numPr>
          <w:ilvl w:val="0"/>
          <w:numId w:val="25"/>
        </w:numPr>
        <w:spacing w:after="160" w:line="259" w:lineRule="auto"/>
        <w:jc w:val="left"/>
      </w:pPr>
      <w:r>
        <w:t>Treatment of severe acute malnutrition</w:t>
      </w:r>
      <w:r>
        <w:t xml:space="preserve"> </w:t>
      </w:r>
    </w:p>
    <w:p w14:paraId="0C831192" w14:textId="3B3854D8" w:rsidR="00935A83" w:rsidRDefault="00935A83" w:rsidP="00935A83">
      <w:r>
        <w:t xml:space="preserve">In the stunting module the interventions specific for stunting modelled are </w:t>
      </w:r>
      <w:r>
        <w:t>complementary feeding (education and supplementation)</w:t>
      </w:r>
      <w:r>
        <w:t>. Other interventions above included in the EHP are applied when the child interacts with the health system.</w:t>
      </w:r>
    </w:p>
    <w:p w14:paraId="3547D350" w14:textId="77777777" w:rsidR="00AC557C" w:rsidRDefault="00AC557C" w:rsidP="00AC557C">
      <w:pPr>
        <w:spacing w:after="160" w:line="259" w:lineRule="auto"/>
        <w:ind w:firstLine="0"/>
        <w:jc w:val="left"/>
      </w:pPr>
    </w:p>
    <w:p w14:paraId="1F82724A" w14:textId="5E4F2DBC" w:rsidR="00AC557C" w:rsidRDefault="00935A83" w:rsidP="00AC557C">
      <w:pPr>
        <w:spacing w:after="160" w:line="259" w:lineRule="auto"/>
        <w:ind w:firstLine="0"/>
        <w:jc w:val="left"/>
      </w:pPr>
      <w:r>
        <w:t>Although a more comprehensive list of prevention interventions would be:</w:t>
      </w:r>
    </w:p>
    <w:p w14:paraId="6A674CA2" w14:textId="77777777" w:rsidR="00AC557C" w:rsidRPr="009E29B2" w:rsidRDefault="00AC557C" w:rsidP="00AC557C">
      <w:pPr>
        <w:pStyle w:val="ListParagraph"/>
        <w:numPr>
          <w:ilvl w:val="0"/>
          <w:numId w:val="3"/>
        </w:numPr>
        <w:spacing w:after="160" w:line="259" w:lineRule="auto"/>
        <w:jc w:val="left"/>
      </w:pPr>
      <w:r>
        <w:rPr>
          <w:rFonts w:cs="Arial"/>
          <w:color w:val="000000"/>
          <w:shd w:val="clear" w:color="auto" w:fill="FFFFFF"/>
        </w:rPr>
        <w:t>zinc supplementation in pregnant women</w:t>
      </w:r>
    </w:p>
    <w:p w14:paraId="17F3D532" w14:textId="77777777" w:rsidR="00AC557C" w:rsidRPr="009E29B2" w:rsidRDefault="00AC557C" w:rsidP="00AC557C">
      <w:pPr>
        <w:pStyle w:val="ListParagraph"/>
        <w:numPr>
          <w:ilvl w:val="0"/>
          <w:numId w:val="3"/>
        </w:numPr>
        <w:spacing w:after="160" w:line="259" w:lineRule="auto"/>
        <w:jc w:val="left"/>
      </w:pPr>
      <w:r>
        <w:rPr>
          <w:rFonts w:cs="Arial"/>
          <w:color w:val="000000"/>
          <w:shd w:val="clear" w:color="auto" w:fill="FFFFFF"/>
        </w:rPr>
        <w:t>micronutrient or macronutrient supplementation in children</w:t>
      </w:r>
    </w:p>
    <w:p w14:paraId="004699B0" w14:textId="77777777" w:rsidR="00AC557C" w:rsidRDefault="00AC557C" w:rsidP="00AC557C">
      <w:pPr>
        <w:pStyle w:val="ListParagraph"/>
        <w:numPr>
          <w:ilvl w:val="0"/>
          <w:numId w:val="3"/>
        </w:numPr>
        <w:spacing w:after="160" w:line="259" w:lineRule="auto"/>
        <w:jc w:val="left"/>
      </w:pPr>
      <w:r>
        <w:rPr>
          <w:rFonts w:cs="Arial"/>
          <w:color w:val="000000"/>
          <w:shd w:val="clear" w:color="auto" w:fill="FFFFFF"/>
        </w:rPr>
        <w:t>n</w:t>
      </w:r>
      <w:r w:rsidRPr="009E29B2">
        <w:rPr>
          <w:rFonts w:cs="Arial"/>
          <w:color w:val="000000"/>
          <w:shd w:val="clear" w:color="auto" w:fill="FFFFFF"/>
        </w:rPr>
        <w:t>utrition education for pregnant women</w:t>
      </w:r>
    </w:p>
    <w:p w14:paraId="41B7A55D" w14:textId="7A3E8262" w:rsidR="00AC557C" w:rsidRPr="00935A83" w:rsidRDefault="00AC557C" w:rsidP="00935A83">
      <w:pPr>
        <w:pStyle w:val="ListParagraph"/>
        <w:numPr>
          <w:ilvl w:val="0"/>
          <w:numId w:val="3"/>
        </w:numPr>
        <w:spacing w:after="160" w:line="259" w:lineRule="auto"/>
        <w:jc w:val="left"/>
      </w:pPr>
      <w:r>
        <w:rPr>
          <w:rFonts w:cs="Arial"/>
          <w:color w:val="000000"/>
          <w:shd w:val="clear" w:color="auto" w:fill="FFFFFF"/>
        </w:rPr>
        <w:t>nutrition systems strengthening targeting children</w:t>
      </w:r>
    </w:p>
    <w:p w14:paraId="3D4FBA40" w14:textId="77777777" w:rsidR="00AC557C" w:rsidRDefault="00AC557C" w:rsidP="00AC557C">
      <w:pPr>
        <w:pStyle w:val="ListParagraph"/>
        <w:numPr>
          <w:ilvl w:val="0"/>
          <w:numId w:val="3"/>
        </w:numPr>
        <w:spacing w:after="160" w:line="259" w:lineRule="auto"/>
        <w:jc w:val="left"/>
      </w:pPr>
      <w:r>
        <w:t>complementary feeding (education and supplementation)</w:t>
      </w:r>
    </w:p>
    <w:p w14:paraId="36A8FE72" w14:textId="77777777" w:rsidR="00AC557C" w:rsidRDefault="00AC557C" w:rsidP="00AC557C">
      <w:pPr>
        <w:pStyle w:val="ListParagraph"/>
        <w:numPr>
          <w:ilvl w:val="0"/>
          <w:numId w:val="3"/>
        </w:numPr>
        <w:spacing w:after="160" w:line="259" w:lineRule="auto"/>
        <w:jc w:val="left"/>
      </w:pPr>
      <w:r>
        <w:t>breastfeeding promotion</w:t>
      </w:r>
    </w:p>
    <w:p w14:paraId="0C36230D" w14:textId="77777777" w:rsidR="00AC557C" w:rsidRDefault="00AC557C" w:rsidP="00AC557C">
      <w:pPr>
        <w:pStyle w:val="ListParagraph"/>
        <w:numPr>
          <w:ilvl w:val="0"/>
          <w:numId w:val="3"/>
        </w:numPr>
        <w:spacing w:after="160" w:line="259" w:lineRule="auto"/>
        <w:jc w:val="left"/>
      </w:pPr>
      <w:r>
        <w:t>multiple micronutrient supplementation</w:t>
      </w:r>
    </w:p>
    <w:p w14:paraId="13EB4FB7" w14:textId="77777777" w:rsidR="00AC557C" w:rsidRDefault="00AC557C" w:rsidP="00AC557C">
      <w:pPr>
        <w:pStyle w:val="ListParagraph"/>
        <w:numPr>
          <w:ilvl w:val="0"/>
          <w:numId w:val="3"/>
        </w:numPr>
        <w:spacing w:after="160" w:line="259" w:lineRule="auto"/>
        <w:jc w:val="left"/>
      </w:pPr>
      <w:r>
        <w:t>balanced energy supplementation</w:t>
      </w:r>
    </w:p>
    <w:p w14:paraId="455DD67A" w14:textId="77777777" w:rsidR="00AC557C" w:rsidRDefault="00AC557C" w:rsidP="00AC557C">
      <w:pPr>
        <w:pStyle w:val="ListParagraph"/>
        <w:numPr>
          <w:ilvl w:val="0"/>
          <w:numId w:val="3"/>
        </w:numPr>
        <w:spacing w:after="160" w:line="259" w:lineRule="auto"/>
        <w:jc w:val="left"/>
      </w:pPr>
      <w:r>
        <w:t>zinc for prevention</w:t>
      </w:r>
    </w:p>
    <w:p w14:paraId="3BF9EC99" w14:textId="77777777" w:rsidR="00AC557C" w:rsidRDefault="00AC557C" w:rsidP="00AC557C">
      <w:pPr>
        <w:pStyle w:val="ListParagraph"/>
        <w:numPr>
          <w:ilvl w:val="0"/>
          <w:numId w:val="3"/>
        </w:numPr>
        <w:spacing w:after="160" w:line="259" w:lineRule="auto"/>
        <w:jc w:val="left"/>
      </w:pPr>
      <w:r>
        <w:t>improved sanitation</w:t>
      </w:r>
    </w:p>
    <w:p w14:paraId="7DF68118" w14:textId="77777777" w:rsidR="00AC557C" w:rsidRDefault="00AC557C" w:rsidP="00AC557C">
      <w:pPr>
        <w:pStyle w:val="ListParagraph"/>
        <w:numPr>
          <w:ilvl w:val="0"/>
          <w:numId w:val="3"/>
        </w:numPr>
        <w:spacing w:after="160" w:line="259" w:lineRule="auto"/>
        <w:jc w:val="left"/>
      </w:pPr>
      <w:r>
        <w:t>water connection in the home</w:t>
      </w:r>
    </w:p>
    <w:p w14:paraId="74C37BEA" w14:textId="77777777" w:rsidR="00AC557C" w:rsidRDefault="00AC557C" w:rsidP="00AC557C">
      <w:pPr>
        <w:pStyle w:val="ListParagraph"/>
        <w:numPr>
          <w:ilvl w:val="0"/>
          <w:numId w:val="3"/>
        </w:numPr>
        <w:spacing w:after="160" w:line="259" w:lineRule="auto"/>
        <w:jc w:val="left"/>
      </w:pPr>
      <w:r>
        <w:t>improved water source</w:t>
      </w:r>
    </w:p>
    <w:p w14:paraId="0A75A624" w14:textId="77777777" w:rsidR="00AC557C" w:rsidRDefault="00AC557C" w:rsidP="00AC557C">
      <w:pPr>
        <w:pStyle w:val="ListParagraph"/>
        <w:numPr>
          <w:ilvl w:val="0"/>
          <w:numId w:val="3"/>
        </w:numPr>
        <w:spacing w:after="160" w:line="259" w:lineRule="auto"/>
        <w:jc w:val="left"/>
      </w:pPr>
      <w:r>
        <w:t>handwashing with soap</w:t>
      </w:r>
    </w:p>
    <w:p w14:paraId="248284E7" w14:textId="77777777" w:rsidR="00935A83" w:rsidRDefault="00935A83">
      <w:pPr>
        <w:spacing w:after="160" w:line="259" w:lineRule="auto"/>
        <w:ind w:firstLine="0"/>
        <w:jc w:val="left"/>
        <w:rPr>
          <w:rFonts w:eastAsiaTheme="majorEastAsia" w:cstheme="majorBidi"/>
          <w:b/>
          <w:color w:val="1F3864" w:themeColor="accent5" w:themeShade="80"/>
          <w:sz w:val="24"/>
          <w:szCs w:val="26"/>
          <w:shd w:val="clear" w:color="auto" w:fill="FFFFFF"/>
        </w:rPr>
      </w:pPr>
      <w:r>
        <w:rPr>
          <w:shd w:val="clear" w:color="auto" w:fill="FFFFFF"/>
        </w:rPr>
        <w:br w:type="page"/>
      </w:r>
    </w:p>
    <w:p w14:paraId="1BB05D43" w14:textId="1E9A6788" w:rsidR="00AC557C" w:rsidRDefault="00AC557C" w:rsidP="00AC557C">
      <w:pPr>
        <w:pStyle w:val="Heading2"/>
        <w:rPr>
          <w:shd w:val="clear" w:color="auto" w:fill="FFFFFF"/>
        </w:rPr>
      </w:pPr>
      <w:bookmarkStart w:id="39" w:name="_Toc74050891"/>
      <w:r>
        <w:rPr>
          <w:shd w:val="clear" w:color="auto" w:fill="FFFFFF"/>
        </w:rPr>
        <w:lastRenderedPageBreak/>
        <w:t>Parameters of the stunting module</w:t>
      </w:r>
      <w:bookmarkEnd w:id="39"/>
    </w:p>
    <w:p w14:paraId="28D592D3" w14:textId="57BAD404" w:rsidR="00B51924" w:rsidRDefault="00EC5D76" w:rsidP="00EC5D76">
      <w:r>
        <w:t>Table 7 list all the parameters used in modelling stunting.</w:t>
      </w:r>
    </w:p>
    <w:p w14:paraId="5E3428EA" w14:textId="1E2EC34C" w:rsidR="00EC5D76" w:rsidRDefault="00EC5D76" w:rsidP="00EC5D76">
      <w:pPr>
        <w:pStyle w:val="Caption"/>
        <w:keepNext/>
      </w:pPr>
      <w:r>
        <w:t xml:space="preserve">Table </w:t>
      </w:r>
      <w:fldSimple w:instr=" SEQ Table \* ARABIC ">
        <w:r>
          <w:rPr>
            <w:noProof/>
          </w:rPr>
          <w:t>7</w:t>
        </w:r>
      </w:fldSimple>
      <w:r>
        <w:t xml:space="preserve"> - Parameters of the stunting module</w:t>
      </w:r>
      <w:r w:rsidRPr="00EC5D76">
        <w:t xml:space="preserve"> </w:t>
      </w:r>
      <w:r>
        <w:t>and respective values</w:t>
      </w:r>
    </w:p>
    <w:tbl>
      <w:tblPr>
        <w:tblW w:w="5000" w:type="pct"/>
        <w:tblLayout w:type="fixed"/>
        <w:tblCellMar>
          <w:left w:w="0" w:type="dxa"/>
          <w:right w:w="0" w:type="dxa"/>
        </w:tblCellMar>
        <w:tblLook w:val="04A0" w:firstRow="1" w:lastRow="0" w:firstColumn="1" w:lastColumn="0" w:noHBand="0" w:noVBand="1"/>
      </w:tblPr>
      <w:tblGrid>
        <w:gridCol w:w="431"/>
        <w:gridCol w:w="3118"/>
        <w:gridCol w:w="1138"/>
        <w:gridCol w:w="991"/>
        <w:gridCol w:w="3256"/>
        <w:gridCol w:w="1522"/>
      </w:tblGrid>
      <w:tr w:rsidR="00091B09" w:rsidRPr="00091B09" w14:paraId="4C5A8607" w14:textId="77777777" w:rsidTr="00EC5D76">
        <w:trPr>
          <w:trHeight w:val="320"/>
        </w:trPr>
        <w:tc>
          <w:tcPr>
            <w:tcW w:w="206" w:type="pct"/>
            <w:tcBorders>
              <w:top w:val="nil"/>
              <w:left w:val="nil"/>
              <w:bottom w:val="nil"/>
              <w:right w:val="nil"/>
            </w:tcBorders>
            <w:shd w:val="clear" w:color="auto" w:fill="auto"/>
            <w:noWrap/>
            <w:tcMar>
              <w:top w:w="15" w:type="dxa"/>
              <w:left w:w="15" w:type="dxa"/>
              <w:bottom w:w="0" w:type="dxa"/>
              <w:right w:w="15" w:type="dxa"/>
            </w:tcMar>
            <w:vAlign w:val="bottom"/>
            <w:hideMark/>
          </w:tcPr>
          <w:p w14:paraId="70F563AA" w14:textId="77777777" w:rsidR="00091B09" w:rsidRPr="00091B09" w:rsidRDefault="00091B09" w:rsidP="00091B09">
            <w:pPr>
              <w:pStyle w:val="NoSpacing"/>
            </w:pPr>
          </w:p>
        </w:tc>
        <w:tc>
          <w:tcPr>
            <w:tcW w:w="1491" w:type="pct"/>
            <w:tcBorders>
              <w:top w:val="single" w:sz="8" w:space="0" w:color="auto"/>
              <w:left w:val="single" w:sz="8" w:space="0" w:color="auto"/>
              <w:bottom w:val="nil"/>
              <w:right w:val="single" w:sz="4" w:space="0" w:color="auto"/>
            </w:tcBorders>
            <w:shd w:val="clear" w:color="000000" w:fill="C6E0B4"/>
            <w:noWrap/>
            <w:tcMar>
              <w:top w:w="15" w:type="dxa"/>
              <w:left w:w="15" w:type="dxa"/>
              <w:bottom w:w="0" w:type="dxa"/>
              <w:right w:w="15" w:type="dxa"/>
            </w:tcMar>
            <w:vAlign w:val="bottom"/>
            <w:hideMark/>
          </w:tcPr>
          <w:p w14:paraId="10FD5C82" w14:textId="77777777" w:rsidR="00091B09" w:rsidRPr="00091B09" w:rsidRDefault="00091B09" w:rsidP="00091B09">
            <w:pPr>
              <w:pStyle w:val="NoSpacing"/>
            </w:pPr>
            <w:r w:rsidRPr="00091B09">
              <w:t>Parameter</w:t>
            </w:r>
          </w:p>
        </w:tc>
        <w:tc>
          <w:tcPr>
            <w:tcW w:w="544" w:type="pct"/>
            <w:tcBorders>
              <w:top w:val="single" w:sz="8" w:space="0" w:color="auto"/>
              <w:left w:val="nil"/>
              <w:bottom w:val="nil"/>
              <w:right w:val="single" w:sz="4" w:space="0" w:color="auto"/>
            </w:tcBorders>
            <w:shd w:val="clear" w:color="000000" w:fill="C6E0B4"/>
            <w:noWrap/>
            <w:tcMar>
              <w:top w:w="15" w:type="dxa"/>
              <w:left w:w="15" w:type="dxa"/>
              <w:bottom w:w="0" w:type="dxa"/>
              <w:right w:w="15" w:type="dxa"/>
            </w:tcMar>
            <w:vAlign w:val="bottom"/>
            <w:hideMark/>
          </w:tcPr>
          <w:p w14:paraId="62D2A27E" w14:textId="77777777" w:rsidR="00091B09" w:rsidRPr="00091B09" w:rsidRDefault="00091B09" w:rsidP="00091B09">
            <w:pPr>
              <w:pStyle w:val="NoSpacing"/>
            </w:pPr>
            <w:r w:rsidRPr="00091B09">
              <w:t>Value</w:t>
            </w:r>
          </w:p>
        </w:tc>
        <w:tc>
          <w:tcPr>
            <w:tcW w:w="474" w:type="pct"/>
            <w:tcBorders>
              <w:top w:val="single" w:sz="8" w:space="0" w:color="auto"/>
              <w:left w:val="nil"/>
              <w:bottom w:val="nil"/>
              <w:right w:val="single" w:sz="4" w:space="0" w:color="auto"/>
            </w:tcBorders>
            <w:shd w:val="clear" w:color="000000" w:fill="C6E0B4"/>
            <w:noWrap/>
            <w:tcMar>
              <w:top w:w="15" w:type="dxa"/>
              <w:left w:w="15" w:type="dxa"/>
              <w:bottom w:w="0" w:type="dxa"/>
              <w:right w:w="15" w:type="dxa"/>
            </w:tcMar>
            <w:vAlign w:val="bottom"/>
            <w:hideMark/>
          </w:tcPr>
          <w:p w14:paraId="45B0AF9D" w14:textId="77777777" w:rsidR="00091B09" w:rsidRPr="00091B09" w:rsidRDefault="00091B09" w:rsidP="00091B09">
            <w:pPr>
              <w:pStyle w:val="NoSpacing"/>
            </w:pPr>
            <w:r w:rsidRPr="00091B09">
              <w:t>Source</w:t>
            </w:r>
          </w:p>
        </w:tc>
        <w:tc>
          <w:tcPr>
            <w:tcW w:w="1557" w:type="pct"/>
            <w:tcBorders>
              <w:top w:val="single" w:sz="8" w:space="0" w:color="auto"/>
              <w:left w:val="nil"/>
              <w:bottom w:val="nil"/>
              <w:right w:val="single" w:sz="4" w:space="0" w:color="auto"/>
            </w:tcBorders>
            <w:shd w:val="clear" w:color="000000" w:fill="C6E0B4"/>
            <w:noWrap/>
            <w:tcMar>
              <w:top w:w="15" w:type="dxa"/>
              <w:left w:w="15" w:type="dxa"/>
              <w:bottom w:w="0" w:type="dxa"/>
              <w:right w:w="15" w:type="dxa"/>
            </w:tcMar>
            <w:vAlign w:val="bottom"/>
            <w:hideMark/>
          </w:tcPr>
          <w:p w14:paraId="264DECD5" w14:textId="77777777" w:rsidR="00091B09" w:rsidRPr="00091B09" w:rsidRDefault="00091B09" w:rsidP="00091B09">
            <w:pPr>
              <w:pStyle w:val="NoSpacing"/>
            </w:pPr>
            <w:r w:rsidRPr="00091B09">
              <w:t>Description</w:t>
            </w:r>
          </w:p>
        </w:tc>
        <w:tc>
          <w:tcPr>
            <w:tcW w:w="728" w:type="pct"/>
            <w:tcBorders>
              <w:top w:val="single" w:sz="8" w:space="0" w:color="auto"/>
              <w:left w:val="nil"/>
              <w:bottom w:val="nil"/>
              <w:right w:val="single" w:sz="8" w:space="0" w:color="auto"/>
            </w:tcBorders>
            <w:shd w:val="clear" w:color="000000" w:fill="C6E0B4"/>
            <w:noWrap/>
            <w:tcMar>
              <w:top w:w="15" w:type="dxa"/>
              <w:left w:w="15" w:type="dxa"/>
              <w:bottom w:w="0" w:type="dxa"/>
              <w:right w:w="15" w:type="dxa"/>
            </w:tcMar>
            <w:vAlign w:val="bottom"/>
            <w:hideMark/>
          </w:tcPr>
          <w:p w14:paraId="16837635" w14:textId="77777777" w:rsidR="00091B09" w:rsidRPr="00091B09" w:rsidRDefault="00091B09" w:rsidP="00091B09">
            <w:pPr>
              <w:pStyle w:val="NoSpacing"/>
            </w:pPr>
            <w:r w:rsidRPr="00091B09">
              <w:t>Notes</w:t>
            </w:r>
          </w:p>
        </w:tc>
      </w:tr>
      <w:tr w:rsidR="00091B09" w:rsidRPr="00091B09" w14:paraId="42E6545D" w14:textId="77777777" w:rsidTr="00EC5D76">
        <w:trPr>
          <w:trHeight w:val="310"/>
        </w:trPr>
        <w:tc>
          <w:tcPr>
            <w:tcW w:w="206" w:type="pct"/>
            <w:vMerge w:val="restart"/>
            <w:tcBorders>
              <w:top w:val="single" w:sz="8" w:space="0" w:color="auto"/>
              <w:left w:val="single" w:sz="8" w:space="0" w:color="auto"/>
              <w:bottom w:val="single" w:sz="8" w:space="0" w:color="000000"/>
              <w:right w:val="single" w:sz="4" w:space="0" w:color="auto"/>
            </w:tcBorders>
            <w:shd w:val="clear" w:color="auto" w:fill="E7E6E6" w:themeFill="background2"/>
            <w:noWrap/>
            <w:tcMar>
              <w:top w:w="15" w:type="dxa"/>
              <w:left w:w="15" w:type="dxa"/>
              <w:bottom w:w="0" w:type="dxa"/>
              <w:right w:w="15" w:type="dxa"/>
            </w:tcMar>
            <w:textDirection w:val="btLr"/>
            <w:vAlign w:val="bottom"/>
            <w:hideMark/>
          </w:tcPr>
          <w:p w14:paraId="47D48BEA" w14:textId="77777777" w:rsidR="00091B09" w:rsidRPr="00EC5D76" w:rsidRDefault="00091B09" w:rsidP="00EC5D76">
            <w:pPr>
              <w:pStyle w:val="NoSpacing"/>
              <w:jc w:val="center"/>
              <w:rPr>
                <w:b/>
                <w:bCs/>
              </w:rPr>
            </w:pPr>
            <w:r w:rsidRPr="00EC5D76">
              <w:rPr>
                <w:b/>
                <w:bCs/>
              </w:rPr>
              <w:t>Prevalence</w:t>
            </w:r>
          </w:p>
        </w:tc>
        <w:tc>
          <w:tcPr>
            <w:tcW w:w="1491"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0873E3" w14:textId="77777777" w:rsidR="00091B09" w:rsidRPr="00091B09" w:rsidRDefault="00091B09" w:rsidP="00091B09">
            <w:pPr>
              <w:pStyle w:val="NoSpacing"/>
            </w:pPr>
            <w:r w:rsidRPr="00091B09">
              <w:t>prev_HAZ_distribution_age_0_5mo</w:t>
            </w:r>
          </w:p>
        </w:tc>
        <w:tc>
          <w:tcPr>
            <w:tcW w:w="544"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52AA2D" w14:textId="77777777" w:rsidR="00091B09" w:rsidRPr="00091B09" w:rsidRDefault="00091B09" w:rsidP="00091B09">
            <w:pPr>
              <w:pStyle w:val="NoSpacing"/>
            </w:pPr>
            <w:r w:rsidRPr="00091B09">
              <w:t>[-0.8482, 1.4163]</w:t>
            </w:r>
          </w:p>
        </w:tc>
        <w:tc>
          <w:tcPr>
            <w:tcW w:w="474"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574A9A" w14:textId="77777777" w:rsidR="00091B09" w:rsidRPr="00091B09" w:rsidRDefault="00091B09" w:rsidP="00091B09">
            <w:pPr>
              <w:pStyle w:val="NoSpacing"/>
            </w:pPr>
            <w:r w:rsidRPr="00091B09">
              <w:t>DHS 2015-16</w:t>
            </w:r>
          </w:p>
        </w:tc>
        <w:tc>
          <w:tcPr>
            <w:tcW w:w="1557"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D5D002" w14:textId="77777777" w:rsidR="00091B09" w:rsidRPr="00091B09" w:rsidRDefault="00091B09" w:rsidP="00091B09">
            <w:pPr>
              <w:pStyle w:val="NoSpacing"/>
            </w:pPr>
            <w:r w:rsidRPr="00091B09">
              <w:t>mean and standard deviation of height-for-age z-scores distribution for &lt;6 months old</w:t>
            </w:r>
          </w:p>
        </w:tc>
        <w:tc>
          <w:tcPr>
            <w:tcW w:w="728" w:type="pct"/>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199C34E" w14:textId="77777777" w:rsidR="00091B09" w:rsidRPr="00091B09" w:rsidRDefault="00091B09" w:rsidP="00091B09">
            <w:pPr>
              <w:pStyle w:val="NoSpacing"/>
            </w:pPr>
            <w:r w:rsidRPr="00091B09">
              <w:t> </w:t>
            </w:r>
          </w:p>
        </w:tc>
      </w:tr>
      <w:tr w:rsidR="00091B09" w:rsidRPr="00091B09" w14:paraId="16DD671F"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193F4323"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FF56E7" w14:textId="77777777" w:rsidR="00091B09" w:rsidRPr="00091B09" w:rsidRDefault="00091B09" w:rsidP="00091B09">
            <w:pPr>
              <w:pStyle w:val="NoSpacing"/>
            </w:pPr>
            <w:r w:rsidRPr="00091B09">
              <w:t>prev_HAZ_distribution_age_6_11mo</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B5B6CF" w14:textId="77777777" w:rsidR="00091B09" w:rsidRPr="00091B09" w:rsidRDefault="00091B09" w:rsidP="00091B09">
            <w:pPr>
              <w:pStyle w:val="NoSpacing"/>
            </w:pPr>
            <w:r w:rsidRPr="00091B09">
              <w:t>[-0.9940, 1.5044]</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32E356" w14:textId="77777777" w:rsidR="00091B09" w:rsidRPr="00091B09" w:rsidRDefault="00091B09" w:rsidP="00091B09">
            <w:pPr>
              <w:pStyle w:val="NoSpacing"/>
            </w:pPr>
            <w:r w:rsidRPr="00091B09">
              <w:t>DHS 2015-16</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846AB" w14:textId="77777777" w:rsidR="00091B09" w:rsidRPr="00091B09" w:rsidRDefault="00091B09" w:rsidP="00091B09">
            <w:pPr>
              <w:pStyle w:val="NoSpacing"/>
            </w:pPr>
            <w:r w:rsidRPr="00091B09">
              <w:t>mean and standard deviation of height-for-age z-scores distribution for 6-11 months old</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4CBBB4F" w14:textId="77777777" w:rsidR="00091B09" w:rsidRPr="00091B09" w:rsidRDefault="00091B09" w:rsidP="00091B09">
            <w:pPr>
              <w:pStyle w:val="NoSpacing"/>
            </w:pPr>
            <w:r w:rsidRPr="00091B09">
              <w:t> </w:t>
            </w:r>
          </w:p>
        </w:tc>
      </w:tr>
      <w:tr w:rsidR="00091B09" w:rsidRPr="00091B09" w14:paraId="343E36A1"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46C9C430"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83A8E" w14:textId="77777777" w:rsidR="00091B09" w:rsidRPr="00091B09" w:rsidRDefault="00091B09" w:rsidP="00091B09">
            <w:pPr>
              <w:pStyle w:val="NoSpacing"/>
            </w:pPr>
            <w:r w:rsidRPr="00091B09">
              <w:t>prev_HAZ_distribution_age_12_23mo</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6B409D" w14:textId="77777777" w:rsidR="00091B09" w:rsidRPr="00091B09" w:rsidRDefault="00091B09" w:rsidP="00091B09">
            <w:pPr>
              <w:pStyle w:val="NoSpacing"/>
            </w:pPr>
            <w:r w:rsidRPr="00091B09">
              <w:t>[-1.5221, 1.4312]</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9A9783" w14:textId="77777777" w:rsidR="00091B09" w:rsidRPr="00091B09" w:rsidRDefault="00091B09" w:rsidP="00091B09">
            <w:pPr>
              <w:pStyle w:val="NoSpacing"/>
            </w:pPr>
            <w:r w:rsidRPr="00091B09">
              <w:t>DHS 2015-16</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B33336" w14:textId="77777777" w:rsidR="00091B09" w:rsidRPr="00091B09" w:rsidRDefault="00091B09" w:rsidP="00091B09">
            <w:pPr>
              <w:pStyle w:val="NoSpacing"/>
            </w:pPr>
            <w:r w:rsidRPr="00091B09">
              <w:t>mean and standard deviation of height-for-age z-scores distribution for 1 year old</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BC0886A" w14:textId="77777777" w:rsidR="00091B09" w:rsidRPr="00091B09" w:rsidRDefault="00091B09" w:rsidP="00091B09">
            <w:pPr>
              <w:pStyle w:val="NoSpacing"/>
            </w:pPr>
            <w:r w:rsidRPr="00091B09">
              <w:t> </w:t>
            </w:r>
          </w:p>
        </w:tc>
      </w:tr>
      <w:tr w:rsidR="00091B09" w:rsidRPr="00091B09" w14:paraId="48B170F2"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51C29C73"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8B913" w14:textId="77777777" w:rsidR="00091B09" w:rsidRPr="00091B09" w:rsidRDefault="00091B09" w:rsidP="00091B09">
            <w:pPr>
              <w:pStyle w:val="NoSpacing"/>
            </w:pPr>
            <w:r w:rsidRPr="00091B09">
              <w:t>prev_HAZ_distribution_age_24_35mo</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E0EAD1" w14:textId="77777777" w:rsidR="00091B09" w:rsidRPr="00091B09" w:rsidRDefault="00091B09" w:rsidP="00091B09">
            <w:pPr>
              <w:pStyle w:val="NoSpacing"/>
            </w:pPr>
            <w:r w:rsidRPr="00091B09">
              <w:t>[-1.6692, 1.3435]</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9D1065" w14:textId="77777777" w:rsidR="00091B09" w:rsidRPr="00091B09" w:rsidRDefault="00091B09" w:rsidP="00091B09">
            <w:pPr>
              <w:pStyle w:val="NoSpacing"/>
            </w:pPr>
            <w:r w:rsidRPr="00091B09">
              <w:t>DHS 2015-16</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8ABC92" w14:textId="77777777" w:rsidR="00091B09" w:rsidRPr="00091B09" w:rsidRDefault="00091B09" w:rsidP="00091B09">
            <w:pPr>
              <w:pStyle w:val="NoSpacing"/>
            </w:pPr>
            <w:r w:rsidRPr="00091B09">
              <w:t xml:space="preserve">mean and standard deviation of height-for-age z-scores distribution for </w:t>
            </w:r>
            <w:proofErr w:type="gramStart"/>
            <w:r w:rsidRPr="00091B09">
              <w:t>2 year old</w:t>
            </w:r>
            <w:proofErr w:type="gramEnd"/>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1710A9F" w14:textId="77777777" w:rsidR="00091B09" w:rsidRPr="00091B09" w:rsidRDefault="00091B09" w:rsidP="00091B09">
            <w:pPr>
              <w:pStyle w:val="NoSpacing"/>
            </w:pPr>
            <w:r w:rsidRPr="00091B09">
              <w:t> </w:t>
            </w:r>
          </w:p>
        </w:tc>
      </w:tr>
      <w:tr w:rsidR="00091B09" w:rsidRPr="00091B09" w14:paraId="794BD1F7"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5A46BF11"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1CD022" w14:textId="77777777" w:rsidR="00091B09" w:rsidRPr="00091B09" w:rsidRDefault="00091B09" w:rsidP="00091B09">
            <w:pPr>
              <w:pStyle w:val="NoSpacing"/>
            </w:pPr>
            <w:r w:rsidRPr="00091B09">
              <w:t>prev_HAZ_distribution_age_36_47mo</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6983D7" w14:textId="77777777" w:rsidR="00091B09" w:rsidRPr="00091B09" w:rsidRDefault="00091B09" w:rsidP="00091B09">
            <w:pPr>
              <w:pStyle w:val="NoSpacing"/>
            </w:pPr>
            <w:r w:rsidRPr="00091B09">
              <w:t>[-1.7973, 1.2124]</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F3A0A2" w14:textId="77777777" w:rsidR="00091B09" w:rsidRPr="00091B09" w:rsidRDefault="00091B09" w:rsidP="00091B09">
            <w:pPr>
              <w:pStyle w:val="NoSpacing"/>
            </w:pPr>
            <w:r w:rsidRPr="00091B09">
              <w:t>DHS 2015-16</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660BF0" w14:textId="77777777" w:rsidR="00091B09" w:rsidRPr="00091B09" w:rsidRDefault="00091B09" w:rsidP="00091B09">
            <w:pPr>
              <w:pStyle w:val="NoSpacing"/>
            </w:pPr>
            <w:r w:rsidRPr="00091B09">
              <w:t xml:space="preserve">mean and standard deviation of height-for-age z-scores distribution for </w:t>
            </w:r>
            <w:proofErr w:type="gramStart"/>
            <w:r w:rsidRPr="00091B09">
              <w:t>3 year old</w:t>
            </w:r>
            <w:proofErr w:type="gramEnd"/>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BE4F304" w14:textId="77777777" w:rsidR="00091B09" w:rsidRPr="00091B09" w:rsidRDefault="00091B09" w:rsidP="00091B09">
            <w:pPr>
              <w:pStyle w:val="NoSpacing"/>
            </w:pPr>
            <w:r w:rsidRPr="00091B09">
              <w:t> </w:t>
            </w:r>
          </w:p>
        </w:tc>
      </w:tr>
      <w:tr w:rsidR="00091B09" w:rsidRPr="00091B09" w14:paraId="1512529D"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6CC2F80C"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B2E65D" w14:textId="77777777" w:rsidR="00091B09" w:rsidRPr="00091B09" w:rsidRDefault="00091B09" w:rsidP="00091B09">
            <w:pPr>
              <w:pStyle w:val="NoSpacing"/>
            </w:pPr>
            <w:r w:rsidRPr="00091B09">
              <w:t>prev_HAZ_distribution_age_48_59mo</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3C36F6" w14:textId="77777777" w:rsidR="00091B09" w:rsidRPr="00091B09" w:rsidRDefault="00091B09" w:rsidP="00091B09">
            <w:pPr>
              <w:pStyle w:val="NoSpacing"/>
            </w:pPr>
            <w:r w:rsidRPr="00091B09">
              <w:t>[-1.6201, 1.1154]</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151F2F" w14:textId="77777777" w:rsidR="00091B09" w:rsidRPr="00091B09" w:rsidRDefault="00091B09" w:rsidP="00091B09">
            <w:pPr>
              <w:pStyle w:val="NoSpacing"/>
            </w:pPr>
            <w:r w:rsidRPr="00091B09">
              <w:t>DHS 2015-16</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A212C" w14:textId="77777777" w:rsidR="00091B09" w:rsidRPr="00091B09" w:rsidRDefault="00091B09" w:rsidP="00091B09">
            <w:pPr>
              <w:pStyle w:val="NoSpacing"/>
            </w:pPr>
            <w:r w:rsidRPr="00091B09">
              <w:t xml:space="preserve">mean and standard deviation of height-for-age z-scores distribution for </w:t>
            </w:r>
            <w:proofErr w:type="gramStart"/>
            <w:r w:rsidRPr="00091B09">
              <w:t>4 year old</w:t>
            </w:r>
            <w:proofErr w:type="gramEnd"/>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6B767B5" w14:textId="77777777" w:rsidR="00091B09" w:rsidRPr="00091B09" w:rsidRDefault="00091B09" w:rsidP="00091B09">
            <w:pPr>
              <w:pStyle w:val="NoSpacing"/>
            </w:pPr>
            <w:r w:rsidRPr="00091B09">
              <w:t> </w:t>
            </w:r>
          </w:p>
        </w:tc>
      </w:tr>
      <w:tr w:rsidR="00091B09" w:rsidRPr="00091B09" w14:paraId="0D6C0FB4"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7AF80BED"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EE7A76" w14:textId="77777777" w:rsidR="00091B09" w:rsidRPr="00091B09" w:rsidRDefault="00091B09" w:rsidP="00091B09">
            <w:pPr>
              <w:pStyle w:val="NoSpacing"/>
            </w:pPr>
            <w:proofErr w:type="spellStart"/>
            <w:r w:rsidRPr="00091B09">
              <w:t>or_stunting_male</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DCC1FC" w14:textId="77777777" w:rsidR="00091B09" w:rsidRPr="00091B09" w:rsidRDefault="00091B09" w:rsidP="00091B09">
            <w:pPr>
              <w:pStyle w:val="NoSpacing"/>
            </w:pPr>
            <w:r w:rsidRPr="00091B09">
              <w:t>1.38 </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0A8E1B" w14:textId="1FEB4906"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FA6611" w14:textId="71A00DF6" w:rsidR="00091B09" w:rsidRPr="00091B09" w:rsidRDefault="00EC5D76" w:rsidP="00091B09">
            <w:pPr>
              <w:pStyle w:val="NoSpacing"/>
            </w:pPr>
            <w:r w:rsidRPr="00091B09">
              <w:t xml:space="preserve">odds ratio of stunting for </w:t>
            </w:r>
            <w:r>
              <w:t>males</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F2A8639" w14:textId="77777777" w:rsidR="00091B09" w:rsidRPr="00091B09" w:rsidRDefault="00091B09" w:rsidP="00091B09">
            <w:pPr>
              <w:pStyle w:val="NoSpacing"/>
            </w:pPr>
            <w:r w:rsidRPr="00091B09">
              <w:t> </w:t>
            </w:r>
          </w:p>
        </w:tc>
      </w:tr>
      <w:tr w:rsidR="00091B09" w:rsidRPr="00091B09" w14:paraId="5B333BD0"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05A31B73"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60C0F3" w14:textId="77777777" w:rsidR="00091B09" w:rsidRPr="00091B09" w:rsidRDefault="00091B09" w:rsidP="00091B09">
            <w:pPr>
              <w:pStyle w:val="NoSpacing"/>
            </w:pPr>
            <w:r w:rsidRPr="00091B09">
              <w:t>or_stunting_hhwealth_Q5</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D710A1" w14:textId="77777777" w:rsidR="00091B09" w:rsidRPr="00091B09" w:rsidRDefault="00091B09" w:rsidP="00091B09">
            <w:pPr>
              <w:pStyle w:val="NoSpacing"/>
            </w:pPr>
            <w:r w:rsidRPr="00091B09">
              <w:t>1.69</w:t>
            </w:r>
          </w:p>
        </w:tc>
        <w:tc>
          <w:tcPr>
            <w:tcW w:w="47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CA5CEF9" w14:textId="4E7D53CD" w:rsidR="00091B09" w:rsidRPr="00091B09" w:rsidRDefault="00091B09" w:rsidP="00091B09">
            <w:pPr>
              <w:pStyle w:val="NoSpacing"/>
              <w:rPr>
                <w:rFonts w:ascii="Calibri" w:hAnsi="Calibri" w:cs="Calibri"/>
                <w:color w:val="000000"/>
                <w:szCs w:val="21"/>
                <w:lang w:eastAsia="en-GB"/>
              </w:rPr>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02022C" w14:textId="77777777" w:rsidR="00091B09" w:rsidRPr="00091B09" w:rsidRDefault="00091B09" w:rsidP="00091B09">
            <w:pPr>
              <w:pStyle w:val="NoSpacing"/>
            </w:pPr>
            <w:r w:rsidRPr="00091B09">
              <w:t>odds ratio of stunting for poorest household wealth Q5</w:t>
            </w:r>
          </w:p>
        </w:tc>
        <w:tc>
          <w:tcPr>
            <w:tcW w:w="728" w:type="pct"/>
            <w:tcBorders>
              <w:top w:val="nil"/>
              <w:left w:val="single" w:sz="4" w:space="0" w:color="auto"/>
              <w:bottom w:val="single" w:sz="4" w:space="0" w:color="auto"/>
              <w:right w:val="single" w:sz="8" w:space="0" w:color="auto"/>
            </w:tcBorders>
            <w:shd w:val="clear" w:color="auto" w:fill="auto"/>
            <w:tcMar>
              <w:top w:w="15" w:type="dxa"/>
              <w:left w:w="15" w:type="dxa"/>
              <w:bottom w:w="0" w:type="dxa"/>
              <w:right w:w="15" w:type="dxa"/>
            </w:tcMar>
            <w:vAlign w:val="bottom"/>
            <w:hideMark/>
          </w:tcPr>
          <w:p w14:paraId="381A120D" w14:textId="77777777" w:rsidR="00091B09" w:rsidRPr="00091B09" w:rsidRDefault="00091B09" w:rsidP="00091B09">
            <w:pPr>
              <w:pStyle w:val="NoSpacing"/>
            </w:pPr>
            <w:r w:rsidRPr="00091B09">
              <w:t> </w:t>
            </w:r>
          </w:p>
        </w:tc>
      </w:tr>
      <w:tr w:rsidR="00EC5D76" w:rsidRPr="00091B09" w14:paraId="5B4CE1F2"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578A7227"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A28F7" w14:textId="77777777" w:rsidR="00091B09" w:rsidRPr="00091B09" w:rsidRDefault="00091B09" w:rsidP="00091B09">
            <w:pPr>
              <w:pStyle w:val="NoSpacing"/>
            </w:pPr>
            <w:r w:rsidRPr="00091B09">
              <w:t>or_stunting_hhwealth_Q4</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129407" w14:textId="77777777" w:rsidR="00091B09" w:rsidRPr="00091B09" w:rsidRDefault="00091B09" w:rsidP="00091B09">
            <w:pPr>
              <w:pStyle w:val="NoSpacing"/>
            </w:pPr>
            <w:r w:rsidRPr="00091B09">
              <w:t>1.48</w:t>
            </w:r>
          </w:p>
        </w:tc>
        <w:tc>
          <w:tcPr>
            <w:tcW w:w="47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8C5939B" w14:textId="069094DE"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BC6A96" w14:textId="77777777" w:rsidR="00091B09" w:rsidRPr="00091B09" w:rsidRDefault="00091B09" w:rsidP="00091B09">
            <w:pPr>
              <w:pStyle w:val="NoSpacing"/>
            </w:pPr>
            <w:r w:rsidRPr="00091B09">
              <w:t>odds ratio of stunting for poorer household wealth Q4</w:t>
            </w:r>
          </w:p>
        </w:tc>
        <w:tc>
          <w:tcPr>
            <w:tcW w:w="728" w:type="pct"/>
            <w:tcBorders>
              <w:top w:val="nil"/>
              <w:left w:val="single" w:sz="4" w:space="0" w:color="auto"/>
              <w:bottom w:val="single" w:sz="4" w:space="0" w:color="auto"/>
              <w:right w:val="single" w:sz="8" w:space="0" w:color="auto"/>
            </w:tcBorders>
            <w:shd w:val="clear" w:color="auto" w:fill="auto"/>
            <w:vAlign w:val="center"/>
            <w:hideMark/>
          </w:tcPr>
          <w:p w14:paraId="4D51EF0F" w14:textId="77777777" w:rsidR="00091B09" w:rsidRPr="00091B09" w:rsidRDefault="00091B09" w:rsidP="00091B09">
            <w:pPr>
              <w:pStyle w:val="NoSpacing"/>
            </w:pPr>
          </w:p>
        </w:tc>
      </w:tr>
      <w:tr w:rsidR="00091B09" w:rsidRPr="00091B09" w14:paraId="1CB72E17"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2F84F667"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EDA011" w14:textId="77777777" w:rsidR="00091B09" w:rsidRPr="00091B09" w:rsidRDefault="00091B09" w:rsidP="00091B09">
            <w:pPr>
              <w:pStyle w:val="NoSpacing"/>
            </w:pPr>
            <w:r w:rsidRPr="00091B09">
              <w:t>or_stunting_hhwealth_Q3</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226D11" w14:textId="77777777" w:rsidR="00091B09" w:rsidRPr="00091B09" w:rsidRDefault="00091B09" w:rsidP="00091B09">
            <w:pPr>
              <w:pStyle w:val="NoSpacing"/>
            </w:pPr>
            <w:r w:rsidRPr="00091B09">
              <w:t>1.4</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BEE431" w14:textId="1C43617C"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4FC6D" w14:textId="77777777" w:rsidR="00091B09" w:rsidRPr="00091B09" w:rsidRDefault="00091B09" w:rsidP="00091B09">
            <w:pPr>
              <w:pStyle w:val="NoSpacing"/>
            </w:pPr>
            <w:r w:rsidRPr="00091B09">
              <w:t>odds ratio of stunting for middle household wealth Q3</w:t>
            </w:r>
          </w:p>
        </w:tc>
        <w:tc>
          <w:tcPr>
            <w:tcW w:w="728" w:type="pct"/>
            <w:tcBorders>
              <w:top w:val="nil"/>
              <w:left w:val="single" w:sz="4" w:space="0" w:color="auto"/>
              <w:bottom w:val="single" w:sz="8" w:space="0" w:color="000000"/>
              <w:right w:val="single" w:sz="8" w:space="0" w:color="auto"/>
            </w:tcBorders>
            <w:shd w:val="clear" w:color="auto" w:fill="auto"/>
            <w:tcMar>
              <w:top w:w="15" w:type="dxa"/>
              <w:left w:w="15" w:type="dxa"/>
              <w:bottom w:w="0" w:type="dxa"/>
              <w:right w:w="15" w:type="dxa"/>
            </w:tcMar>
            <w:vAlign w:val="bottom"/>
            <w:hideMark/>
          </w:tcPr>
          <w:p w14:paraId="7794A627" w14:textId="55824F4F" w:rsidR="00091B09" w:rsidRPr="00091B09" w:rsidRDefault="00091B09" w:rsidP="00091B09">
            <w:pPr>
              <w:pStyle w:val="NoSpacing"/>
            </w:pPr>
          </w:p>
        </w:tc>
      </w:tr>
      <w:tr w:rsidR="00EC5D76" w:rsidRPr="00091B09" w14:paraId="4D1207CA"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3A6FEF03"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312AF1" w14:textId="77777777" w:rsidR="00091B09" w:rsidRPr="00091B09" w:rsidRDefault="00091B09" w:rsidP="00091B09">
            <w:pPr>
              <w:pStyle w:val="NoSpacing"/>
            </w:pPr>
            <w:r w:rsidRPr="00091B09">
              <w:t>or_stunting_hhwealth_Q2</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494C1F" w14:textId="77777777" w:rsidR="00091B09" w:rsidRPr="00091B09" w:rsidRDefault="00091B09" w:rsidP="00091B09">
            <w:pPr>
              <w:pStyle w:val="NoSpacing"/>
            </w:pPr>
            <w:r w:rsidRPr="00091B09">
              <w:t>1.29</w:t>
            </w:r>
          </w:p>
        </w:tc>
        <w:tc>
          <w:tcPr>
            <w:tcW w:w="47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6FA22BE" w14:textId="6925322D"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13B8ED" w14:textId="77777777" w:rsidR="00091B09" w:rsidRPr="00091B09" w:rsidRDefault="00091B09" w:rsidP="00091B09">
            <w:pPr>
              <w:pStyle w:val="NoSpacing"/>
            </w:pPr>
            <w:r w:rsidRPr="00091B09">
              <w:t>odds ratio of stunting for richer household wealth Q2</w:t>
            </w:r>
          </w:p>
        </w:tc>
        <w:tc>
          <w:tcPr>
            <w:tcW w:w="728" w:type="pct"/>
            <w:tcBorders>
              <w:top w:val="nil"/>
              <w:left w:val="single" w:sz="4" w:space="0" w:color="auto"/>
              <w:bottom w:val="single" w:sz="8" w:space="0" w:color="000000"/>
              <w:right w:val="single" w:sz="8" w:space="0" w:color="auto"/>
            </w:tcBorders>
            <w:shd w:val="clear" w:color="auto" w:fill="auto"/>
            <w:vAlign w:val="center"/>
            <w:hideMark/>
          </w:tcPr>
          <w:p w14:paraId="70AA3722" w14:textId="77777777" w:rsidR="00091B09" w:rsidRPr="00091B09" w:rsidRDefault="00091B09" w:rsidP="00091B09">
            <w:pPr>
              <w:pStyle w:val="NoSpacing"/>
            </w:pPr>
          </w:p>
        </w:tc>
      </w:tr>
      <w:tr w:rsidR="00EC5D76" w:rsidRPr="00091B09" w14:paraId="364D5DB7"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47C1B4B6" w14:textId="77777777" w:rsidR="00EC5D76" w:rsidRPr="00EC5D76" w:rsidRDefault="00EC5D76"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E8C45" w14:textId="77777777" w:rsidR="00EC5D76" w:rsidRPr="00091B09" w:rsidRDefault="00EC5D76" w:rsidP="00091B09">
            <w:pPr>
              <w:pStyle w:val="NoSpacing"/>
            </w:pPr>
            <w:proofErr w:type="spellStart"/>
            <w:r w:rsidRPr="00091B09">
              <w:t>or_stunting_preterm_and_AGA</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983153" w14:textId="77777777" w:rsidR="00EC5D76" w:rsidRPr="00091B09" w:rsidRDefault="00EC5D76" w:rsidP="00091B09">
            <w:pPr>
              <w:pStyle w:val="NoSpacing"/>
            </w:pPr>
            <w:r w:rsidRPr="00091B09">
              <w:t>2.13</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A8F32D" w14:textId="5BDE9DD4" w:rsidR="00EC5D76" w:rsidRPr="00091B09" w:rsidRDefault="00EC5D76"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85DDC2" w14:textId="77777777" w:rsidR="00EC5D76" w:rsidRPr="00091B09" w:rsidRDefault="00EC5D76" w:rsidP="00091B09">
            <w:pPr>
              <w:pStyle w:val="NoSpacing"/>
            </w:pPr>
            <w:r w:rsidRPr="00091B09">
              <w:t>odds ratio of stunting if born preterm and adequate for gestational age</w:t>
            </w:r>
          </w:p>
        </w:tc>
        <w:tc>
          <w:tcPr>
            <w:tcW w:w="728" w:type="pct"/>
            <w:vMerge w:val="restart"/>
            <w:tcBorders>
              <w:top w:val="nil"/>
              <w:left w:val="single" w:sz="4" w:space="0" w:color="auto"/>
              <w:right w:val="single" w:sz="8" w:space="0" w:color="auto"/>
            </w:tcBorders>
            <w:shd w:val="clear" w:color="auto" w:fill="auto"/>
            <w:vAlign w:val="center"/>
            <w:hideMark/>
          </w:tcPr>
          <w:p w14:paraId="36996891" w14:textId="5D36EDA4" w:rsidR="00EC5D76" w:rsidRPr="00091B09" w:rsidRDefault="00EC5D76" w:rsidP="00091B09">
            <w:pPr>
              <w:pStyle w:val="NoSpacing"/>
            </w:pPr>
            <w:r w:rsidRPr="00091B09">
              <w:t xml:space="preserve">pooled OR estimate for </w:t>
            </w:r>
            <w:proofErr w:type="spellStart"/>
            <w:r w:rsidRPr="00091B09">
              <w:t>sub-saharan</w:t>
            </w:r>
            <w:proofErr w:type="spellEnd"/>
            <w:r w:rsidRPr="00091B09">
              <w:t xml:space="preserve"> </w:t>
            </w:r>
            <w:proofErr w:type="spellStart"/>
            <w:r w:rsidRPr="00091B09">
              <w:t>africa</w:t>
            </w:r>
            <w:proofErr w:type="spellEnd"/>
          </w:p>
        </w:tc>
      </w:tr>
      <w:tr w:rsidR="00EC5D76" w:rsidRPr="00091B09" w14:paraId="3316B8E5"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5111038E" w14:textId="77777777" w:rsidR="00EC5D76" w:rsidRPr="00EC5D76" w:rsidRDefault="00EC5D76"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C242C5" w14:textId="77777777" w:rsidR="00EC5D76" w:rsidRPr="00091B09" w:rsidRDefault="00EC5D76" w:rsidP="00091B09">
            <w:pPr>
              <w:pStyle w:val="NoSpacing"/>
            </w:pPr>
            <w:proofErr w:type="spellStart"/>
            <w:r w:rsidRPr="00091B09">
              <w:t>or_stunting_SGA_and_term</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82D6B" w14:textId="77777777" w:rsidR="00EC5D76" w:rsidRPr="00091B09" w:rsidRDefault="00EC5D76" w:rsidP="00091B09">
            <w:pPr>
              <w:pStyle w:val="NoSpacing"/>
            </w:pPr>
            <w:r w:rsidRPr="00091B09">
              <w:t>2.36</w:t>
            </w:r>
          </w:p>
        </w:tc>
        <w:tc>
          <w:tcPr>
            <w:tcW w:w="47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243685E" w14:textId="0659C3A8" w:rsidR="00EC5D76" w:rsidRPr="00091B09" w:rsidRDefault="00EC5D76"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07B9C9" w14:textId="77777777" w:rsidR="00EC5D76" w:rsidRPr="00091B09" w:rsidRDefault="00EC5D76" w:rsidP="00091B09">
            <w:pPr>
              <w:pStyle w:val="NoSpacing"/>
            </w:pPr>
            <w:r w:rsidRPr="00091B09">
              <w:t>odds ratio of stunting if born small for gestational age and term</w:t>
            </w:r>
          </w:p>
        </w:tc>
        <w:tc>
          <w:tcPr>
            <w:tcW w:w="728" w:type="pct"/>
            <w:vMerge/>
            <w:tcBorders>
              <w:left w:val="single" w:sz="4" w:space="0" w:color="auto"/>
              <w:right w:val="single" w:sz="8" w:space="0" w:color="auto"/>
            </w:tcBorders>
            <w:shd w:val="clear" w:color="auto" w:fill="auto"/>
            <w:vAlign w:val="center"/>
            <w:hideMark/>
          </w:tcPr>
          <w:p w14:paraId="466F337A" w14:textId="77777777" w:rsidR="00EC5D76" w:rsidRPr="00091B09" w:rsidRDefault="00EC5D76" w:rsidP="00091B09">
            <w:pPr>
              <w:pStyle w:val="NoSpacing"/>
            </w:pPr>
          </w:p>
        </w:tc>
      </w:tr>
      <w:tr w:rsidR="00EC5D76" w:rsidRPr="00091B09" w14:paraId="415B8E9F" w14:textId="77777777" w:rsidTr="00EC5D76">
        <w:trPr>
          <w:trHeight w:val="32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09C00069" w14:textId="77777777" w:rsidR="00EC5D76" w:rsidRPr="00EC5D76" w:rsidRDefault="00EC5D76" w:rsidP="00EC5D76">
            <w:pPr>
              <w:pStyle w:val="NoSpacing"/>
              <w:jc w:val="center"/>
              <w:rPr>
                <w:b/>
                <w:bCs/>
              </w:rPr>
            </w:pPr>
          </w:p>
        </w:tc>
        <w:tc>
          <w:tcPr>
            <w:tcW w:w="1491"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25DC801B" w14:textId="77777777" w:rsidR="00EC5D76" w:rsidRPr="00091B09" w:rsidRDefault="00EC5D76" w:rsidP="00091B09">
            <w:pPr>
              <w:pStyle w:val="NoSpacing"/>
            </w:pPr>
            <w:proofErr w:type="spellStart"/>
            <w:r w:rsidRPr="00091B09">
              <w:t>or_stunting_SGA_and_preterm</w:t>
            </w:r>
            <w:proofErr w:type="spellEnd"/>
          </w:p>
        </w:tc>
        <w:tc>
          <w:tcPr>
            <w:tcW w:w="544"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172B5BFC" w14:textId="77777777" w:rsidR="00EC5D76" w:rsidRPr="00091B09" w:rsidRDefault="00EC5D76" w:rsidP="00091B09">
            <w:pPr>
              <w:pStyle w:val="NoSpacing"/>
            </w:pPr>
            <w:r w:rsidRPr="00091B09">
              <w:t>5.95</w:t>
            </w:r>
          </w:p>
        </w:tc>
        <w:tc>
          <w:tcPr>
            <w:tcW w:w="474" w:type="pct"/>
            <w:tcBorders>
              <w:top w:val="nil"/>
              <w:left w:val="nil"/>
              <w:bottom w:val="single" w:sz="8" w:space="0" w:color="auto"/>
              <w:right w:val="single" w:sz="4" w:space="0" w:color="auto"/>
            </w:tcBorders>
            <w:shd w:val="clear" w:color="auto" w:fill="auto"/>
            <w:tcMar>
              <w:top w:w="15" w:type="dxa"/>
              <w:left w:w="15" w:type="dxa"/>
              <w:bottom w:w="0" w:type="dxa"/>
              <w:right w:w="15" w:type="dxa"/>
            </w:tcMar>
            <w:vAlign w:val="bottom"/>
            <w:hideMark/>
          </w:tcPr>
          <w:p w14:paraId="757493A8" w14:textId="3CB3BE40" w:rsidR="00EC5D76" w:rsidRPr="00091B09" w:rsidRDefault="00EC5D76"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557"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14518E51" w14:textId="77777777" w:rsidR="00EC5D76" w:rsidRPr="00091B09" w:rsidRDefault="00EC5D76" w:rsidP="00091B09">
            <w:pPr>
              <w:pStyle w:val="NoSpacing"/>
            </w:pPr>
            <w:r w:rsidRPr="00091B09">
              <w:t>odds ratio of stunting if born small for gestational age and preterm</w:t>
            </w:r>
          </w:p>
        </w:tc>
        <w:tc>
          <w:tcPr>
            <w:tcW w:w="728" w:type="pct"/>
            <w:vMerge/>
            <w:tcBorders>
              <w:left w:val="single" w:sz="4" w:space="0" w:color="auto"/>
              <w:bottom w:val="single" w:sz="8" w:space="0" w:color="000000"/>
              <w:right w:val="single" w:sz="8" w:space="0" w:color="auto"/>
            </w:tcBorders>
            <w:shd w:val="clear" w:color="auto" w:fill="auto"/>
            <w:vAlign w:val="center"/>
            <w:hideMark/>
          </w:tcPr>
          <w:p w14:paraId="17CD7DB0" w14:textId="77777777" w:rsidR="00EC5D76" w:rsidRPr="00091B09" w:rsidRDefault="00EC5D76" w:rsidP="00091B09">
            <w:pPr>
              <w:pStyle w:val="NoSpacing"/>
            </w:pPr>
          </w:p>
        </w:tc>
      </w:tr>
      <w:tr w:rsidR="00091B09" w:rsidRPr="00091B09" w14:paraId="60B73C6A" w14:textId="77777777" w:rsidTr="00EC5D76">
        <w:trPr>
          <w:trHeight w:val="310"/>
        </w:trPr>
        <w:tc>
          <w:tcPr>
            <w:tcW w:w="206" w:type="pct"/>
            <w:vMerge w:val="restart"/>
            <w:tcBorders>
              <w:top w:val="nil"/>
              <w:left w:val="single" w:sz="8" w:space="0" w:color="auto"/>
              <w:bottom w:val="single" w:sz="8" w:space="0" w:color="000000"/>
              <w:right w:val="single" w:sz="4" w:space="0" w:color="auto"/>
            </w:tcBorders>
            <w:shd w:val="clear" w:color="auto" w:fill="E7E6E6" w:themeFill="background2"/>
            <w:noWrap/>
            <w:tcMar>
              <w:top w:w="15" w:type="dxa"/>
              <w:left w:w="15" w:type="dxa"/>
              <w:bottom w:w="0" w:type="dxa"/>
              <w:right w:w="15" w:type="dxa"/>
            </w:tcMar>
            <w:textDirection w:val="btLr"/>
            <w:vAlign w:val="bottom"/>
            <w:hideMark/>
          </w:tcPr>
          <w:p w14:paraId="707B40C0" w14:textId="77777777" w:rsidR="00091B09" w:rsidRPr="00EC5D76" w:rsidRDefault="00091B09" w:rsidP="00EC5D76">
            <w:pPr>
              <w:pStyle w:val="NoSpacing"/>
              <w:jc w:val="center"/>
              <w:rPr>
                <w:b/>
                <w:bCs/>
              </w:rPr>
            </w:pPr>
            <w:r w:rsidRPr="00EC5D76">
              <w:rPr>
                <w:b/>
                <w:bCs/>
              </w:rPr>
              <w:t>Incidence</w:t>
            </w: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700188" w14:textId="77777777" w:rsidR="00091B09" w:rsidRPr="00091B09" w:rsidRDefault="00091B09" w:rsidP="00091B09">
            <w:pPr>
              <w:pStyle w:val="NoSpacing"/>
            </w:pPr>
            <w:proofErr w:type="spellStart"/>
            <w:r w:rsidRPr="00091B09">
              <w:t>base_inc_rate_stunting_by_agegp</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F79AF1" w14:textId="77777777" w:rsidR="00091B09" w:rsidRPr="00091B09" w:rsidRDefault="00091B09" w:rsidP="00091B09">
            <w:pPr>
              <w:pStyle w:val="NoSpacing"/>
            </w:pPr>
            <w:r w:rsidRPr="00091B09">
              <w:t>[0.024,0.09,0.15,0.09,0.06, 0.06]</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FFF5E7" w14:textId="1CE7D00A"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{"citationItems":[{"id":"ITEM-1","itemData":{"DOI":"10.1046/j.1365-3016.2003.00519.x","ISSN":"02695022","PMID":"14629321","abstract":"We prospectively followed up a population-based cohort of 767 rural Malawian children from birth to 36 months to characterise the timing and predictors of malnutrition. Underweight and wasting incidence peaked between 6 and 18 months of age, whereas stunting incidence was highest during the first 6 months of age. After infancy about 40% of the children were underweight, 70% stunted, and about 4% wasted. Small size during the first 3 months of life predicted the incidence of severe underweight (relative risk [95% confidence interval], 1.8 [0.9, 3.4]), severe stunting (2.1 [1.3, 3.4]), and moderate wasting (2.0 [1.1, 3.5]). Children with many illness episodes in infancy had a twofold risk for the development of severe underweight and moderate wasting. Severe underweight was further predicted by residence far away from a health facility and moderate wasting by maternal HIV infection. Our conclusion is that the intrauterine period and first 6 months of life are critical for the development of stunting whereas the subsequent year is more critical for the development of underweight and wasting. Strategies combating intrauterine growth retardation, maternal HIV and infant morbidity are likely to reduce the burden of malnutrition in this population.","author":[{"dropping-particle":"","family":"Maleta","given":"Kenneth","non-dropping-particle":"","parse-names":false,"suffix":""},{"dropping-particle":"","family":"Virtanen","given":"Suvi M.","non-dropping-particle":"","parse-names":false,"suffix":""},{"dropping-particle":"","family":"Espo","given":"Merimaaria","non-dropping-particle":"","parse-names":false,"suffix":""},{"dropping-particle":"","family":"Kulmala","given":"Teija","non-dropping-particle":"","parse-names":false,"suffix":""},{"dropping-particle":"","family":"Ashorn","given":"Per","non-dropping-particle":"","parse-names":false,"suffix":""}],"container-title":"Paediatric and Perinatal Epidemiology","id":"ITEM-1","issue":"4","issued":{"date-parts":[["2003","10"]]},"page":"384-390","title":"Childhood malnutrition and its predictors in rural Malawi","type":"article-journal","volume":"17"},"uris":["http://www.mendeley.com/documents/?uuid=ae85bf81-f3e5-3c6e-bda8-3c96df5631b4"]}],"mendeley":{"formattedCitation":"&lt;sup&gt;11&lt;/sup&gt;","plainTextFormattedCitation":"11","previouslyFormattedCitation":"&lt;sup&gt;11&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11</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897D67" w14:textId="77777777" w:rsidR="00091B09" w:rsidRPr="00091B09" w:rsidRDefault="00091B09" w:rsidP="00091B09">
            <w:pPr>
              <w:pStyle w:val="NoSpacing"/>
            </w:pPr>
            <w:r w:rsidRPr="00091B09">
              <w:t>baseline incidence rate of stunting by age group [1-5, 6-11, 12-23, 24-35, 36-47, 48-59]</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29CB421" w14:textId="77777777" w:rsidR="00091B09" w:rsidRPr="00091B09" w:rsidRDefault="00091B09" w:rsidP="00091B09">
            <w:pPr>
              <w:pStyle w:val="NoSpacing"/>
            </w:pPr>
            <w:r w:rsidRPr="00091B09">
              <w:t>estimates will be calculated, currently dummy values</w:t>
            </w:r>
          </w:p>
        </w:tc>
      </w:tr>
      <w:tr w:rsidR="00091B09" w:rsidRPr="00091B09" w14:paraId="77A3D83E"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709593F5"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5A1BF6" w14:textId="77777777" w:rsidR="00091B09" w:rsidRPr="00091B09" w:rsidRDefault="00091B09" w:rsidP="00091B09">
            <w:pPr>
              <w:pStyle w:val="NoSpacing"/>
            </w:pPr>
            <w:proofErr w:type="spellStart"/>
            <w:r w:rsidRPr="00091B09">
              <w:t>rr_stunting_preterm_and_AGA</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F6CE1" w14:textId="77777777" w:rsidR="00091B09" w:rsidRPr="00091B09" w:rsidRDefault="00091B09" w:rsidP="00091B09">
            <w:pPr>
              <w:pStyle w:val="NoSpacing"/>
            </w:pPr>
            <w:r w:rsidRPr="00091B09">
              <w:t>2.11</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30DCA3" w14:textId="7DD6ECEF"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D3E72" w14:textId="77777777" w:rsidR="00091B09" w:rsidRPr="00091B09" w:rsidRDefault="00091B09" w:rsidP="00091B09">
            <w:pPr>
              <w:pStyle w:val="NoSpacing"/>
            </w:pPr>
            <w:r w:rsidRPr="00091B09">
              <w:t>relative rate of stunting if born preterm and adequate for gestational age</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6A15E1B" w14:textId="77777777" w:rsidR="00091B09" w:rsidRPr="00091B09" w:rsidRDefault="00091B09" w:rsidP="00091B09">
            <w:pPr>
              <w:pStyle w:val="NoSpacing"/>
            </w:pPr>
            <w:r w:rsidRPr="00091B09">
              <w:t> </w:t>
            </w:r>
          </w:p>
        </w:tc>
      </w:tr>
      <w:tr w:rsidR="00091B09" w:rsidRPr="00091B09" w14:paraId="0EFBFAC7"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63ABC9B1"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657F37" w14:textId="77777777" w:rsidR="00091B09" w:rsidRPr="00091B09" w:rsidRDefault="00091B09" w:rsidP="00091B09">
            <w:pPr>
              <w:pStyle w:val="NoSpacing"/>
            </w:pPr>
            <w:proofErr w:type="spellStart"/>
            <w:r w:rsidRPr="00091B09">
              <w:t>rr_stunting_SGA_and_term</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CE3ABE" w14:textId="77777777" w:rsidR="00091B09" w:rsidRPr="00091B09" w:rsidRDefault="00091B09" w:rsidP="00091B09">
            <w:pPr>
              <w:pStyle w:val="NoSpacing"/>
            </w:pPr>
            <w:r w:rsidRPr="00091B09">
              <w:t>2.26</w:t>
            </w:r>
          </w:p>
        </w:tc>
        <w:tc>
          <w:tcPr>
            <w:tcW w:w="47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2B07C17" w14:textId="56967C42"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955BDE" w14:textId="77777777" w:rsidR="00091B09" w:rsidRPr="00091B09" w:rsidRDefault="00091B09" w:rsidP="00091B09">
            <w:pPr>
              <w:pStyle w:val="NoSpacing"/>
            </w:pPr>
            <w:r w:rsidRPr="00091B09">
              <w:t>relative rate of stunting if born small for gestational age and term</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7F22180" w14:textId="77777777" w:rsidR="00091B09" w:rsidRPr="00091B09" w:rsidRDefault="00091B09" w:rsidP="00091B09">
            <w:pPr>
              <w:pStyle w:val="NoSpacing"/>
            </w:pPr>
            <w:r w:rsidRPr="00091B09">
              <w:t> </w:t>
            </w:r>
          </w:p>
        </w:tc>
      </w:tr>
      <w:tr w:rsidR="00091B09" w:rsidRPr="00091B09" w14:paraId="1D203863"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73D05E82"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C6A69A" w14:textId="77777777" w:rsidR="00091B09" w:rsidRPr="00091B09" w:rsidRDefault="00091B09" w:rsidP="00091B09">
            <w:pPr>
              <w:pStyle w:val="NoSpacing"/>
            </w:pPr>
            <w:proofErr w:type="spellStart"/>
            <w:r w:rsidRPr="00091B09">
              <w:t>rr_stunting_SGA_and_preterm</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F221B6" w14:textId="77777777" w:rsidR="00091B09" w:rsidRPr="00091B09" w:rsidRDefault="00091B09" w:rsidP="00091B09">
            <w:pPr>
              <w:pStyle w:val="NoSpacing"/>
            </w:pPr>
            <w:r w:rsidRPr="00091B09">
              <w:t>3.09</w:t>
            </w:r>
          </w:p>
        </w:tc>
        <w:tc>
          <w:tcPr>
            <w:tcW w:w="47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A040CB3" w14:textId="6629D61A"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{"citationItems":[{"id":"ITEM-1","itemData":{"DOI":"10.1093/ije/dyt109","ISSN":"1464-3685","abstract":"Background Low- a nd middle-income countriescontinue to experience a large burden of stunting; 148 million children were estimated to be stunted, around 30-40% of all children in 2011. In many of these countries, foetal growth restriction (FGR) is common, as is subsequent growth faltering in the first 2 years. Although there is agreement that stunting involves both prenatal and postnatal growth failure, the extent to which FGR contributes to stunting and other indicators of nutritional status is uncertain. Methods Using extant longitudinal birth cohorts (n=19) with data on birthweight, gestational age and child anthropometry (12-60 months), we estimated study-specific and pooled risk estimates of stunting, wasting and underweight by small-for-gestational age (SGA) and preterm birth. Results We grouped children according to four combinations of SGA and gestational age: adequate size-for-gestational age (AGA) and preterm; SGA and term; SGA and preterm; and AGA and term (the reference group). Relative to AGA and term, the OR (95% confidence interval) for stunting associated with AGA and preterm, SGA and term, and SGA and preterm was 1.93 (1.71, 2.18), 2.43 (2.22, 2.66) and 4.51 (3.42, 5.93), respectively. A similar magnitude of risk was also observed for wasting and underweight. Low birthweight was associated with 2.5-3.5-fold higher odds of wasting, stunting and underweight. The population attributable risk for overall SGA for outcomes of childhood stunting and wasting was 20% and 30%, respectively. Conclusions This analysis estimates that childhood undernutrition may have its origins in the foetal period, suggesting a need to intervene early, ideally during pregnancy, with interventions known to reduce FGR and preterm birth. © The Author 2013; all rights reserved.","author":[{"dropping-particle":"","family":"Christian","given":"Parul","non-dropping-particle":"","parse-names":false,"suffix":""},{"dropping-particle":"","family":"Lee","given":"Sun Eun","non-dropping-particle":"","parse-names":false,"suffix":""},{"dropping-particle":"","family":"Donahue Angel","given":"Moira","non-dropping-particle":"","parse-names":false,"suffix":""},{"dropping-particle":"","family":"Adair","given":"Linda S","non-dropping-particle":"","parse-names":false,"suffix":""},{"dropping-particle":"","family":"Arifeen","given":"Shams E","non-dropping-particle":"","parse-names":false,"suffix":""},{"dropping-particle":"","family":"Ashorn","given":"Per","non-dropping-particle":"","parse-names":false,"suffix":""},{"dropping-particle":"","family":"Barros","given":"Fernando C","non-dropping-particle":"","parse-names":false,"suffix":""},{"dropping-particle":"","family":"Fall","given":"Caroline HD","non-dropping-particle":"","parse-names":false,"suffix":""},{"dropping-particle":"","family":"Fawzi","given":"Wafaie W","non-dropping-particle":"","parse-names":false,"suffix":""},{"dropping-particle":"","family":"Hao","given":"Wei","non-dropping-particle":"","parse-names":false,"suffix":""},{"dropping-particle":"","family":"Hu","given":"Gang","non-dropping-particle":"","parse-names":false,"suffix":""},{"dropping-particle":"","family":"Humphrey","given":"Jean H","non-dropping-particle":"","parse-names":false,"suffix":""},{"dropping-particle":"","family":"Huybregts","given":"Lieven","non-dropping-particle":"","parse-names":false,"suffix":""},{"dropping-particle":"V","family":"Joglekar","given":"Charu","non-dropping-particle":"","parse-names":false,"suffix":""},{"dropping-particle":"","family":"Kariuki","given":"Simon K","non-dropping-particle":"","parse-names":false,"suffix":""},{"dropping-particle":"","family":"Kolsteren","given":"Patrick","non-dropping-particle":"","parse-names":false,"suffix":""},{"dropping-particle":"V","family":"Krishnaveni","given":"Ghattu","non-dropping-particle":"","parse-names":false,"suffix":""},{"dropping-particle":"","family":"Liu","given":"Enqing","non-dropping-particle":"","parse-names":false,"suffix":""},{"dropping-particle":"","family":"Martorell","given":"Reynaldo","non-dropping-particle":"","parse-names":false,"suffix":""},{"dropping-particle":"","family":"Osrin","given":"David","non-dropping-particle":"","parse-names":false,"suffix":""},{"dropping-particle":"","family":"Persson","given":"Lars-Ake","non-dropping-particle":"","parse-names":false,"suffix":""},{"dropping-particle":"","family":"Ramakrishnan","given":"Usha","non-dropping-particle":"","parse-names":false,"suffix":""},{"dropping-particle":"","family":"Richter","given":"Linda","non-dropping-particle":"","parse-names":false,"suffix":""},{"dropping-particle":"","family":"Roberfroid","given":"Dominique","non-dropping-particle":"","parse-names":false,"suffix":""},{"dropping-particle":"","family":"Sania","given":"Ayesha","non-dropping-particle":"","parse-names":false,"suffix":""},{"dropping-particle":"","family":"Kuile","given":"Feiko O","non-dropping-particle":"Ter","parse-names":false,"suffix":""},{"dropping-particle":"","family":"Tielsch","given":"James","non-dropping-particle":"","parse-names":false,"suffix":""},{"dropping-particle":"","family":"Victora","given":"Cesar G","non-dropping-particle":"","parse-names":false,"suffix":""},{"dropping-particle":"","family":"Yajnik","given":"Chittaranjan S","non-dropping-particle":"","parse-names":false,"suffix":""},{"dropping-particle":"","family":"Yan","given":"Hong","non-dropping-particle":"","parse-names":false,"suffix":""},{"dropping-particle":"","family":"Zeng","given":"Lingxia","non-dropping-particle":"","parse-names":false,"suffix":""},{"dropping-particle":"","family":"Black","given":"Robert E","non-dropping-particle":"","parse-names":false,"suffix":""}],"container-title":"International Journal of Epidemiology","id":"ITEM-1","issue":"5","issued":{"date-parts":[["2013","10","1"]]},"page":"1340-1355","publisher":"Oxford Academic","title":"Risk of childhood undernutrition related to small-for-gestational age and preterm birth in low- and middle-income countries","type":"article-journal","volume":"42"},"uris":["http://www.mendeley.com/documents/?uuid=1bc9de99-46af-310b-b198-5ad90d22aa7f"]}],"mendeley":{"formattedCitation":"&lt;sup&gt;10&lt;/sup&gt;","plainTextFormattedCitation":"10","previouslyFormattedCitation":"&lt;sup&gt;10&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10</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67F0BE" w14:textId="77777777" w:rsidR="00091B09" w:rsidRPr="00091B09" w:rsidRDefault="00091B09" w:rsidP="00091B09">
            <w:pPr>
              <w:pStyle w:val="NoSpacing"/>
            </w:pPr>
            <w:r w:rsidRPr="00091B09">
              <w:t>relative rate of stunting if born small for gestational age and preterm</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68B67F7" w14:textId="77777777" w:rsidR="00091B09" w:rsidRPr="00091B09" w:rsidRDefault="00091B09" w:rsidP="00091B09">
            <w:pPr>
              <w:pStyle w:val="NoSpacing"/>
            </w:pPr>
            <w:r w:rsidRPr="00091B09">
              <w:t> </w:t>
            </w:r>
          </w:p>
        </w:tc>
      </w:tr>
      <w:tr w:rsidR="00091B09" w:rsidRPr="00091B09" w14:paraId="15663BC8"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781FF6A4"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45F91F" w14:textId="77777777" w:rsidR="00091B09" w:rsidRPr="00091B09" w:rsidRDefault="00091B09" w:rsidP="00091B09">
            <w:pPr>
              <w:pStyle w:val="NoSpacing"/>
            </w:pPr>
            <w:proofErr w:type="spellStart"/>
            <w:r w:rsidRPr="00091B09">
              <w:t>rr_stunting_prior_wasting</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730ABC" w14:textId="77777777" w:rsidR="00091B09" w:rsidRPr="00091B09" w:rsidRDefault="00091B09" w:rsidP="00091B09">
            <w:pPr>
              <w:pStyle w:val="NoSpacing"/>
            </w:pPr>
            <w:r w:rsidRPr="00091B09">
              <w:t>1.93</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6F7422" w14:textId="1734646A" w:rsidR="00091B09" w:rsidRPr="00091B09" w:rsidRDefault="0027147C" w:rsidP="00091B09">
            <w:pPr>
              <w:pStyle w:val="NoSpacing"/>
            </w:pPr>
            <w:r>
              <w:fldChar w:fldCharType="begin" w:fldLock="1"/>
            </w:r>
            <w:r w:rsidR="00C12542">
              <w:instrText>ADDIN CSL_CITATION {"citationItems":[{"id":"ITEM-1","itemData":{"DOI":"10.1093/jn/nxab054","ISSN":"0022-3166","abstract":"This work was initially supported by a Medical Research Council PhD studentship grant number MR/K500847/1 DTG. The individual cohorts were funded from a wide ranges of sources: Lungwena Child Survival Study (LCSS): Academy of Finland, Emil Aaltonen Foundation, Foundation for …","author":[{"dropping-particle":"","family":"Wright","given":"Charlotte M","non-dropping-particle":"","parse-names":false,"suffix":""},{"dropping-particle":"","family":"Macpherson","given":"John","non-dropping-particle":"","parse-names":false,"suffix":""},{"dropping-particle":"","family":"Bland","given":"Ruth","non-dropping-particle":"","parse-names":false,"suffix":""},{"dropping-particle":"","family":"Ashorn","given":"Per","non-dropping-particle":"","parse-names":false,"suffix":""},{"dropping-particle":"","family":"Zaman","given":"Shakila","non-dropping-particle":"","parse-names":false,"suffix":""},{"dropping-particle":"","family":"Ho","given":"Frederick K","non-dropping-particle":"","parse-names":false,"suffix":""}],"container-title":"The Journal of Nutrition","id":"ITEM-1","issued":{"date-parts":[["2021","4","8"]]},"publisher":"Oxford University Press (OUP)","title":"Wasting and Stunting in Infants and Young Children as Risk Factors for Subsequent Stunting or Mortality: Longitudinal Analysis of Data from Malawi, South Africa, and Pakistan","type":"article-journal"},"uris":["http://www.mendeley.com/documents/?uuid=a32ec536-d1d8-378f-9d61-30ad422598f1"]}],"mendeley":{"formattedCitation":"&lt;sup&gt;23&lt;/sup&gt;","plainTextFormattedCitation":"23","previouslyFormattedCitation":"&lt;sup&gt;23&lt;/sup&gt;"},"properties":{"noteIndex":0},"schema":"https://github.com/citation-style-language/schema/raw/master/csl-citation.json"}</w:instrText>
            </w:r>
            <w:r>
              <w:fldChar w:fldCharType="separate"/>
            </w:r>
            <w:r w:rsidR="00C12542" w:rsidRPr="00C12542">
              <w:rPr>
                <w:noProof/>
                <w:vertAlign w:val="superscript"/>
              </w:rPr>
              <w:t>23</w:t>
            </w:r>
            <w: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C73224" w14:textId="77777777" w:rsidR="00091B09" w:rsidRPr="00091B09" w:rsidRDefault="00091B09" w:rsidP="00091B09">
            <w:pPr>
              <w:pStyle w:val="NoSpacing"/>
            </w:pPr>
            <w:r w:rsidRPr="00091B09">
              <w:t>relative rate of stunting if prior wasting</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2DB62B2" w14:textId="77777777" w:rsidR="00091B09" w:rsidRPr="00091B09" w:rsidRDefault="00091B09" w:rsidP="00091B09">
            <w:pPr>
              <w:pStyle w:val="NoSpacing"/>
            </w:pPr>
            <w:r w:rsidRPr="00091B09">
              <w:t> </w:t>
            </w:r>
          </w:p>
        </w:tc>
      </w:tr>
      <w:tr w:rsidR="00091B09" w:rsidRPr="00091B09" w14:paraId="43228713"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0E101777"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60DF5D" w14:textId="77777777" w:rsidR="00091B09" w:rsidRPr="00091B09" w:rsidRDefault="00091B09" w:rsidP="00091B09">
            <w:pPr>
              <w:pStyle w:val="NoSpacing"/>
            </w:pPr>
            <w:proofErr w:type="spellStart"/>
            <w:r w:rsidRPr="00091B09">
              <w:t>rr_stunting_untreated_HIV</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65AFEE" w14:textId="77777777" w:rsidR="00091B09" w:rsidRPr="00091B09" w:rsidRDefault="00091B09" w:rsidP="00091B09">
            <w:pPr>
              <w:pStyle w:val="NoSpacing"/>
            </w:pPr>
            <w:r w:rsidRPr="00091B09">
              <w:t>1.5</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1AF955" w14:textId="77777777" w:rsidR="00091B09" w:rsidRPr="00091B09" w:rsidRDefault="00091B09" w:rsidP="00091B09">
            <w:pPr>
              <w:pStyle w:val="NoSpacing"/>
            </w:pPr>
            <w:r w:rsidRPr="00091B09">
              <w:t>dummy</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DBEA5F" w14:textId="77777777" w:rsidR="00091B09" w:rsidRPr="00091B09" w:rsidRDefault="00091B09" w:rsidP="00091B09">
            <w:pPr>
              <w:pStyle w:val="NoSpacing"/>
            </w:pPr>
            <w:r w:rsidRPr="00091B09">
              <w:t xml:space="preserve">relative risk of stunting per unit </w:t>
            </w:r>
            <w:proofErr w:type="gramStart"/>
            <w:r w:rsidRPr="00091B09">
              <w:t>decrease</w:t>
            </w:r>
            <w:proofErr w:type="gramEnd"/>
            <w:r w:rsidRPr="00091B09">
              <w:t xml:space="preserve"> in wealth level</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DBB3D10" w14:textId="77777777" w:rsidR="00091B09" w:rsidRPr="00091B09" w:rsidRDefault="00091B09" w:rsidP="00091B09">
            <w:pPr>
              <w:pStyle w:val="NoSpacing"/>
            </w:pPr>
            <w:r w:rsidRPr="00091B09">
              <w:t> </w:t>
            </w:r>
          </w:p>
        </w:tc>
      </w:tr>
      <w:tr w:rsidR="00091B09" w:rsidRPr="00091B09" w14:paraId="127F4B0B"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1EA4ABE9"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63D27A" w14:textId="77777777" w:rsidR="00091B09" w:rsidRPr="00091B09" w:rsidRDefault="00091B09" w:rsidP="00091B09">
            <w:pPr>
              <w:pStyle w:val="NoSpacing"/>
            </w:pPr>
            <w:proofErr w:type="spellStart"/>
            <w:r w:rsidRPr="00091B09">
              <w:t>rr_stunting_wealth_level</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E5B13" w14:textId="77777777" w:rsidR="00091B09" w:rsidRPr="00091B09" w:rsidRDefault="00091B09" w:rsidP="00091B09">
            <w:pPr>
              <w:pStyle w:val="NoSpacing"/>
            </w:pPr>
            <w:r w:rsidRPr="00091B09">
              <w:t>0.2</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8D00D" w14:textId="0CD79C29"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{"citationItems":[{"id":"ITEM-1","itemData":{"DOI":"10.1016/j.pedneo.2017.11.019","ISSN":"18759572","PMID":"29295806","abstract":"Background: Undernutrition is a major global public health problem among children under the age of 5 years. We aimed to untangle the effects of a wide range of individual- and community-level socioeconomic factors on the risks of childhood undernutrition in Malawi. Methods: We analyzed 6384 women-infant pairs from the 2004 and 2010 Malawi Demographic and Health Surveys (MDHSs). The undernutrition status was assessed by three domains of stunted (height-for-age), wasted (weight-for-height), and underweight (weight-for-age). We constructed generalized estimating equation logistic models to analyze associations of individual- and community-level characteristics with childhood undernutrition. Results: About 48.4% of the children were stunted, 4.5% were wasted, and 14.4% were underweight. At the individual level, the risk of childhood undernutrition was significantly higher in males, children with a small birth size, children with a diarrheal episode in the last 2 weeks, children that were a product of multiple births, children born to mothers with either a low socioeconomic status, or a poor education, or who were underweight, and children born in the year 2004. At community level, children born in communities with low and medium wealth, and in communities with low and medium female educational attainment were more likely to be undernourished. Unexpectedly, the maternal HIV status was not associated with childhood undernutrition at either the individual or community level. Conclusion: This study provides evidence of the importance of both individual- and community-level factors in determining childhood undernutrition. Interventions against childhood undernutrition should consider the various predictors discussed in this study in order to reduce undernutrition in children and contribute to their well-being.","author":[{"dropping-particle":"","family":"Ntenda","given":"Peter Austin Morton","non-dropping-particle":"","parse-names":false,"suffix":""},{"dropping-particle":"","family":"Chuang","given":"Ying Chih","non-dropping-particle":"","parse-names":false,"suffix":""}],"container-title":"Pediatrics and Neonatology","id":"ITEM-1","issue":"4","issued":{"date-parts":[["2018","8","1"]]},"page":"380-389","publisher":"Elsevier (Singapore) Pte Ltd","title":"Analysis of individual-level and community-level effects on childhood undernutrition in Malawi","type":"article-journal","volume":"59"},"uris":["http://www.mendeley.com/documents/?uuid=61d67b00-df52-3f50-968c-9d6e286fd42a"]}],"mendeley":{"formattedCitation":"&lt;sup&gt;9&lt;/sup&gt;","plainTextFormattedCitation":"9","previouslyFormattedCitation":"&lt;sup&gt;9&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9</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626EFF" w14:textId="77777777" w:rsidR="00091B09" w:rsidRPr="00091B09" w:rsidRDefault="00091B09" w:rsidP="00091B09">
            <w:pPr>
              <w:pStyle w:val="NoSpacing"/>
            </w:pPr>
            <w:r w:rsidRPr="00091B09">
              <w:t xml:space="preserve">relative risk of stunting per unit </w:t>
            </w:r>
            <w:proofErr w:type="gramStart"/>
            <w:r w:rsidRPr="00091B09">
              <w:t>decrease</w:t>
            </w:r>
            <w:proofErr w:type="gramEnd"/>
            <w:r w:rsidRPr="00091B09">
              <w:t xml:space="preserve"> in wealth level</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D48F22C" w14:textId="77777777" w:rsidR="00091B09" w:rsidRPr="00091B09" w:rsidRDefault="00091B09" w:rsidP="00091B09">
            <w:pPr>
              <w:pStyle w:val="NoSpacing"/>
            </w:pPr>
            <w:r w:rsidRPr="00091B09">
              <w:t> </w:t>
            </w:r>
          </w:p>
        </w:tc>
      </w:tr>
      <w:tr w:rsidR="00091B09" w:rsidRPr="00091B09" w14:paraId="328183F1"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386E9C4B"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6EC509" w14:textId="77777777" w:rsidR="00091B09" w:rsidRPr="00091B09" w:rsidRDefault="00091B09" w:rsidP="00091B09">
            <w:pPr>
              <w:pStyle w:val="NoSpacing"/>
            </w:pPr>
            <w:proofErr w:type="spellStart"/>
            <w:r w:rsidRPr="00091B09">
              <w:t>rr_stunting_no_exclusive_breastfeeding</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89B14D" w14:textId="77777777" w:rsidR="00091B09" w:rsidRPr="00091B09" w:rsidRDefault="00091B09" w:rsidP="00091B09">
            <w:pPr>
              <w:pStyle w:val="NoSpacing"/>
            </w:pPr>
            <w:r w:rsidRPr="00091B09">
              <w:t>1.4</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63B84E" w14:textId="77777777" w:rsidR="00091B09" w:rsidRPr="00091B09" w:rsidRDefault="00091B09" w:rsidP="00091B09">
            <w:pPr>
              <w:pStyle w:val="NoSpacing"/>
            </w:pPr>
            <w:r w:rsidRPr="00091B09">
              <w:t>dummy</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A2604E" w14:textId="77777777" w:rsidR="00091B09" w:rsidRPr="00091B09" w:rsidRDefault="00091B09" w:rsidP="00091B09">
            <w:pPr>
              <w:pStyle w:val="NoSpacing"/>
            </w:pPr>
            <w:r w:rsidRPr="00091B09">
              <w:t>relative risk of stunting for children&lt;2yo without exclusive breastfeeding</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B554D41" w14:textId="77777777" w:rsidR="00091B09" w:rsidRPr="00091B09" w:rsidRDefault="00091B09" w:rsidP="00091B09">
            <w:pPr>
              <w:pStyle w:val="NoSpacing"/>
            </w:pPr>
            <w:r w:rsidRPr="00091B09">
              <w:t> </w:t>
            </w:r>
          </w:p>
        </w:tc>
      </w:tr>
      <w:tr w:rsidR="00091B09" w:rsidRPr="00091B09" w14:paraId="50EB04C3" w14:textId="77777777" w:rsidTr="00EC5D76">
        <w:trPr>
          <w:trHeight w:val="31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2DAF7969"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D18836" w14:textId="77777777" w:rsidR="00091B09" w:rsidRPr="00091B09" w:rsidRDefault="00091B09" w:rsidP="00091B09">
            <w:pPr>
              <w:pStyle w:val="NoSpacing"/>
            </w:pPr>
            <w:proofErr w:type="spellStart"/>
            <w:r w:rsidRPr="00091B09">
              <w:t>rr_stunting_no_continued_breastfeeding</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635C00" w14:textId="77777777" w:rsidR="00091B09" w:rsidRPr="00091B09" w:rsidRDefault="00091B09" w:rsidP="00091B09">
            <w:pPr>
              <w:pStyle w:val="NoSpacing"/>
            </w:pPr>
            <w:r w:rsidRPr="00091B09">
              <w:t>1.3</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CD6AC7" w14:textId="77777777" w:rsidR="00091B09" w:rsidRPr="00091B09" w:rsidRDefault="00091B09" w:rsidP="00091B09">
            <w:pPr>
              <w:pStyle w:val="NoSpacing"/>
            </w:pPr>
            <w:r w:rsidRPr="00091B09">
              <w:t>dummy</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863B05" w14:textId="77777777" w:rsidR="00091B09" w:rsidRPr="00091B09" w:rsidRDefault="00091B09" w:rsidP="00091B09">
            <w:pPr>
              <w:pStyle w:val="NoSpacing"/>
            </w:pPr>
            <w:r w:rsidRPr="00091B09">
              <w:t>relative risk of stunting for children&lt;2yo without continued breastfeeding</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19309C8" w14:textId="77777777" w:rsidR="00091B09" w:rsidRPr="00091B09" w:rsidRDefault="00091B09" w:rsidP="00091B09">
            <w:pPr>
              <w:pStyle w:val="NoSpacing"/>
            </w:pPr>
            <w:r w:rsidRPr="00091B09">
              <w:t> </w:t>
            </w:r>
          </w:p>
        </w:tc>
      </w:tr>
      <w:tr w:rsidR="00091B09" w:rsidRPr="00091B09" w14:paraId="52AA6D1F" w14:textId="77777777" w:rsidTr="00EC5D76">
        <w:trPr>
          <w:trHeight w:val="320"/>
        </w:trPr>
        <w:tc>
          <w:tcPr>
            <w:tcW w:w="206" w:type="pct"/>
            <w:vMerge/>
            <w:tcBorders>
              <w:top w:val="nil"/>
              <w:left w:val="single" w:sz="8" w:space="0" w:color="auto"/>
              <w:bottom w:val="single" w:sz="8" w:space="0" w:color="000000"/>
              <w:right w:val="single" w:sz="4" w:space="0" w:color="auto"/>
            </w:tcBorders>
            <w:shd w:val="clear" w:color="auto" w:fill="E7E6E6" w:themeFill="background2"/>
            <w:vAlign w:val="center"/>
            <w:hideMark/>
          </w:tcPr>
          <w:p w14:paraId="63229523" w14:textId="77777777" w:rsidR="00091B09" w:rsidRPr="00EC5D76" w:rsidRDefault="00091B09" w:rsidP="00EC5D76">
            <w:pPr>
              <w:pStyle w:val="NoSpacing"/>
              <w:jc w:val="center"/>
              <w:rPr>
                <w:b/>
                <w:bCs/>
              </w:rPr>
            </w:pPr>
          </w:p>
        </w:tc>
        <w:tc>
          <w:tcPr>
            <w:tcW w:w="1491"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40C059EC" w14:textId="77777777" w:rsidR="00091B09" w:rsidRPr="00091B09" w:rsidRDefault="00091B09" w:rsidP="00091B09">
            <w:pPr>
              <w:pStyle w:val="NoSpacing"/>
            </w:pPr>
            <w:proofErr w:type="spellStart"/>
            <w:r w:rsidRPr="00091B09">
              <w:t>rr_stunting_per_diarrhoeal_episode</w:t>
            </w:r>
            <w:proofErr w:type="spellEnd"/>
          </w:p>
        </w:tc>
        <w:tc>
          <w:tcPr>
            <w:tcW w:w="544"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2E469664" w14:textId="77777777" w:rsidR="00091B09" w:rsidRPr="00091B09" w:rsidRDefault="00091B09" w:rsidP="00091B09">
            <w:pPr>
              <w:pStyle w:val="NoSpacing"/>
            </w:pPr>
            <w:r w:rsidRPr="00091B09">
              <w:t>1.04</w:t>
            </w:r>
          </w:p>
        </w:tc>
        <w:tc>
          <w:tcPr>
            <w:tcW w:w="474"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65044421" w14:textId="420D399E" w:rsidR="00091B09" w:rsidRPr="00091B09" w:rsidRDefault="00091B09" w:rsidP="00091B09">
            <w:pPr>
              <w:pStyle w:val="NoSpacing"/>
            </w:pPr>
            <w:r>
              <w:fldChar w:fldCharType="begin" w:fldLock="1"/>
            </w:r>
            <w:r w:rsidR="00C12542">
              <w:instrText>ADDIN CSL_CITATION {"citationItems":[{"id":"ITEM-1","itemData":{"DOI":"10.1016/S0140-6736(07)61693-6","ISSN":"01406736","PMID":"18206226","abstract":"We reviewed interventions that affect maternal and child undernutrition and nutrition-related outcomes. These interventions included promotion of breastfeeding; strategies to promote complementary feeding, with or without provision of food supplements; micronutrient interventions; general supportive strategies to improve family and community nutrition; and reduction of disease burden (promotion of handwashing and strategies to reduce the burden of malaria in pregnancy). We showed that although strategies for breastfeeding promotion have a large effect on survival, their effect on stunting is small. In populations with sufficient food, education about complementary feeding increased height-for-age Z score by 0·25 (95% CI 0·01-0·49), whereas provision of food supplements (with or without education) in populations with insufficient food increased the height-for-age Z score by 0·41 (0·05-0·76). Management of severe acute malnutrition according to WHO guidelines reduced the case-fatality rate by 55% (risk ratio 0·45, 0·32-0·62), and recent studies suggest that newer commodities, such as ready-to-use therapeutic foods, can be used to manage severe acute malnutrition in community settings. Effective micronutrient interventions for pregnant women included supplementation with iron folate (which increased haemoglobin at term by 12 g/L, 2·93-21·07) and micronutrients (which reduced the risk of low birthweight at term by 16% (relative risk 0·84, 0·74-0·95). Recommended micronutrient interventions for children included strategies for supplementation of vitamin A (in the neonatal period and late infancy), preventive zinc supplements, iron supplements for children in areas where malaria is not endemic, and universal promotion of iodised salt. We used a cohort model to assess the potential effect of these interventions on mothers and children in the 36 countries that have 90% of children with stunted linear growth. The model showed that existing interventions that were designed to improve nutrition and prevent related disease could reduce stunting at 36 months by 36%; mortality between birth and 36 months by about 25%; and disability-adjusted life-years associated with stunting, severe wasting, intrauterine growth restriction, and micronutrient deficiencies by about 25%. To eliminate stunting in the longer term, these interventions should be supplemented by improvements in the underlying determinants of undernutrition, such as poverty, poor education, disease burden, …","author":[{"dropping-particle":"","family":"Bhutta","given":"Zulfiqar A.","non-dropping-particle":"","parse-names":false,"suffix":""},{"dropping-particle":"","family":"Ahmed","given":"Tahmeed","non-dropping-particle":"","parse-names":false,"suffix":""},{"dropping-particle":"","family":"Black","given":"Robert E.","non-dropping-particle":"","parse-names":false,"suffix":""},{"dropping-particle":"","family":"Cousens","given":"Simon","non-dropping-particle":"","parse-names":false,"suffix":""},{"dropping-particle":"","family":"Dewey","given":"Kathryn","non-dropping-particle":"","parse-names":false,"suffix":""},{"dropping-particle":"","family":"Giugliani","given":"Elsa","non-dropping-particle":"","parse-names":false,"suffix":""},{"dropping-particle":"","family":"Haider","given":"Batool A.","non-dropping-particle":"","parse-names":false,"suffix":""},{"dropping-particle":"","family":"Kirkwood","given":"Betty","non-dropping-particle":"","parse-names":false,"suffix":""},{"dropping-particle":"","family":"Morris","given":"Saul S.","non-dropping-particle":"","parse-names":false,"suffix":""},{"dropping-particle":"","family":"Sachdev","given":"HPS","non-dropping-particle":"","parse-names":false,"suffix":""},{"dropping-particle":"","family":"Shekar","given":"Meera","non-dropping-particle":"","parse-names":false,"suffix":""}],"container-title":"The Lancet","id":"ITEM-1","issue":"9610","issued":{"date-parts":[["2008","2","2"]]},"page":"417-440","publisher":"Elsevier B.V.","title":"What works? Interventions for maternal and child undernutrition and survival","type":"article","volume":"371"},"uris":["http://www.mendeley.com/documents/?uuid=aaa91e9a-7ee3-33e7-8ac5-46dde67905dd"]}],"mendeley":{"formattedCitation":"&lt;sup&gt;24&lt;/sup&gt;","plainTextFormattedCitation":"24","previouslyFormattedCitation":"&lt;sup&gt;24&lt;/sup&gt;"},"properties":{"noteIndex":0},"schema":"https://github.com/citation-style-language/schema/raw/master/csl-citation.json"}</w:instrText>
            </w:r>
            <w:r>
              <w:fldChar w:fldCharType="separate"/>
            </w:r>
            <w:r w:rsidR="00C12542" w:rsidRPr="00C12542">
              <w:rPr>
                <w:noProof/>
                <w:vertAlign w:val="superscript"/>
              </w:rPr>
              <w:t>24</w:t>
            </w:r>
            <w:r>
              <w:fldChar w:fldCharType="end"/>
            </w:r>
          </w:p>
        </w:tc>
        <w:tc>
          <w:tcPr>
            <w:tcW w:w="1557"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6FB6A2F7" w14:textId="2D187388" w:rsidR="00091B09" w:rsidRPr="00091B09" w:rsidRDefault="00560CCF" w:rsidP="00091B09">
            <w:pPr>
              <w:pStyle w:val="NoSpacing"/>
            </w:pPr>
            <w:r>
              <w:t xml:space="preserve">Relative risk of stunting per 1 unit </w:t>
            </w:r>
            <w:proofErr w:type="gramStart"/>
            <w:r>
              <w:t>increase</w:t>
            </w:r>
            <w:proofErr w:type="gramEnd"/>
            <w:r>
              <w:t xml:space="preserve"> in diarrhoea episodes since birth</w:t>
            </w:r>
          </w:p>
        </w:tc>
        <w:tc>
          <w:tcPr>
            <w:tcW w:w="7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4C96DD08" w14:textId="77777777" w:rsidR="00091B09" w:rsidRPr="00091B09" w:rsidRDefault="00091B09" w:rsidP="00091B09">
            <w:pPr>
              <w:pStyle w:val="NoSpacing"/>
            </w:pPr>
            <w:r w:rsidRPr="00091B09">
              <w:t> </w:t>
            </w:r>
          </w:p>
        </w:tc>
      </w:tr>
      <w:tr w:rsidR="00091B09" w:rsidRPr="00091B09" w14:paraId="2A9ABE9A" w14:textId="77777777" w:rsidTr="00EC5D76">
        <w:trPr>
          <w:trHeight w:val="310"/>
        </w:trPr>
        <w:tc>
          <w:tcPr>
            <w:tcW w:w="206" w:type="pct"/>
            <w:vMerge w:val="restart"/>
            <w:tcBorders>
              <w:top w:val="nil"/>
              <w:left w:val="single" w:sz="8" w:space="0" w:color="auto"/>
              <w:bottom w:val="nil"/>
              <w:right w:val="single" w:sz="4" w:space="0" w:color="auto"/>
            </w:tcBorders>
            <w:shd w:val="clear" w:color="auto" w:fill="E7E6E6" w:themeFill="background2"/>
            <w:noWrap/>
            <w:tcMar>
              <w:top w:w="15" w:type="dxa"/>
              <w:left w:w="15" w:type="dxa"/>
              <w:bottom w:w="0" w:type="dxa"/>
              <w:right w:w="15" w:type="dxa"/>
            </w:tcMar>
            <w:textDirection w:val="btLr"/>
            <w:vAlign w:val="bottom"/>
            <w:hideMark/>
          </w:tcPr>
          <w:p w14:paraId="6F2929B5" w14:textId="77777777" w:rsidR="00091B09" w:rsidRPr="00EC5D76" w:rsidRDefault="00091B09" w:rsidP="00EC5D76">
            <w:pPr>
              <w:pStyle w:val="NoSpacing"/>
              <w:jc w:val="center"/>
              <w:rPr>
                <w:b/>
                <w:bCs/>
              </w:rPr>
            </w:pPr>
            <w:r w:rsidRPr="00EC5D76">
              <w:rPr>
                <w:b/>
                <w:bCs/>
              </w:rPr>
              <w:t>Progression</w:t>
            </w: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31F0BA" w14:textId="77777777" w:rsidR="00091B09" w:rsidRPr="00091B09" w:rsidRDefault="00091B09" w:rsidP="00091B09">
            <w:pPr>
              <w:pStyle w:val="NoSpacing"/>
            </w:pPr>
            <w:proofErr w:type="spellStart"/>
            <w:r w:rsidRPr="00091B09">
              <w:t>progression_severe_stunting_by_agegp</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ECDFAC" w14:textId="77777777" w:rsidR="00091B09" w:rsidRPr="00091B09" w:rsidRDefault="00091B09" w:rsidP="00091B09">
            <w:pPr>
              <w:pStyle w:val="NoSpacing"/>
            </w:pPr>
            <w:r w:rsidRPr="00091B09">
              <w:t>[0.02,0.03,0.09,0.05,0.04,0.03]</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D83A1" w14:textId="591C271E" w:rsidR="00091B09" w:rsidRPr="00091B09" w:rsidRDefault="00091B09"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{"citationItems":[{"id":"ITEM-1","itemData":{"DOI":"10.1046/j.1365-3016.2003.00519.x","ISSN":"02695022","PMID":"14629321","abstract":"We prospectively followed up a population-based cohort of 767 rural Malawian children from birth to 36 months to characterise the timing and predictors of malnutrition. Underweight and wasting incidence peaked between 6 and 18 months of age, whereas stunting incidence was highest during the first 6 months of age. After infancy about 40% of the children were underweight, 70% stunted, and about 4% wasted. Small size during the first 3 months of life predicted the incidence of severe underweight (relative risk [95% confidence interval], 1.8 [0.9, 3.4]), severe stunting (2.1 [1.3, 3.4]), and moderate wasting (2.0 [1.1, 3.5]). Children with many illness episodes in infancy had a twofold risk for the development of severe underweight and moderate wasting. Severe underweight was further predicted by residence far away from a health facility and moderate wasting by maternal HIV infection. Our conclusion is that the intrauterine period and first 6 months of life are critical for the development of stunting whereas the subsequent year is more critical for the development of underweight and wasting. Strategies combating intrauterine growth retardation, maternal HIV and infant morbidity are likely to reduce the burden of malnutrition in this population.","author":[{"dropping-particle":"","family":"Maleta","given":"Kenneth","non-dropping-particle":"","parse-names":false,"suffix":""},{"dropping-particle":"","family":"Virtanen","given":"Suvi M.","non-dropping-particle":"","parse-names":false,"suffix":""},{"dropping-particle":"","family":"Espo","given":"Merimaaria","non-dropping-particle":"","parse-names":false,"suffix":""},{"dropping-particle":"","family":"Kulmala","given":"Teija","non-dropping-particle":"","parse-names":false,"suffix":""},{"dropping-particle":"","family":"Ashorn","given":"Per","non-dropping-particle":"","parse-names":false,"suffix":""}],"container-title":"Paediatric and Perinatal Epidemiology","id":"ITEM-1","issue":"4","issued":{"date-parts":[["2003","10"]]},"page":"384-390","title":"Childhood malnutrition and its predictors in rural Malawi","type":"article-journal","volume":"17"},"uris":["http://www.mendeley.com/documents/?uuid=ae85bf81-f3e5-3c6e-bda8-3c96df5631b4"]}],"mendeley":{"formattedCitation":"&lt;sup&gt;11&lt;/sup&gt;","plainTextFormattedCitation":"11","previouslyFormattedCitation":"&lt;sup&gt;11&lt;/sup&gt;"},"properties":{"noteIndex":0},"schema":"https://github.com/citation-style-language/schema/raw/master/csl-citation.json"}</w:instrText>
            </w:r>
            <w:r>
              <w:rPr>
                <w:rFonts w:ascii="Calibri" w:hAnsi="Calibri" w:cs="Calibri"/>
                <w:color w:val="000000"/>
                <w:szCs w:val="21"/>
                <w:lang w:eastAsia="en-GB"/>
              </w:rPr>
              <w:fldChar w:fldCharType="separate"/>
            </w:r>
            <w:r w:rsidRPr="00437F19">
              <w:rPr>
                <w:rFonts w:ascii="Calibri" w:hAnsi="Calibri" w:cs="Calibri"/>
                <w:noProof/>
                <w:color w:val="000000"/>
                <w:szCs w:val="21"/>
                <w:vertAlign w:val="superscript"/>
                <w:lang w:eastAsia="en-GB"/>
              </w:rPr>
              <w:t>11</w:t>
            </w:r>
            <w:r>
              <w:rPr>
                <w:rFonts w:ascii="Calibri" w:hAnsi="Calibri" w:cs="Calibri"/>
                <w:color w:val="000000"/>
                <w:szCs w:val="21"/>
                <w:lang w:eastAsia="en-GB"/>
              </w:rP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BF8F87" w14:textId="77777777" w:rsidR="00091B09" w:rsidRPr="00091B09" w:rsidRDefault="00091B09" w:rsidP="00091B09">
            <w:pPr>
              <w:pStyle w:val="NoSpacing"/>
            </w:pPr>
            <w:r w:rsidRPr="00091B09">
              <w:t>risk of progression to severe stunting (HAZ&lt;-3) by age group</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8F2184A" w14:textId="77777777" w:rsidR="00091B09" w:rsidRPr="00091B09" w:rsidRDefault="00091B09" w:rsidP="00091B09">
            <w:pPr>
              <w:pStyle w:val="NoSpacing"/>
            </w:pPr>
            <w:r w:rsidRPr="00091B09">
              <w:t> </w:t>
            </w:r>
          </w:p>
        </w:tc>
      </w:tr>
      <w:tr w:rsidR="00091B09" w:rsidRPr="00091B09" w14:paraId="1C5BA2E4" w14:textId="77777777" w:rsidTr="00EC5D76">
        <w:trPr>
          <w:trHeight w:val="310"/>
        </w:trPr>
        <w:tc>
          <w:tcPr>
            <w:tcW w:w="206" w:type="pct"/>
            <w:vMerge/>
            <w:tcBorders>
              <w:top w:val="nil"/>
              <w:left w:val="single" w:sz="8" w:space="0" w:color="auto"/>
              <w:bottom w:val="nil"/>
              <w:right w:val="single" w:sz="4" w:space="0" w:color="auto"/>
            </w:tcBorders>
            <w:shd w:val="clear" w:color="auto" w:fill="E7E6E6" w:themeFill="background2"/>
            <w:vAlign w:val="center"/>
            <w:hideMark/>
          </w:tcPr>
          <w:p w14:paraId="0D8EED1E"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2B6334" w14:textId="77777777" w:rsidR="00091B09" w:rsidRPr="00091B09" w:rsidRDefault="00091B09" w:rsidP="00091B09">
            <w:pPr>
              <w:pStyle w:val="NoSpacing"/>
            </w:pPr>
            <w:proofErr w:type="spellStart"/>
            <w:r w:rsidRPr="00091B09">
              <w:t>rr_progress_severe_stunting_previous_wasting</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898A6B" w14:textId="481D2DB8" w:rsidR="00091B09" w:rsidRPr="00091B09" w:rsidRDefault="00EC5D76" w:rsidP="00091B09">
            <w:pPr>
              <w:pStyle w:val="NoSpacing"/>
            </w:pPr>
            <w:r w:rsidRPr="00091B09">
              <w:t>1.93</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0247A" w14:textId="656CAA55" w:rsidR="00091B09" w:rsidRPr="00091B09" w:rsidRDefault="00B24E4C" w:rsidP="00091B09">
            <w:pPr>
              <w:pStyle w:val="NoSpacing"/>
            </w:pPr>
            <w:r>
              <w:fldChar w:fldCharType="begin" w:fldLock="1"/>
            </w:r>
            <w:r w:rsidR="00C12542">
              <w:instrText>ADDIN CSL_CITATION {"citationItems":[{"id":"ITEM-1","itemData":{"DOI":"10.1093/jn/nxab054","ISSN":"0022-3166","abstract":"This work was initially supported by a Medical Research Council PhD studentship grant number MR/K500847/1 DTG. The individual cohorts were funded from a wide ranges of sources: Lungwena Child Survival Study (LCSS): Academy of Finland, Emil Aaltonen Foundation, Foundation for …","author":[{"dropping-particle":"","family":"Wright","given":"Charlotte M","non-dropping-particle":"","parse-names":false,"suffix":""},{"dropping-particle":"","family":"Macpherson","given":"John","non-dropping-particle":"","parse-names":false,"suffix":""},{"dropping-particle":"","family":"Bland","given":"Ruth","non-dropping-particle":"","parse-names":false,"suffix":""},{"dropping-particle":"","family":"Ashorn","given":"Per","non-dropping-particle":"","parse-names":false,"suffix":""},{"dropping-particle":"","family":"Zaman","given":"Shakila","non-dropping-particle":"","parse-names":false,"suffix":""},{"dropping-particle":"","family":"Ho","given":"Frederick K","non-dropping-particle":"","parse-names":false,"suffix":""}],"container-title":"The Journal of Nutrition","id":"ITEM-1","issued":{"date-parts":[["2021","4","8"]]},"publisher":"Oxford University Press (OUP)","title":"Wasting and Stunting in Infants and Young Children as Risk Factors for Subsequent Stunting or Mortality: Longitudinal Analysis of Data from Malawi, South Africa, and Pakistan","type":"article-journal"},"uris":["http://www.mendeley.com/documents/?uuid=a32ec536-d1d8-378f-9d61-30ad422598f1"]}],"mendeley":{"formattedCitation":"&lt;sup&gt;23&lt;/sup&gt;","plainTextFormattedCitation":"23","previouslyFormattedCitation":"&lt;sup&gt;23&lt;/sup&gt;"},"properties":{"noteIndex":0},"schema":"https://github.com/citation-style-language/schema/raw/master/csl-citation.json"}</w:instrText>
            </w:r>
            <w:r>
              <w:fldChar w:fldCharType="separate"/>
            </w:r>
            <w:r w:rsidR="00C12542" w:rsidRPr="00C12542">
              <w:rPr>
                <w:noProof/>
                <w:vertAlign w:val="superscript"/>
              </w:rPr>
              <w:t>23</w:t>
            </w:r>
            <w: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D45508" w14:textId="10A92F82" w:rsidR="00091B09" w:rsidRPr="00091B09" w:rsidRDefault="00B24E4C" w:rsidP="00091B09">
            <w:pPr>
              <w:pStyle w:val="NoSpacing"/>
            </w:pPr>
            <w:r w:rsidRPr="00B24E4C">
              <w:t>relative risk of severe stunting if wasting occurred during current stunting</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5CEDF5B" w14:textId="4E1D456F" w:rsidR="00091B09" w:rsidRPr="00091B09" w:rsidRDefault="00B24E4C" w:rsidP="00091B09">
            <w:pPr>
              <w:pStyle w:val="NoSpacing"/>
            </w:pPr>
            <w:r>
              <w:t>Assumed same value as</w:t>
            </w:r>
            <w:r w:rsidR="00091B09" w:rsidRPr="00091B09">
              <w:t> </w:t>
            </w:r>
            <w:proofErr w:type="spellStart"/>
            <w:r w:rsidRPr="00091B09">
              <w:t>rr_stunting_prior_wasting</w:t>
            </w:r>
            <w:proofErr w:type="spellEnd"/>
          </w:p>
        </w:tc>
      </w:tr>
      <w:tr w:rsidR="00091B09" w:rsidRPr="00091B09" w14:paraId="797630CF" w14:textId="77777777" w:rsidTr="00EC5D76">
        <w:trPr>
          <w:trHeight w:val="310"/>
        </w:trPr>
        <w:tc>
          <w:tcPr>
            <w:tcW w:w="206" w:type="pct"/>
            <w:vMerge/>
            <w:tcBorders>
              <w:top w:val="nil"/>
              <w:left w:val="single" w:sz="8" w:space="0" w:color="auto"/>
              <w:bottom w:val="nil"/>
              <w:right w:val="single" w:sz="4" w:space="0" w:color="auto"/>
            </w:tcBorders>
            <w:shd w:val="clear" w:color="auto" w:fill="E7E6E6" w:themeFill="background2"/>
            <w:vAlign w:val="center"/>
            <w:hideMark/>
          </w:tcPr>
          <w:p w14:paraId="0284CFFC" w14:textId="77777777" w:rsidR="00091B09" w:rsidRPr="00EC5D76" w:rsidRDefault="00091B09" w:rsidP="00EC5D76">
            <w:pPr>
              <w:pStyle w:val="NoSpacing"/>
              <w:jc w:val="center"/>
              <w:rPr>
                <w:b/>
                <w:bCs/>
              </w:rPr>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2BB124" w14:textId="77777777" w:rsidR="00091B09" w:rsidRPr="00091B09" w:rsidRDefault="00091B09" w:rsidP="00091B09">
            <w:pPr>
              <w:pStyle w:val="NoSpacing"/>
            </w:pPr>
            <w:proofErr w:type="spellStart"/>
            <w:r w:rsidRPr="00091B09">
              <w:t>rr_progress_severe_stunting_untreated_HIV</w:t>
            </w:r>
            <w:proofErr w:type="spellEnd"/>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378D91" w14:textId="77777777" w:rsidR="00091B09" w:rsidRPr="00091B09" w:rsidRDefault="00091B09" w:rsidP="00091B09">
            <w:pPr>
              <w:pStyle w:val="NoSpacing"/>
            </w:pPr>
            <w:r w:rsidRPr="00091B09">
              <w:t>1.3</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3EDC34" w14:textId="673F041F" w:rsidR="00091B09" w:rsidRPr="00091B09" w:rsidRDefault="00EC5D76" w:rsidP="00091B09">
            <w:pPr>
              <w:pStyle w:val="NoSpacing"/>
            </w:pPr>
            <w:r>
              <w:t>dummy</w:t>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92795A" w14:textId="721F577F" w:rsidR="00091B09" w:rsidRPr="00091B09" w:rsidRDefault="00091B09" w:rsidP="00091B09">
            <w:pPr>
              <w:pStyle w:val="NoSpacing"/>
            </w:pPr>
            <w:r w:rsidRPr="00091B09">
              <w:t> </w:t>
            </w:r>
            <w:r w:rsidR="00B24E4C" w:rsidRPr="00B24E4C">
              <w:t>relative risk of severe stunting if untreated HIV status</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59464FF4" w14:textId="77777777" w:rsidR="00091B09" w:rsidRPr="00091B09" w:rsidRDefault="00091B09" w:rsidP="00091B09">
            <w:pPr>
              <w:pStyle w:val="NoSpacing"/>
            </w:pPr>
            <w:r w:rsidRPr="00091B09">
              <w:t> </w:t>
            </w:r>
          </w:p>
        </w:tc>
      </w:tr>
      <w:tr w:rsidR="00091B09" w:rsidRPr="00091B09" w14:paraId="60A433CD" w14:textId="77777777" w:rsidTr="00EC5D76">
        <w:trPr>
          <w:trHeight w:val="310"/>
        </w:trPr>
        <w:tc>
          <w:tcPr>
            <w:tcW w:w="206" w:type="pct"/>
            <w:vMerge/>
            <w:tcBorders>
              <w:top w:val="nil"/>
              <w:left w:val="single" w:sz="8" w:space="0" w:color="auto"/>
              <w:bottom w:val="nil"/>
              <w:right w:val="single" w:sz="4" w:space="0" w:color="auto"/>
            </w:tcBorders>
            <w:shd w:val="clear" w:color="auto" w:fill="E7E6E6" w:themeFill="background2"/>
            <w:vAlign w:val="center"/>
            <w:hideMark/>
          </w:tcPr>
          <w:p w14:paraId="463B67FD" w14:textId="77777777" w:rsidR="00091B09" w:rsidRPr="00EC5D76" w:rsidRDefault="00091B09" w:rsidP="00EC5D76">
            <w:pPr>
              <w:pStyle w:val="NoSpacing"/>
              <w:jc w:val="center"/>
              <w:rPr>
                <w:b/>
                <w:bCs/>
              </w:rPr>
            </w:pPr>
          </w:p>
        </w:tc>
        <w:tc>
          <w:tcPr>
            <w:tcW w:w="1491" w:type="pct"/>
            <w:tcBorders>
              <w:top w:val="nil"/>
              <w:left w:val="nil"/>
              <w:bottom w:val="nil"/>
              <w:right w:val="nil"/>
            </w:tcBorders>
            <w:shd w:val="clear" w:color="auto" w:fill="auto"/>
            <w:noWrap/>
            <w:tcMar>
              <w:top w:w="15" w:type="dxa"/>
              <w:left w:w="15" w:type="dxa"/>
              <w:bottom w:w="0" w:type="dxa"/>
              <w:right w:w="15" w:type="dxa"/>
            </w:tcMar>
            <w:vAlign w:val="bottom"/>
            <w:hideMark/>
          </w:tcPr>
          <w:p w14:paraId="7011393D" w14:textId="77777777" w:rsidR="00091B09" w:rsidRPr="00091B09" w:rsidRDefault="00091B09" w:rsidP="00091B09">
            <w:pPr>
              <w:pStyle w:val="NoSpacing"/>
            </w:pPr>
            <w:proofErr w:type="spellStart"/>
            <w:r w:rsidRPr="00091B09">
              <w:t>rr_progress_severe_stunting_per_diarrhoeal_episode</w:t>
            </w:r>
            <w:proofErr w:type="spellEnd"/>
          </w:p>
        </w:tc>
        <w:tc>
          <w:tcPr>
            <w:tcW w:w="544" w:type="pct"/>
            <w:tcBorders>
              <w:top w:val="nil"/>
              <w:left w:val="nil"/>
              <w:bottom w:val="nil"/>
              <w:right w:val="nil"/>
            </w:tcBorders>
            <w:shd w:val="clear" w:color="auto" w:fill="auto"/>
            <w:noWrap/>
            <w:tcMar>
              <w:top w:w="15" w:type="dxa"/>
              <w:left w:w="15" w:type="dxa"/>
              <w:bottom w:w="0" w:type="dxa"/>
              <w:right w:w="15" w:type="dxa"/>
            </w:tcMar>
            <w:vAlign w:val="bottom"/>
            <w:hideMark/>
          </w:tcPr>
          <w:p w14:paraId="5FCDBB51" w14:textId="77777777" w:rsidR="00091B09" w:rsidRPr="00091B09" w:rsidRDefault="00091B09" w:rsidP="00091B09">
            <w:pPr>
              <w:pStyle w:val="NoSpacing"/>
            </w:pPr>
            <w:r w:rsidRPr="00091B09">
              <w:t>1.04</w:t>
            </w:r>
          </w:p>
        </w:tc>
        <w:tc>
          <w:tcPr>
            <w:tcW w:w="47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97EA77" w14:textId="0C2FFE5B" w:rsidR="00091B09" w:rsidRPr="00091B09" w:rsidRDefault="00091B09" w:rsidP="00091B09">
            <w:pPr>
              <w:pStyle w:val="NoSpacing"/>
            </w:pPr>
            <w:r>
              <w:fldChar w:fldCharType="begin" w:fldLock="1"/>
            </w:r>
            <w:r w:rsidR="00C12542">
              <w:instrText>ADDIN CSL_CITATION {"citationItems":[{"id":"ITEM-1","itemData":{"DOI":"10.1016/S0140-6736(07)61693-6","ISSN":"01406736","PMID":"18206226","abstract":"We reviewed interventions that affect maternal and child undernutrition and nutrition-related outcomes. These interventions included promotion of breastfeeding; strategies to promote complementary feeding, with or without provision of food supplements; micronutrient interventions; general supportive strategies to improve family and community nutrition; and reduction of disease burden (promotion of handwashing and strategies to reduce the burden of malaria in pregnancy). We showed that although strategies for breastfeeding promotion have a large effect on survival, their effect on stunting is small. In populations with sufficient food, education about complementary feeding increased height-for-age Z score by 0·25 (95% CI 0·01-0·49), whereas provision of food supplements (with or without education) in populations with insufficient food increased the height-for-age Z score by 0·41 (0·05-0·76). Management of severe acute malnutrition according to WHO guidelines reduced the case-fatality rate by 55% (risk ratio 0·45, 0·32-0·62), and recent studies suggest that newer commodities, such as ready-to-use therapeutic foods, can be used to manage severe acute malnutrition in community settings. Effective micronutrient interventions for pregnant women included supplementation with iron folate (which increased haemoglobin at term by 12 g/L, 2·93-21·07) and micronutrients (which reduced the risk of low birthweight at term by 16% (relative risk 0·84, 0·74-0·95). Recommended micronutrient interventions for children included strategies for supplementation of vitamin A (in the neonatal period and late infancy), preventive zinc supplements, iron supplements for children in areas where malaria is not endemic, and universal promotion of iodised salt. We used a cohort model to assess the potential effect of these interventions on mothers and children in the 36 countries that have 90% of children with stunted linear growth. The model showed that existing interventions that were designed to improve nutrition and prevent related disease could reduce stunting at 36 months by 36%; mortality between birth and 36 months by about 25%; and disability-adjusted life-years associated with stunting, severe wasting, intrauterine growth restriction, and micronutrient deficiencies by about 25%. To eliminate stunting in the longer term, these interventions should be supplemented by improvements in the underlying determinants of undernutrition, such as poverty, poor education, disease burden, …","author":[{"dropping-particle":"","family":"Bhutta","given":"Zulfiqar A.","non-dropping-particle":"","parse-names":false,"suffix":""},{"dropping-particle":"","family":"Ahmed","given":"Tahmeed","non-dropping-particle":"","parse-names":false,"suffix":""},{"dropping-particle":"","family":"Black","given":"Robert E.","non-dropping-particle":"","parse-names":false,"suffix":""},{"dropping-particle":"","family":"Cousens","given":"Simon","non-dropping-particle":"","parse-names":false,"suffix":""},{"dropping-particle":"","family":"Dewey","given":"Kathryn","non-dropping-particle":"","parse-names":false,"suffix":""},{"dropping-particle":"","family":"Giugliani","given":"Elsa","non-dropping-particle":"","parse-names":false,"suffix":""},{"dropping-particle":"","family":"Haider","given":"Batool A.","non-dropping-particle":"","parse-names":false,"suffix":""},{"dropping-particle":"","family":"Kirkwood","given":"Betty","non-dropping-particle":"","parse-names":false,"suffix":""},{"dropping-particle":"","family":"Morris","given":"Saul S.","non-dropping-particle":"","parse-names":false,"suffix":""},{"dropping-particle":"","family":"Sachdev","given":"HPS","non-dropping-particle":"","parse-names":false,"suffix":""},{"dropping-particle":"","family":"Shekar","given":"Meera","non-dropping-particle":"","parse-names":false,"suffix":""}],"container-title":"The Lancet","id":"ITEM-1","issue":"9610","issued":{"date-parts":[["2008","2","2"]]},"page":"417-440","publisher":"Elsevier B.V.","title":"What works? Interventions for maternal and child undernutrition and survival","type":"article","volume":"371"},"uris":["http://www.mendeley.com/documents/?uuid=aaa91e9a-7ee3-33e7-8ac5-46dde67905dd"]}],"mendeley":{"formattedCitation":"&lt;sup&gt;24&lt;/sup&gt;","plainTextFormattedCitation":"24","previouslyFormattedCitation":"&lt;sup&gt;24&lt;/sup&gt;"},"properties":{"noteIndex":0},"schema":"https://github.com/citation-style-language/schema/raw/master/csl-citation.json"}</w:instrText>
            </w:r>
            <w:r>
              <w:fldChar w:fldCharType="separate"/>
            </w:r>
            <w:r w:rsidR="00C12542" w:rsidRPr="00C12542">
              <w:rPr>
                <w:noProof/>
                <w:vertAlign w:val="superscript"/>
              </w:rPr>
              <w:t>24</w:t>
            </w:r>
            <w: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0AC17B" w14:textId="20205B7C" w:rsidR="00091B09" w:rsidRPr="00091B09" w:rsidRDefault="00091B09" w:rsidP="00091B09">
            <w:pPr>
              <w:pStyle w:val="NoSpacing"/>
            </w:pPr>
            <w:r w:rsidRPr="00091B09">
              <w:t> </w:t>
            </w:r>
            <w:r w:rsidR="00B24E4C" w:rsidRPr="00B24E4C">
              <w:t>relative risk of severe stunting if per diarrhoeal episode</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CAD550A" w14:textId="77777777" w:rsidR="00091B09" w:rsidRPr="00091B09" w:rsidRDefault="00091B09" w:rsidP="00091B09">
            <w:pPr>
              <w:pStyle w:val="NoSpacing"/>
            </w:pPr>
            <w:r w:rsidRPr="00091B09">
              <w:t> </w:t>
            </w:r>
          </w:p>
        </w:tc>
      </w:tr>
      <w:tr w:rsidR="00091B09" w:rsidRPr="00091B09" w14:paraId="7A81322C" w14:textId="77777777" w:rsidTr="00EC5D76">
        <w:trPr>
          <w:trHeight w:val="320"/>
        </w:trPr>
        <w:tc>
          <w:tcPr>
            <w:tcW w:w="206" w:type="pct"/>
            <w:vMerge/>
            <w:tcBorders>
              <w:top w:val="nil"/>
              <w:left w:val="single" w:sz="8" w:space="0" w:color="auto"/>
              <w:bottom w:val="nil"/>
              <w:right w:val="single" w:sz="4" w:space="0" w:color="auto"/>
            </w:tcBorders>
            <w:shd w:val="clear" w:color="auto" w:fill="E7E6E6" w:themeFill="background2"/>
            <w:vAlign w:val="center"/>
            <w:hideMark/>
          </w:tcPr>
          <w:p w14:paraId="16643124" w14:textId="77777777" w:rsidR="00091B09" w:rsidRPr="00EC5D76" w:rsidRDefault="00091B09" w:rsidP="00EC5D76">
            <w:pPr>
              <w:pStyle w:val="NoSpacing"/>
              <w:jc w:val="center"/>
              <w:rPr>
                <w:b/>
                <w:bCs/>
              </w:rPr>
            </w:pPr>
          </w:p>
        </w:tc>
        <w:tc>
          <w:tcPr>
            <w:tcW w:w="1491" w:type="pct"/>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center"/>
            <w:hideMark/>
          </w:tcPr>
          <w:p w14:paraId="1CBDFA9C" w14:textId="77777777" w:rsidR="00091B09" w:rsidRPr="00091B09" w:rsidRDefault="00091B09" w:rsidP="00091B09">
            <w:pPr>
              <w:pStyle w:val="NoSpacing"/>
            </w:pPr>
            <w:r w:rsidRPr="00091B09">
              <w:t>prob_remained_stunted_in_the_next_3months</w:t>
            </w:r>
          </w:p>
        </w:tc>
        <w:tc>
          <w:tcPr>
            <w:tcW w:w="544" w:type="pct"/>
            <w:tcBorders>
              <w:top w:val="single" w:sz="4" w:space="0" w:color="auto"/>
              <w:left w:val="nil"/>
              <w:bottom w:val="nil"/>
              <w:right w:val="single" w:sz="4" w:space="0" w:color="auto"/>
            </w:tcBorders>
            <w:shd w:val="clear" w:color="auto" w:fill="auto"/>
            <w:tcMar>
              <w:top w:w="15" w:type="dxa"/>
              <w:left w:w="15" w:type="dxa"/>
              <w:bottom w:w="0" w:type="dxa"/>
              <w:right w:w="15" w:type="dxa"/>
            </w:tcMar>
            <w:vAlign w:val="center"/>
            <w:hideMark/>
          </w:tcPr>
          <w:p w14:paraId="3F4405EB" w14:textId="77777777" w:rsidR="00091B09" w:rsidRPr="00091B09" w:rsidRDefault="00091B09" w:rsidP="00091B09">
            <w:pPr>
              <w:pStyle w:val="NoSpacing"/>
            </w:pPr>
            <w:r w:rsidRPr="00091B09">
              <w:t>0.873</w:t>
            </w:r>
          </w:p>
        </w:tc>
        <w:tc>
          <w:tcPr>
            <w:tcW w:w="474" w:type="pct"/>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FA3DAA5" w14:textId="10A0A249" w:rsidR="00091B09" w:rsidRPr="00091B09" w:rsidRDefault="0027147C" w:rsidP="00091B09">
            <w:pPr>
              <w:pStyle w:val="NoSpacing"/>
            </w:pPr>
            <w:r>
              <w:fldChar w:fldCharType="begin" w:fldLock="1"/>
            </w:r>
            <w:r w:rsidR="00C12542">
              <w:instrText>ADDIN CSL_CITATION {"citationItems":[{"id":"ITEM-1","itemData":{"DOI":"10.1093/jn/nxab054","ISSN":"0022-3166","abstract":"This work was initially supported by a Medical Research Council PhD studentship grant number MR/K500847/1 DTG. The individual cohorts were funded from a wide ranges of sources: Lungwena Child Survival Study (LCSS): Academy of Finland, Emil Aaltonen Foundation, Foundation for …","author":[{"dropping-particle":"","family":"Wright","given":"Charlotte M","non-dropping-particle":"","parse-names":false,"suffix":""},{"dropping-particle":"","family":"Macpherson","given":"John","non-dropping-particle":"","parse-names":false,"suffix":""},{"dropping-particle":"","family":"Bland","given":"Ruth","non-dropping-particle":"","parse-names":false,"suffix":""},{"dropping-particle":"","family":"Ashorn","given":"Per","non-dropping-particle":"","parse-names":false,"suffix":""},{"dropping-particle":"","family":"Zaman","given":"Shakila","non-dropping-particle":"","parse-names":false,"suffix":""},{"dropping-particle":"","family":"Ho","given":"Frederick K","non-dropping-particle":"","parse-names":false,"suffix":""}],"container-title":"The Journal of Nutrition","id":"ITEM-1","issued":{"date-parts":[["2021","4","8"]]},"publisher":"Oxford University Press (OUP)","title":"Wasting and Stunting in Infants and Young Children as Risk Factors for Subsequent Stunting or Mortality: Longitudinal Analysis of Data from Malawi, South Africa, and Pakistan","type":"article-journal"},"uris":["http://www.mendeley.com/documents/?uuid=a32ec536-d1d8-378f-9d61-30ad422598f1"]}],"mendeley":{"formattedCitation":"&lt;sup&gt;23&lt;/sup&gt;","plainTextFormattedCitation":"23","previouslyFormattedCitation":"&lt;sup&gt;23&lt;/sup&gt;"},"properties":{"noteIndex":0},"schema":"https://github.com/citation-style-language/schema/raw/master/csl-citation.json"}</w:instrText>
            </w:r>
            <w:r>
              <w:fldChar w:fldCharType="separate"/>
            </w:r>
            <w:r w:rsidR="00C12542" w:rsidRPr="00C12542">
              <w:rPr>
                <w:noProof/>
                <w:vertAlign w:val="superscript"/>
              </w:rPr>
              <w:t>23</w:t>
            </w:r>
            <w:r>
              <w:fldChar w:fldCharType="end"/>
            </w:r>
          </w:p>
        </w:tc>
        <w:tc>
          <w:tcPr>
            <w:tcW w:w="1557" w:type="pct"/>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C07B05A" w14:textId="0FC9F43F" w:rsidR="00091B09" w:rsidRPr="00091B09" w:rsidRDefault="00091B09" w:rsidP="00091B09">
            <w:pPr>
              <w:pStyle w:val="NoSpacing"/>
            </w:pPr>
            <w:r w:rsidRPr="00091B09">
              <w:t> </w:t>
            </w:r>
            <w:r w:rsidR="00B24E4C" w:rsidRPr="00B24E4C">
              <w:t>probability of remaining stunted for the next 3 months</w:t>
            </w:r>
          </w:p>
        </w:tc>
        <w:tc>
          <w:tcPr>
            <w:tcW w:w="7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0E054052" w14:textId="77777777" w:rsidR="00091B09" w:rsidRPr="00091B09" w:rsidRDefault="00091B09" w:rsidP="00091B09">
            <w:pPr>
              <w:pStyle w:val="NoSpacing"/>
            </w:pPr>
            <w:r w:rsidRPr="00091B09">
              <w:t> </w:t>
            </w:r>
          </w:p>
        </w:tc>
      </w:tr>
      <w:tr w:rsidR="00091B09" w:rsidRPr="00091B09" w14:paraId="68752711" w14:textId="77777777" w:rsidTr="00EC5D76">
        <w:trPr>
          <w:trHeight w:val="310"/>
        </w:trPr>
        <w:tc>
          <w:tcPr>
            <w:tcW w:w="206" w:type="pct"/>
            <w:vMerge w:val="restart"/>
            <w:tcBorders>
              <w:top w:val="single" w:sz="8" w:space="0" w:color="auto"/>
              <w:left w:val="single" w:sz="8" w:space="0" w:color="auto"/>
              <w:bottom w:val="single" w:sz="8" w:space="0" w:color="000000"/>
              <w:right w:val="single" w:sz="4" w:space="0" w:color="auto"/>
            </w:tcBorders>
            <w:shd w:val="clear" w:color="auto" w:fill="E7E6E6" w:themeFill="background2"/>
            <w:noWrap/>
            <w:tcMar>
              <w:top w:w="15" w:type="dxa"/>
              <w:left w:w="15" w:type="dxa"/>
              <w:bottom w:w="0" w:type="dxa"/>
              <w:right w:w="15" w:type="dxa"/>
            </w:tcMar>
            <w:textDirection w:val="btLr"/>
            <w:vAlign w:val="bottom"/>
            <w:hideMark/>
          </w:tcPr>
          <w:p w14:paraId="496EBE84" w14:textId="77777777" w:rsidR="00091B09" w:rsidRPr="00EC5D76" w:rsidRDefault="00091B09" w:rsidP="00EC5D76">
            <w:pPr>
              <w:pStyle w:val="NoSpacing"/>
              <w:jc w:val="center"/>
              <w:rPr>
                <w:b/>
                <w:bCs/>
              </w:rPr>
            </w:pPr>
            <w:r w:rsidRPr="00EC5D76">
              <w:rPr>
                <w:b/>
                <w:bCs/>
              </w:rPr>
              <w:t>Interventions</w:t>
            </w:r>
          </w:p>
        </w:tc>
        <w:tc>
          <w:tcPr>
            <w:tcW w:w="1491"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8FA399" w14:textId="77777777" w:rsidR="00091B09" w:rsidRPr="00091B09" w:rsidRDefault="00091B09" w:rsidP="00091B09">
            <w:pPr>
              <w:pStyle w:val="NoSpacing"/>
            </w:pPr>
            <w:proofErr w:type="spellStart"/>
            <w:r w:rsidRPr="00091B09">
              <w:t>coverage_supplementary_feeding_program</w:t>
            </w:r>
            <w:proofErr w:type="spellEnd"/>
          </w:p>
        </w:tc>
        <w:tc>
          <w:tcPr>
            <w:tcW w:w="544"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83EFA8" w14:textId="77777777" w:rsidR="00091B09" w:rsidRPr="00091B09" w:rsidRDefault="00091B09" w:rsidP="00091B09">
            <w:pPr>
              <w:pStyle w:val="NoSpacing"/>
            </w:pPr>
            <w:r w:rsidRPr="00091B09">
              <w:t>0.58</w:t>
            </w:r>
          </w:p>
        </w:tc>
        <w:tc>
          <w:tcPr>
            <w:tcW w:w="474"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E0062" w14:textId="2DA658EA" w:rsidR="00091B09" w:rsidRPr="00091B09" w:rsidRDefault="0027147C" w:rsidP="00091B09">
            <w:pPr>
              <w:pStyle w:val="NoSpacing"/>
            </w:pPr>
            <w:r>
              <w:rPr>
                <w:rFonts w:ascii="Calibri" w:hAnsi="Calibri" w:cs="Calibri"/>
                <w:color w:val="000000"/>
                <w:szCs w:val="21"/>
                <w:lang w:eastAsia="en-GB"/>
              </w:rPr>
              <w:fldChar w:fldCharType="begin" w:fldLock="1"/>
            </w:r>
            <w:r>
              <w:rPr>
                <w:rFonts w:ascii="Calibri" w:hAnsi="Calibri" w:cs="Calibri"/>
                <w:color w:val="000000"/>
                <w:szCs w:val="21"/>
                <w:lang w:eastAsia="en-GB"/>
              </w:rPr>
              <w:instrText>ADDIN CSL_CITATION {"citationItems":[{"id":"ITEM-1","itemData":{"DOI":"10.1177/15648265140352S105","ISSN":"03795721","PMID":"25069291","abstract":"Background. Recent success with community-based management of acute malnutrition (CMAM) has spurred interest on how to improve coverage while maintaining treatment outcomes. Objective. To document, as case studies, the experience of three African countries, Malawi, Ghana, and Zambia, in scaling up CMAM. Methods. Desk review using published and unpublished data and country programmatic data and key informant interviews. Results. All three countries, with different motivations for startup, have successfully integrated CMAM into their essential health packages for children under 5 years of age, at least in their policy and strategic documents. Strong leadership by the ministries of health has been instrumental, complemented by key stakeholders and donor partners. Implementation is at variable stages, depending on when the program rolled out, with Malawi having achieved the most integration, followed by Ghana and Zambia. Using CMAM, the three countries have significantly extended service coverage and improved treatment outcomes, with cure rates ranging from 73% in Ghana to 90% in Malawi, while maintaining very low death rates: 1.7% in Malawi, 2% in Ghana, and 5% in Zambia. Conclusions. CMAM is a viable option to improve service coverage and outcomes in health systems where inpatient therapeutic care alone cannot suffice.","author":[{"dropping-particle":"","family":"Maleta","given":"Kenneth","non-dropping-particle":"","parse-names":false,"suffix":""},{"dropping-particle":"","family":"Amadi","given":"Beatrice","non-dropping-particle":"","parse-names":false,"suffix":""}],"container-title":"Food and Nutrition Bulletin","id":"ITEM-1","issue":"2 Suppl","issued":{"date-parts":[["2014","6","1"]]},"page":"S34-S38","publisher":"United Nations University Press","title":"Community-based management of acute malnutrition (CMAM) in sub-Saharan Africa: Case studies from Ghana, Malawi, and Zambia","type":"article-journal","volume":"35"},"uris":["http://www.mendeley.com/documents/?uuid=f29a046a-6e91-31dc-adbb-9e0e62522b74"]}],"mendeley":{"formattedCitation":"&lt;sup&gt;14&lt;/sup&gt;","plainTextFormattedCitation":"14","previouslyFormattedCitation":"&lt;sup&gt;14&lt;/sup&gt;"},"properties":{"noteIndex":0},"schema":"https://github.com/citation-style-language/schema/raw/master/csl-citation.json"}</w:instrText>
            </w:r>
            <w:r>
              <w:rPr>
                <w:rFonts w:ascii="Calibri" w:hAnsi="Calibri" w:cs="Calibri"/>
                <w:color w:val="000000"/>
                <w:szCs w:val="21"/>
                <w:lang w:eastAsia="en-GB"/>
              </w:rPr>
              <w:fldChar w:fldCharType="separate"/>
            </w:r>
            <w:r w:rsidRPr="00A74826">
              <w:rPr>
                <w:rFonts w:ascii="Calibri" w:hAnsi="Calibri" w:cs="Calibri"/>
                <w:noProof/>
                <w:color w:val="000000"/>
                <w:szCs w:val="21"/>
                <w:vertAlign w:val="superscript"/>
                <w:lang w:eastAsia="en-GB"/>
              </w:rPr>
              <w:t>14</w:t>
            </w:r>
            <w:r>
              <w:rPr>
                <w:rFonts w:ascii="Calibri" w:hAnsi="Calibri" w:cs="Calibri"/>
                <w:color w:val="000000"/>
                <w:szCs w:val="21"/>
                <w:lang w:eastAsia="en-GB"/>
              </w:rPr>
              <w:fldChar w:fldCharType="end"/>
            </w:r>
          </w:p>
        </w:tc>
        <w:tc>
          <w:tcPr>
            <w:tcW w:w="1557" w:type="pct"/>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B18F49" w14:textId="77777777" w:rsidR="00091B09" w:rsidRPr="00091B09" w:rsidRDefault="00091B09" w:rsidP="00091B09">
            <w:pPr>
              <w:pStyle w:val="NoSpacing"/>
            </w:pPr>
            <w:r w:rsidRPr="00091B09">
              <w:t>coverage of supplementary feeding program for MAM in health centres</w:t>
            </w:r>
          </w:p>
        </w:tc>
        <w:tc>
          <w:tcPr>
            <w:tcW w:w="728" w:type="pct"/>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DD2BBA3" w14:textId="77777777" w:rsidR="00091B09" w:rsidRPr="00091B09" w:rsidRDefault="00091B09" w:rsidP="00091B09">
            <w:pPr>
              <w:pStyle w:val="NoSpacing"/>
            </w:pPr>
            <w:r w:rsidRPr="00091B09">
              <w:t>Malawi estimates</w:t>
            </w:r>
          </w:p>
        </w:tc>
      </w:tr>
      <w:tr w:rsidR="00091B09" w:rsidRPr="00091B09" w14:paraId="3EA08D2C"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7168A29F" w14:textId="77777777" w:rsidR="00091B09" w:rsidRPr="00091B09" w:rsidRDefault="00091B09" w:rsidP="00091B09">
            <w:pPr>
              <w:pStyle w:val="NoSpacing"/>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3399BB" w14:textId="77777777" w:rsidR="00091B09" w:rsidRPr="00091B09" w:rsidRDefault="00091B09" w:rsidP="00091B09">
            <w:pPr>
              <w:pStyle w:val="NoSpacing"/>
            </w:pPr>
            <w:r w:rsidRPr="00091B09">
              <w:t>un_effectiveness_complementary_feeding_promo_education_only_in_stunting_reduction</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9D9166" w14:textId="77777777" w:rsidR="00091B09" w:rsidRPr="00091B09" w:rsidRDefault="00091B09" w:rsidP="00091B09">
            <w:pPr>
              <w:pStyle w:val="NoSpacing"/>
            </w:pPr>
            <w:r w:rsidRPr="00091B09">
              <w:t>0.25</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DFB032" w14:textId="1A90D668" w:rsidR="00091B09" w:rsidRPr="00091B09" w:rsidRDefault="00EC5D76" w:rsidP="00091B09">
            <w:pPr>
              <w:pStyle w:val="NoSpacing"/>
            </w:pPr>
            <w:r>
              <w:fldChar w:fldCharType="begin" w:fldLock="1"/>
            </w:r>
            <w:r w:rsidR="00C12542">
              <w:instrText>ADDIN CSL_CITATION {"citationItems":[{"id":"ITEM-1","itemData":{"DOI":"10.1016/S0140-6736(07)61693-6","ISSN":"01406736","PMID":"18206226","abstract":"We reviewed interventions that affect maternal and child undernutrition and nutrition-related outcomes. These interventions included promotion of breastfeeding; strategies to promote complementary feeding, with or without provision of food supplements; micronutrient interventions; general supportive strategies to improve family and community nutrition; and reduction of disease burden (promotion of handwashing and strategies to reduce the burden of malaria in pregnancy). We showed that although strategies for breastfeeding promotion have a large effect on survival, their effect on stunting is small. In populations with sufficient food, education about complementary feeding increased height-for-age Z score by 0·25 (95% CI 0·01-0·49), whereas provision of food supplements (with or without education) in populations with insufficient food increased the height-for-age Z score by 0·41 (0·05-0·76). Management of severe acute malnutrition according to WHO guidelines reduced the case-fatality rate by 55% (risk ratio 0·45, 0·32-0·62), and recent studies suggest that newer commodities, such as ready-to-use therapeutic foods, can be used to manage severe acute malnutrition in community settings. Effective micronutrient interventions for pregnant women included supplementation with iron folate (which increased haemoglobin at term by 12 g/L, 2·93-21·07) and micronutrients (which reduced the risk of low birthweight at term by 16% (relative risk 0·84, 0·74-0·95). Recommended micronutrient interventions for children included strategies for supplementation of vitamin A (in the neonatal period and late infancy), preventive zinc supplements, iron supplements for children in areas where malaria is not endemic, and universal promotion of iodised salt. We used a cohort model to assess the potential effect of these interventions on mothers and children in the 36 countries that have 90% of children with stunted linear growth. The model showed that existing interventions that were designed to improve nutrition and prevent related disease could reduce stunting at 36 months by 36%; mortality between birth and 36 months by about 25%; and disability-adjusted life-years associated with stunting, severe wasting, intrauterine growth restriction, and micronutrient deficiencies by about 25%. To eliminate stunting in the longer term, these interventions should be supplemented by improvements in the underlying determinants of undernutrition, such as poverty, poor education, disease burden, …","author":[{"dropping-particle":"","family":"Bhutta","given":"Zulfiqar A.","non-dropping-particle":"","parse-names":false,"suffix":""},{"dropping-particle":"","family":"Ahmed","given":"Tahmeed","non-dropping-particle":"","parse-names":false,"suffix":""},{"dropping-particle":"","family":"Black","given":"Robert E.","non-dropping-particle":"","parse-names":false,"suffix":""},{"dropping-particle":"","family":"Cousens","given":"Simon","non-dropping-particle":"","parse-names":false,"suffix":""},{"dropping-particle":"","family":"Dewey","given":"Kathryn","non-dropping-particle":"","parse-names":false,"suffix":""},{"dropping-particle":"","family":"Giugliani","given":"Elsa","non-dropping-particle":"","parse-names":false,"suffix":""},{"dropping-particle":"","family":"Haider","given":"Batool A.","non-dropping-particle":"","parse-names":false,"suffix":""},{"dropping-particle":"","family":"Kirkwood","given":"Betty","non-dropping-particle":"","parse-names":false,"suffix":""},{"dropping-particle":"","family":"Morris","given":"Saul S.","non-dropping-particle":"","parse-names":false,"suffix":""},{"dropping-particle":"","family":"Sachdev","given":"HPS","non-dropping-particle":"","parse-names":false,"suffix":""},{"dropping-particle":"","family":"Shekar","given":"Meera","non-dropping-particle":"","parse-names":false,"suffix":""}],"container-title":"The Lancet","id":"ITEM-1","issue":"9610","issued":{"date-parts":[["2008","2","2"]]},"page":"417-440","publisher":"Elsevier B.V.","title":"What works? Interventions for maternal and child undernutrition and survival","type":"article","volume":"371"},"uris":["http://www.mendeley.com/documents/?uuid=aaa91e9a-7ee3-33e7-8ac5-46dde67905dd"]}],"mendeley":{"formattedCitation":"&lt;sup&gt;24&lt;/sup&gt;","plainTextFormattedCitation":"24","previouslyFormattedCitation":"&lt;sup&gt;24&lt;/sup&gt;"},"properties":{"noteIndex":0},"schema":"https://github.com/citation-style-language/schema/raw/master/csl-citation.json"}</w:instrText>
            </w:r>
            <w:r>
              <w:fldChar w:fldCharType="separate"/>
            </w:r>
            <w:r w:rsidR="00C12542" w:rsidRPr="00C12542">
              <w:rPr>
                <w:noProof/>
                <w:vertAlign w:val="superscript"/>
              </w:rPr>
              <w:t>24</w:t>
            </w:r>
            <w: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76C91" w14:textId="6DBA2F86" w:rsidR="00091B09" w:rsidRPr="00091B09" w:rsidRDefault="00091B09" w:rsidP="00091B09">
            <w:pPr>
              <w:pStyle w:val="NoSpacing"/>
            </w:pPr>
            <w:r w:rsidRPr="00091B09">
              <w:t> </w:t>
            </w:r>
            <w:r w:rsidR="00EC5D76" w:rsidRPr="00EC5D76">
              <w:t>effectiveness of complementary feeding programme with education only in reducing stunting</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338CE100" w14:textId="77777777" w:rsidR="00091B09" w:rsidRPr="00091B09" w:rsidRDefault="00091B09" w:rsidP="00091B09">
            <w:pPr>
              <w:pStyle w:val="NoSpacing"/>
            </w:pPr>
            <w:r w:rsidRPr="00091B09">
              <w:t> </w:t>
            </w:r>
          </w:p>
        </w:tc>
      </w:tr>
      <w:tr w:rsidR="00091B09" w:rsidRPr="00091B09" w14:paraId="1345A2D6" w14:textId="77777777" w:rsidTr="00EC5D76">
        <w:trPr>
          <w:trHeight w:val="31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3054B876" w14:textId="77777777" w:rsidR="00091B09" w:rsidRPr="00091B09" w:rsidRDefault="00091B09" w:rsidP="00091B09">
            <w:pPr>
              <w:pStyle w:val="NoSpacing"/>
            </w:pPr>
          </w:p>
        </w:tc>
        <w:tc>
          <w:tcPr>
            <w:tcW w:w="149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355ACA" w14:textId="77777777" w:rsidR="00091B09" w:rsidRPr="00091B09" w:rsidRDefault="00091B09" w:rsidP="00091B09">
            <w:pPr>
              <w:pStyle w:val="NoSpacing"/>
            </w:pPr>
            <w:r w:rsidRPr="00091B09">
              <w:t>un_effectiveness_complementary_feeding_promo_with_food_supplementation_in_stunting_reduction</w:t>
            </w:r>
          </w:p>
        </w:tc>
        <w:tc>
          <w:tcPr>
            <w:tcW w:w="54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E8BBA5" w14:textId="77777777" w:rsidR="00091B09" w:rsidRPr="00091B09" w:rsidRDefault="00091B09" w:rsidP="00091B09">
            <w:pPr>
              <w:pStyle w:val="NoSpacing"/>
            </w:pPr>
            <w:r w:rsidRPr="00091B09">
              <w:t>0.41</w:t>
            </w:r>
          </w:p>
        </w:tc>
        <w:tc>
          <w:tcPr>
            <w:tcW w:w="47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736E9F" w14:textId="04278981" w:rsidR="00091B09" w:rsidRPr="00091B09" w:rsidRDefault="00EC5D76" w:rsidP="00091B09">
            <w:pPr>
              <w:pStyle w:val="NoSpacing"/>
            </w:pPr>
            <w:r>
              <w:fldChar w:fldCharType="begin" w:fldLock="1"/>
            </w:r>
            <w:r w:rsidR="00C12542">
              <w:instrText>ADDIN CSL_CITATION {"citationItems":[{"id":"ITEM-1","itemData":{"DOI":"10.1016/S0140-6736(07)61693-6","ISSN":"01406736","PMID":"18206226","abstract":"We reviewed interventions that affect maternal and child undernutrition and nutrition-related outcomes. These interventions included promotion of breastfeeding; strategies to promote complementary feeding, with or without provision of food supplements; micronutrient interventions; general supportive strategies to improve family and community nutrition; and reduction of disease burden (promotion of handwashing and strategies to reduce the burden of malaria in pregnancy). We showed that although strategies for breastfeeding promotion have a large effect on survival, their effect on stunting is small. In populations with sufficient food, education about complementary feeding increased height-for-age Z score by 0·25 (95% CI 0·01-0·49), whereas provision of food supplements (with or without education) in populations with insufficient food increased the height-for-age Z score by 0·41 (0·05-0·76). Management of severe acute malnutrition according to WHO guidelines reduced the case-fatality rate by 55% (risk ratio 0·45, 0·32-0·62), and recent studies suggest that newer commodities, such as ready-to-use therapeutic foods, can be used to manage severe acute malnutrition in community settings. Effective micronutrient interventions for pregnant women included supplementation with iron folate (which increased haemoglobin at term by 12 g/L, 2·93-21·07) and micronutrients (which reduced the risk of low birthweight at term by 16% (relative risk 0·84, 0·74-0·95). Recommended micronutrient interventions for children included strategies for supplementation of vitamin A (in the neonatal period and late infancy), preventive zinc supplements, iron supplements for children in areas where malaria is not endemic, and universal promotion of iodised salt. We used a cohort model to assess the potential effect of these interventions on mothers and children in the 36 countries that have 90% of children with stunted linear growth. The model showed that existing interventions that were designed to improve nutrition and prevent related disease could reduce stunting at 36 months by 36%; mortality between birth and 36 months by about 25%; and disability-adjusted life-years associated with stunting, severe wasting, intrauterine growth restriction, and micronutrient deficiencies by about 25%. To eliminate stunting in the longer term, these interventions should be supplemented by improvements in the underlying determinants of undernutrition, such as poverty, poor education, disease burden, …","author":[{"dropping-particle":"","family":"Bhutta","given":"Zulfiqar A.","non-dropping-particle":"","parse-names":false,"suffix":""},{"dropping-particle":"","family":"Ahmed","given":"Tahmeed","non-dropping-particle":"","parse-names":false,"suffix":""},{"dropping-particle":"","family":"Black","given":"Robert E.","non-dropping-particle":"","parse-names":false,"suffix":""},{"dropping-particle":"","family":"Cousens","given":"Simon","non-dropping-particle":"","parse-names":false,"suffix":""},{"dropping-particle":"","family":"Dewey","given":"Kathryn","non-dropping-particle":"","parse-names":false,"suffix":""},{"dropping-particle":"","family":"Giugliani","given":"Elsa","non-dropping-particle":"","parse-names":false,"suffix":""},{"dropping-particle":"","family":"Haider","given":"Batool A.","non-dropping-particle":"","parse-names":false,"suffix":""},{"dropping-particle":"","family":"Kirkwood","given":"Betty","non-dropping-particle":"","parse-names":false,"suffix":""},{"dropping-particle":"","family":"Morris","given":"Saul S.","non-dropping-particle":"","parse-names":false,"suffix":""},{"dropping-particle":"","family":"Sachdev","given":"HPS","non-dropping-particle":"","parse-names":false,"suffix":""},{"dropping-particle":"","family":"Shekar","given":"Meera","non-dropping-particle":"","parse-names":false,"suffix":""}],"container-title":"The Lancet","id":"ITEM-1","issue":"9610","issued":{"date-parts":[["2008","2","2"]]},"page":"417-440","publisher":"Elsevier B.V.","title":"What works? Interventions for maternal and child undernutrition and survival","type":"article","volume":"371"},"uris":["http://www.mendeley.com/documents/?uuid=aaa91e9a-7ee3-33e7-8ac5-46dde67905dd"]}],"mendeley":{"formattedCitation":"&lt;sup&gt;24&lt;/sup&gt;","plainTextFormattedCitation":"24","previouslyFormattedCitation":"&lt;sup&gt;24&lt;/sup&gt;"},"properties":{"noteIndex":0},"schema":"https://github.com/citation-style-language/schema/raw/master/csl-citation.json"}</w:instrText>
            </w:r>
            <w:r>
              <w:fldChar w:fldCharType="separate"/>
            </w:r>
            <w:r w:rsidR="00C12542" w:rsidRPr="00C12542">
              <w:rPr>
                <w:noProof/>
                <w:vertAlign w:val="superscript"/>
              </w:rPr>
              <w:t>24</w:t>
            </w:r>
            <w:r>
              <w:fldChar w:fldCharType="end"/>
            </w:r>
          </w:p>
        </w:tc>
        <w:tc>
          <w:tcPr>
            <w:tcW w:w="15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7C71D" w14:textId="2324E7EC" w:rsidR="00091B09" w:rsidRPr="00091B09" w:rsidRDefault="00091B09" w:rsidP="00091B09">
            <w:pPr>
              <w:pStyle w:val="NoSpacing"/>
            </w:pPr>
            <w:r w:rsidRPr="00091B09">
              <w:t> </w:t>
            </w:r>
            <w:r w:rsidR="00EC5D76" w:rsidRPr="00EC5D76">
              <w:t>effectiveness of complementary feeding programme with provision of supplementary foods in reducing stunting</w:t>
            </w:r>
          </w:p>
        </w:tc>
        <w:tc>
          <w:tcPr>
            <w:tcW w:w="728" w:type="pct"/>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704E9F64" w14:textId="77777777" w:rsidR="00091B09" w:rsidRPr="00091B09" w:rsidRDefault="00091B09" w:rsidP="00091B09">
            <w:pPr>
              <w:pStyle w:val="NoSpacing"/>
            </w:pPr>
            <w:r w:rsidRPr="00091B09">
              <w:t> </w:t>
            </w:r>
          </w:p>
        </w:tc>
      </w:tr>
      <w:tr w:rsidR="00091B09" w:rsidRPr="00091B09" w14:paraId="45044D0C" w14:textId="77777777" w:rsidTr="00EC5D76">
        <w:trPr>
          <w:trHeight w:val="320"/>
        </w:trPr>
        <w:tc>
          <w:tcPr>
            <w:tcW w:w="206" w:type="pct"/>
            <w:vMerge/>
            <w:tcBorders>
              <w:top w:val="single" w:sz="8" w:space="0" w:color="auto"/>
              <w:left w:val="single" w:sz="8" w:space="0" w:color="auto"/>
              <w:bottom w:val="single" w:sz="8" w:space="0" w:color="000000"/>
              <w:right w:val="single" w:sz="4" w:space="0" w:color="auto"/>
            </w:tcBorders>
            <w:shd w:val="clear" w:color="auto" w:fill="E7E6E6" w:themeFill="background2"/>
            <w:vAlign w:val="center"/>
            <w:hideMark/>
          </w:tcPr>
          <w:p w14:paraId="7184A79B" w14:textId="77777777" w:rsidR="00091B09" w:rsidRPr="00091B09" w:rsidRDefault="00091B09" w:rsidP="00091B09">
            <w:pPr>
              <w:pStyle w:val="NoSpacing"/>
            </w:pPr>
          </w:p>
        </w:tc>
        <w:tc>
          <w:tcPr>
            <w:tcW w:w="1491"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091EEA89" w14:textId="77777777" w:rsidR="00091B09" w:rsidRPr="00091B09" w:rsidRDefault="00091B09" w:rsidP="00091B09">
            <w:pPr>
              <w:pStyle w:val="NoSpacing"/>
            </w:pPr>
            <w:proofErr w:type="spellStart"/>
            <w:r w:rsidRPr="00091B09">
              <w:t>un_effectiveness_zinc_supplementation_in_stunting_reduction</w:t>
            </w:r>
            <w:proofErr w:type="spellEnd"/>
          </w:p>
        </w:tc>
        <w:tc>
          <w:tcPr>
            <w:tcW w:w="544"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02183BC0" w14:textId="77777777" w:rsidR="00091B09" w:rsidRPr="00091B09" w:rsidRDefault="00091B09" w:rsidP="00091B09">
            <w:pPr>
              <w:pStyle w:val="NoSpacing"/>
            </w:pPr>
            <w:r w:rsidRPr="00091B09">
              <w:t>0.15</w:t>
            </w:r>
          </w:p>
        </w:tc>
        <w:tc>
          <w:tcPr>
            <w:tcW w:w="474"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76B8EE24" w14:textId="5B736D48" w:rsidR="00091B09" w:rsidRPr="00091B09" w:rsidRDefault="00091B09" w:rsidP="00091B09">
            <w:pPr>
              <w:pStyle w:val="NoSpacing"/>
            </w:pPr>
            <w:r w:rsidRPr="00091B09">
              <w:t> </w:t>
            </w:r>
            <w:r w:rsidR="00EC5D76">
              <w:fldChar w:fldCharType="begin" w:fldLock="1"/>
            </w:r>
            <w:r w:rsidR="00C12542">
              <w:instrText>ADDIN CSL_CITATION {"citationItems":[{"id":"ITEM-1","itemData":{"DOI":"10.1016/S0140-6736(07)61693-6","ISSN":"01406736","PMID":"18206226","abstract":"We reviewed interventions that affect maternal and child undernutrition and nutrition-related outcomes. These interventions included promotion of breastfeeding; strategies to promote complementary feeding, with or without provision of food supplements; micronutrient interventions; general supportive strategies to improve family and community nutrition; and reduction of disease burden (promotion of handwashing and strategies to reduce the burden of malaria in pregnancy). We showed that although strategies for breastfeeding promotion have a large effect on survival, their effect on stunting is small. In populations with sufficient food, education about complementary feeding increased height-for-age Z score by 0·25 (95% CI 0·01-0·49), whereas provision of food supplements (with or without education) in populations with insufficient food increased the height-for-age Z score by 0·41 (0·05-0·76). Management of severe acute malnutrition according to WHO guidelines reduced the case-fatality rate by 55% (risk ratio 0·45, 0·32-0·62), and recent studies suggest that newer commodities, such as ready-to-use therapeutic foods, can be used to manage severe acute malnutrition in community settings. Effective micronutrient interventions for pregnant women included supplementation with iron folate (which increased haemoglobin at term by 12 g/L, 2·93-21·07) and micronutrients (which reduced the risk of low birthweight at term by 16% (relative risk 0·84, 0·74-0·95). Recommended micronutrient interventions for children included strategies for supplementation of vitamin A (in the neonatal period and late infancy), preventive zinc supplements, iron supplements for children in areas where malaria is not endemic, and universal promotion of iodised salt. We used a cohort model to assess the potential effect of these interventions on mothers and children in the 36 countries that have 90% of children with stunted linear growth. The model showed that existing interventions that were designed to improve nutrition and prevent related disease could reduce stunting at 36 months by 36%; mortality between birth and 36 months by about 25%; and disability-adjusted life-years associated with stunting, severe wasting, intrauterine growth restriction, and micronutrient deficiencies by about 25%. To eliminate stunting in the longer term, these interventions should be supplemented by improvements in the underlying determinants of undernutrition, such as poverty, poor education, disease burden, …","author":[{"dropping-particle":"","family":"Bhutta","given":"Zulfiqar A.","non-dropping-particle":"","parse-names":false,"suffix":""},{"dropping-particle":"","family":"Ahmed","given":"Tahmeed","non-dropping-particle":"","parse-names":false,"suffix":""},{"dropping-particle":"","family":"Black","given":"Robert E.","non-dropping-particle":"","parse-names":false,"suffix":""},{"dropping-particle":"","family":"Cousens","given":"Simon","non-dropping-particle":"","parse-names":false,"suffix":""},{"dropping-particle":"","family":"Dewey","given":"Kathryn","non-dropping-particle":"","parse-names":false,"suffix":""},{"dropping-particle":"","family":"Giugliani","given":"Elsa","non-dropping-particle":"","parse-names":false,"suffix":""},{"dropping-particle":"","family":"Haider","given":"Batool A.","non-dropping-particle":"","parse-names":false,"suffix":""},{"dropping-particle":"","family":"Kirkwood","given":"Betty","non-dropping-particle":"","parse-names":false,"suffix":""},{"dropping-particle":"","family":"Morris","given":"Saul S.","non-dropping-particle":"","parse-names":false,"suffix":""},{"dropping-particle":"","family":"Sachdev","given":"HPS","non-dropping-particle":"","parse-names":false,"suffix":""},{"dropping-particle":"","family":"Shekar","given":"Meera","non-dropping-particle":"","parse-names":false,"suffix":""}],"container-title":"The Lancet","id":"ITEM-1","issue":"9610","issued":{"date-parts":[["2008","2","2"]]},"page":"417-440","publisher":"Elsevier B.V.","title":"What works? Interventions for maternal and child undernutrition and survival","type":"article","volume":"371"},"uris":["http://www.mendeley.com/documents/?uuid=aaa91e9a-7ee3-33e7-8ac5-46dde67905dd"]}],"mendeley":{"formattedCitation":"&lt;sup&gt;24&lt;/sup&gt;","plainTextFormattedCitation":"24","previouslyFormattedCitation":"&lt;sup&gt;24&lt;/sup&gt;"},"properties":{"noteIndex":0},"schema":"https://github.com/citation-style-language/schema/raw/master/csl-citation.json"}</w:instrText>
            </w:r>
            <w:r w:rsidR="00EC5D76">
              <w:fldChar w:fldCharType="separate"/>
            </w:r>
            <w:r w:rsidR="00C12542" w:rsidRPr="00C12542">
              <w:rPr>
                <w:noProof/>
                <w:vertAlign w:val="superscript"/>
              </w:rPr>
              <w:t>24</w:t>
            </w:r>
            <w:r w:rsidR="00EC5D76">
              <w:fldChar w:fldCharType="end"/>
            </w:r>
          </w:p>
        </w:tc>
        <w:tc>
          <w:tcPr>
            <w:tcW w:w="1557" w:type="pct"/>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2F94E087" w14:textId="1A54D093" w:rsidR="00091B09" w:rsidRPr="00091B09" w:rsidRDefault="00091B09" w:rsidP="00091B09">
            <w:pPr>
              <w:pStyle w:val="NoSpacing"/>
            </w:pPr>
            <w:r w:rsidRPr="00091B09">
              <w:t> </w:t>
            </w:r>
            <w:r w:rsidR="00EC5D76" w:rsidRPr="00EC5D76">
              <w:t>effectiveness of zinc supplementation in reducing stunting</w:t>
            </w:r>
          </w:p>
        </w:tc>
        <w:tc>
          <w:tcPr>
            <w:tcW w:w="7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7D7678C6" w14:textId="50236146" w:rsidR="00091B09" w:rsidRPr="00091B09" w:rsidRDefault="00EC5D76" w:rsidP="00091B09">
            <w:pPr>
              <w:pStyle w:val="NoSpacing"/>
            </w:pPr>
            <w:r>
              <w:t>Not yet used in the code</w:t>
            </w:r>
          </w:p>
        </w:tc>
      </w:tr>
    </w:tbl>
    <w:p w14:paraId="5CC8CB04" w14:textId="67AA391B" w:rsidR="002951A1" w:rsidRDefault="00091B09" w:rsidP="00F11549">
      <w:pPr>
        <w:spacing w:after="160" w:line="259" w:lineRule="auto"/>
        <w:ind w:firstLine="0"/>
        <w:jc w:val="left"/>
      </w:pPr>
      <w:r>
        <w:t xml:space="preserve"> </w:t>
      </w:r>
      <w:r w:rsidR="00AC557C">
        <w:br w:type="page"/>
      </w:r>
    </w:p>
    <w:p w14:paraId="1E212DCD" w14:textId="77777777" w:rsidR="002951A1" w:rsidRDefault="002951A1" w:rsidP="00F11549">
      <w:pPr>
        <w:pStyle w:val="Heading1"/>
      </w:pPr>
      <w:bookmarkStart w:id="40" w:name="_Toc74050892"/>
      <w:r>
        <w:lastRenderedPageBreak/>
        <w:t>References</w:t>
      </w:r>
      <w:bookmarkEnd w:id="40"/>
    </w:p>
    <w:p w14:paraId="34F0885F" w14:textId="6E004E0E" w:rsidR="00C12542" w:rsidRPr="00C12542" w:rsidRDefault="002951A1" w:rsidP="00C12542">
      <w:pPr>
        <w:widowControl w:val="0"/>
        <w:autoSpaceDE w:val="0"/>
        <w:autoSpaceDN w:val="0"/>
        <w:adjustRightInd w:val="0"/>
        <w:spacing w:line="240" w:lineRule="auto"/>
        <w:ind w:left="640" w:hanging="640"/>
        <w:rPr>
          <w:rFonts w:cs="Arial"/>
          <w:noProof/>
          <w:sz w:val="24"/>
          <w:szCs w:val="24"/>
        </w:rPr>
      </w:pPr>
      <w:r>
        <w:fldChar w:fldCharType="begin" w:fldLock="1"/>
      </w:r>
      <w:r>
        <w:instrText xml:space="preserve">ADDIN Mendeley Bibliography CSL_BIBLIOGRAPHY </w:instrText>
      </w:r>
      <w:r>
        <w:fldChar w:fldCharType="separate"/>
      </w:r>
      <w:r w:rsidR="00C12542" w:rsidRPr="00C12542">
        <w:rPr>
          <w:rFonts w:cs="Arial"/>
          <w:noProof/>
          <w:sz w:val="24"/>
          <w:szCs w:val="24"/>
        </w:rPr>
        <w:t>1.</w:t>
      </w:r>
      <w:r w:rsidR="00C12542" w:rsidRPr="00C12542">
        <w:rPr>
          <w:rFonts w:cs="Arial"/>
          <w:noProof/>
          <w:sz w:val="24"/>
          <w:szCs w:val="24"/>
        </w:rPr>
        <w:tab/>
        <w:t xml:space="preserve">Maleta, K. Undernutrition. </w:t>
      </w:r>
      <w:r w:rsidR="00C12542" w:rsidRPr="00C12542">
        <w:rPr>
          <w:rFonts w:cs="Arial"/>
          <w:i/>
          <w:iCs/>
          <w:noProof/>
          <w:sz w:val="24"/>
          <w:szCs w:val="24"/>
        </w:rPr>
        <w:t>Malawi Med. J.</w:t>
      </w:r>
      <w:r w:rsidR="00C12542" w:rsidRPr="00C12542">
        <w:rPr>
          <w:rFonts w:cs="Arial"/>
          <w:noProof/>
          <w:sz w:val="24"/>
          <w:szCs w:val="24"/>
        </w:rPr>
        <w:t xml:space="preserve"> 189–205 (2006).</w:t>
      </w:r>
    </w:p>
    <w:p w14:paraId="0AAC6268"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2.</w:t>
      </w:r>
      <w:r w:rsidRPr="00C12542">
        <w:rPr>
          <w:rFonts w:cs="Arial"/>
          <w:noProof/>
          <w:sz w:val="24"/>
          <w:szCs w:val="24"/>
        </w:rPr>
        <w:tab/>
        <w:t>Fact sheets - Malnutrition. Available at: https://www.who.int/news-room/fact-sheets/detail/malnutrition. (Accessed: 26th April 2021)</w:t>
      </w:r>
    </w:p>
    <w:p w14:paraId="1247E49C"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3.</w:t>
      </w:r>
      <w:r w:rsidRPr="00C12542">
        <w:rPr>
          <w:rFonts w:cs="Arial"/>
          <w:noProof/>
          <w:sz w:val="24"/>
          <w:szCs w:val="24"/>
        </w:rPr>
        <w:tab/>
        <w:t xml:space="preserve">Williams, P. C. M. &amp; Berkley, J. A. Guidelines for the treatment of severe acute malnutrition: a systematic review of the evidence for antimicrobial therapy. </w:t>
      </w:r>
      <w:r w:rsidRPr="00C12542">
        <w:rPr>
          <w:rFonts w:cs="Arial"/>
          <w:i/>
          <w:iCs/>
          <w:noProof/>
          <w:sz w:val="24"/>
          <w:szCs w:val="24"/>
        </w:rPr>
        <w:t>Paediatrics and International Child Health</w:t>
      </w:r>
      <w:r w:rsidRPr="00C12542">
        <w:rPr>
          <w:rFonts w:cs="Arial"/>
          <w:noProof/>
          <w:sz w:val="24"/>
          <w:szCs w:val="24"/>
        </w:rPr>
        <w:t xml:space="preserve"> </w:t>
      </w:r>
      <w:r w:rsidRPr="00C12542">
        <w:rPr>
          <w:rFonts w:cs="Arial"/>
          <w:b/>
          <w:bCs/>
          <w:noProof/>
          <w:sz w:val="24"/>
          <w:szCs w:val="24"/>
        </w:rPr>
        <w:t>38</w:t>
      </w:r>
      <w:r w:rsidRPr="00C12542">
        <w:rPr>
          <w:rFonts w:cs="Arial"/>
          <w:noProof/>
          <w:sz w:val="24"/>
          <w:szCs w:val="24"/>
        </w:rPr>
        <w:t>, S32–S49 (2018).</w:t>
      </w:r>
    </w:p>
    <w:p w14:paraId="6B19EA51"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4.</w:t>
      </w:r>
      <w:r w:rsidRPr="00C12542">
        <w:rPr>
          <w:rFonts w:cs="Arial"/>
          <w:noProof/>
          <w:sz w:val="24"/>
          <w:szCs w:val="24"/>
        </w:rPr>
        <w:tab/>
      </w:r>
      <w:r w:rsidRPr="00C12542">
        <w:rPr>
          <w:rFonts w:cs="Arial"/>
          <w:i/>
          <w:iCs/>
          <w:noProof/>
          <w:sz w:val="24"/>
          <w:szCs w:val="24"/>
        </w:rPr>
        <w:t>WHO child growth standards and the identification of severe acute malnutrition in infants and children</w:t>
      </w:r>
      <w:r w:rsidRPr="00C12542">
        <w:rPr>
          <w:rFonts w:cs="Arial"/>
          <w:noProof/>
          <w:sz w:val="24"/>
          <w:szCs w:val="24"/>
        </w:rPr>
        <w:t>.</w:t>
      </w:r>
    </w:p>
    <w:p w14:paraId="5C3F27BA"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5.</w:t>
      </w:r>
      <w:r w:rsidRPr="00C12542">
        <w:rPr>
          <w:rFonts w:cs="Arial"/>
          <w:noProof/>
          <w:sz w:val="24"/>
          <w:szCs w:val="24"/>
        </w:rPr>
        <w:tab/>
        <w:t xml:space="preserve">Isanaka, S., Grais, R. F., Briend, A. &amp; Checchi, F. Estimates of the Duration of Untreated Acute Malnutrition in Children From Niger. </w:t>
      </w:r>
      <w:r w:rsidRPr="00C12542">
        <w:rPr>
          <w:rFonts w:cs="Arial"/>
          <w:i/>
          <w:iCs/>
          <w:noProof/>
          <w:sz w:val="24"/>
          <w:szCs w:val="24"/>
        </w:rPr>
        <w:t>Am. J. Epidemiol.</w:t>
      </w:r>
      <w:r w:rsidRPr="00C12542">
        <w:rPr>
          <w:rFonts w:cs="Arial"/>
          <w:noProof/>
          <w:sz w:val="24"/>
          <w:szCs w:val="24"/>
        </w:rPr>
        <w:t xml:space="preserve"> </w:t>
      </w:r>
      <w:r w:rsidRPr="00C12542">
        <w:rPr>
          <w:rFonts w:cs="Arial"/>
          <w:b/>
          <w:bCs/>
          <w:noProof/>
          <w:sz w:val="24"/>
          <w:szCs w:val="24"/>
        </w:rPr>
        <w:t>173</w:t>
      </w:r>
      <w:r w:rsidRPr="00C12542">
        <w:rPr>
          <w:rFonts w:cs="Arial"/>
          <w:noProof/>
          <w:sz w:val="24"/>
          <w:szCs w:val="24"/>
        </w:rPr>
        <w:t>, 932–940 (2011).</w:t>
      </w:r>
    </w:p>
    <w:p w14:paraId="7DE3DF9C"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6.</w:t>
      </w:r>
      <w:r w:rsidRPr="00C12542">
        <w:rPr>
          <w:rFonts w:cs="Arial"/>
          <w:noProof/>
          <w:sz w:val="24"/>
          <w:szCs w:val="24"/>
        </w:rPr>
        <w:tab/>
        <w:t xml:space="preserve">Frison, S., Checchi, F. &amp; Kerac, M. Omitting edema measurement: How much acute malnutrition are we missing? </w:t>
      </w:r>
      <w:r w:rsidRPr="00C12542">
        <w:rPr>
          <w:rFonts w:cs="Arial"/>
          <w:i/>
          <w:iCs/>
          <w:noProof/>
          <w:sz w:val="24"/>
          <w:szCs w:val="24"/>
        </w:rPr>
        <w:t>Am. J. Clin. Nutr.</w:t>
      </w:r>
      <w:r w:rsidRPr="00C12542">
        <w:rPr>
          <w:rFonts w:cs="Arial"/>
          <w:noProof/>
          <w:sz w:val="24"/>
          <w:szCs w:val="24"/>
        </w:rPr>
        <w:t xml:space="preserve"> </w:t>
      </w:r>
      <w:r w:rsidRPr="00C12542">
        <w:rPr>
          <w:rFonts w:cs="Arial"/>
          <w:b/>
          <w:bCs/>
          <w:noProof/>
          <w:sz w:val="24"/>
          <w:szCs w:val="24"/>
        </w:rPr>
        <w:t>102</w:t>
      </w:r>
      <w:r w:rsidRPr="00C12542">
        <w:rPr>
          <w:rFonts w:cs="Arial"/>
          <w:noProof/>
          <w:sz w:val="24"/>
          <w:szCs w:val="24"/>
        </w:rPr>
        <w:t>, 1176–1181 (2015).</w:t>
      </w:r>
    </w:p>
    <w:p w14:paraId="2A066A18"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7.</w:t>
      </w:r>
      <w:r w:rsidRPr="00C12542">
        <w:rPr>
          <w:rFonts w:cs="Arial"/>
          <w:noProof/>
          <w:sz w:val="24"/>
          <w:szCs w:val="24"/>
        </w:rPr>
        <w:tab/>
        <w:t xml:space="preserve">Grellety, E. &amp; Golden, M. H. Weight-for-height and mid-upper-arm circumference should be used independently to diagnose acute malnutrition: Policy implications. </w:t>
      </w:r>
      <w:r w:rsidRPr="00C12542">
        <w:rPr>
          <w:rFonts w:cs="Arial"/>
          <w:i/>
          <w:iCs/>
          <w:noProof/>
          <w:sz w:val="24"/>
          <w:szCs w:val="24"/>
        </w:rPr>
        <w:t>BMC Nutr.</w:t>
      </w:r>
      <w:r w:rsidRPr="00C12542">
        <w:rPr>
          <w:rFonts w:cs="Arial"/>
          <w:noProof/>
          <w:sz w:val="24"/>
          <w:szCs w:val="24"/>
        </w:rPr>
        <w:t xml:space="preserve"> </w:t>
      </w:r>
      <w:r w:rsidRPr="00C12542">
        <w:rPr>
          <w:rFonts w:cs="Arial"/>
          <w:b/>
          <w:bCs/>
          <w:noProof/>
          <w:sz w:val="24"/>
          <w:szCs w:val="24"/>
        </w:rPr>
        <w:t>2</w:t>
      </w:r>
      <w:r w:rsidRPr="00C12542">
        <w:rPr>
          <w:rFonts w:cs="Arial"/>
          <w:noProof/>
          <w:sz w:val="24"/>
          <w:szCs w:val="24"/>
        </w:rPr>
        <w:t>, 1–17 (2016).</w:t>
      </w:r>
    </w:p>
    <w:p w14:paraId="5320EF76"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8.</w:t>
      </w:r>
      <w:r w:rsidRPr="00C12542">
        <w:rPr>
          <w:rFonts w:cs="Arial"/>
          <w:noProof/>
          <w:sz w:val="24"/>
          <w:szCs w:val="24"/>
        </w:rPr>
        <w:tab/>
        <w:t xml:space="preserve">Ministry of Health (MOH). </w:t>
      </w:r>
      <w:r w:rsidRPr="00C12542">
        <w:rPr>
          <w:rFonts w:cs="Arial"/>
          <w:i/>
          <w:iCs/>
          <w:noProof/>
          <w:sz w:val="24"/>
          <w:szCs w:val="24"/>
        </w:rPr>
        <w:t>Malawi Guidelines for Community-Based Management of Acute Malnutrition, 2nd Edition</w:t>
      </w:r>
      <w:r w:rsidRPr="00C12542">
        <w:rPr>
          <w:rFonts w:cs="Arial"/>
          <w:noProof/>
          <w:sz w:val="24"/>
          <w:szCs w:val="24"/>
        </w:rPr>
        <w:t>. (2016).</w:t>
      </w:r>
    </w:p>
    <w:p w14:paraId="318F6C6B"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9.</w:t>
      </w:r>
      <w:r w:rsidRPr="00C12542">
        <w:rPr>
          <w:rFonts w:cs="Arial"/>
          <w:noProof/>
          <w:sz w:val="24"/>
          <w:szCs w:val="24"/>
        </w:rPr>
        <w:tab/>
        <w:t xml:space="preserve">Ntenda, P. A. M. &amp; Chuang, Y. C. Analysis of individual-level and community-level effects on childhood undernutrition in Malawi. </w:t>
      </w:r>
      <w:r w:rsidRPr="00C12542">
        <w:rPr>
          <w:rFonts w:cs="Arial"/>
          <w:i/>
          <w:iCs/>
          <w:noProof/>
          <w:sz w:val="24"/>
          <w:szCs w:val="24"/>
        </w:rPr>
        <w:t>Pediatr. Neonatol.</w:t>
      </w:r>
      <w:r w:rsidRPr="00C12542">
        <w:rPr>
          <w:rFonts w:cs="Arial"/>
          <w:noProof/>
          <w:sz w:val="24"/>
          <w:szCs w:val="24"/>
        </w:rPr>
        <w:t xml:space="preserve"> </w:t>
      </w:r>
      <w:r w:rsidRPr="00C12542">
        <w:rPr>
          <w:rFonts w:cs="Arial"/>
          <w:b/>
          <w:bCs/>
          <w:noProof/>
          <w:sz w:val="24"/>
          <w:szCs w:val="24"/>
        </w:rPr>
        <w:t>59</w:t>
      </w:r>
      <w:r w:rsidRPr="00C12542">
        <w:rPr>
          <w:rFonts w:cs="Arial"/>
          <w:noProof/>
          <w:sz w:val="24"/>
          <w:szCs w:val="24"/>
        </w:rPr>
        <w:t>, 380–389 (2018).</w:t>
      </w:r>
    </w:p>
    <w:p w14:paraId="663F0396"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10.</w:t>
      </w:r>
      <w:r w:rsidRPr="00C12542">
        <w:rPr>
          <w:rFonts w:cs="Arial"/>
          <w:noProof/>
          <w:sz w:val="24"/>
          <w:szCs w:val="24"/>
        </w:rPr>
        <w:tab/>
        <w:t xml:space="preserve">Christian, P. </w:t>
      </w:r>
      <w:r w:rsidRPr="00C12542">
        <w:rPr>
          <w:rFonts w:cs="Arial"/>
          <w:i/>
          <w:iCs/>
          <w:noProof/>
          <w:sz w:val="24"/>
          <w:szCs w:val="24"/>
        </w:rPr>
        <w:t>et al.</w:t>
      </w:r>
      <w:r w:rsidRPr="00C12542">
        <w:rPr>
          <w:rFonts w:cs="Arial"/>
          <w:noProof/>
          <w:sz w:val="24"/>
          <w:szCs w:val="24"/>
        </w:rPr>
        <w:t xml:space="preserve"> Risk of childhood undernutrition related to small-for-gestational age and preterm birth in low- and middle-income countries. </w:t>
      </w:r>
      <w:r w:rsidRPr="00C12542">
        <w:rPr>
          <w:rFonts w:cs="Arial"/>
          <w:i/>
          <w:iCs/>
          <w:noProof/>
          <w:sz w:val="24"/>
          <w:szCs w:val="24"/>
        </w:rPr>
        <w:t>Int. J. Epidemiol.</w:t>
      </w:r>
      <w:r w:rsidRPr="00C12542">
        <w:rPr>
          <w:rFonts w:cs="Arial"/>
          <w:noProof/>
          <w:sz w:val="24"/>
          <w:szCs w:val="24"/>
        </w:rPr>
        <w:t xml:space="preserve"> </w:t>
      </w:r>
      <w:r w:rsidRPr="00C12542">
        <w:rPr>
          <w:rFonts w:cs="Arial"/>
          <w:b/>
          <w:bCs/>
          <w:noProof/>
          <w:sz w:val="24"/>
          <w:szCs w:val="24"/>
        </w:rPr>
        <w:t>42</w:t>
      </w:r>
      <w:r w:rsidRPr="00C12542">
        <w:rPr>
          <w:rFonts w:cs="Arial"/>
          <w:noProof/>
          <w:sz w:val="24"/>
          <w:szCs w:val="24"/>
        </w:rPr>
        <w:t>, 1340–1355 (2013).</w:t>
      </w:r>
    </w:p>
    <w:p w14:paraId="1A796C9C"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11.</w:t>
      </w:r>
      <w:r w:rsidRPr="00C12542">
        <w:rPr>
          <w:rFonts w:cs="Arial"/>
          <w:noProof/>
          <w:sz w:val="24"/>
          <w:szCs w:val="24"/>
        </w:rPr>
        <w:tab/>
        <w:t xml:space="preserve">Maleta, K., Virtanen, S. M., Espo, M., Kulmala, T. &amp; Ashorn, P. Childhood malnutrition and its predictors in rural Malawi. </w:t>
      </w:r>
      <w:r w:rsidRPr="00C12542">
        <w:rPr>
          <w:rFonts w:cs="Arial"/>
          <w:i/>
          <w:iCs/>
          <w:noProof/>
          <w:sz w:val="24"/>
          <w:szCs w:val="24"/>
        </w:rPr>
        <w:t>Paediatr. Perinat. Epidemiol.</w:t>
      </w:r>
      <w:r w:rsidRPr="00C12542">
        <w:rPr>
          <w:rFonts w:cs="Arial"/>
          <w:noProof/>
          <w:sz w:val="24"/>
          <w:szCs w:val="24"/>
        </w:rPr>
        <w:t xml:space="preserve"> </w:t>
      </w:r>
      <w:r w:rsidRPr="00C12542">
        <w:rPr>
          <w:rFonts w:cs="Arial"/>
          <w:b/>
          <w:bCs/>
          <w:noProof/>
          <w:sz w:val="24"/>
          <w:szCs w:val="24"/>
        </w:rPr>
        <w:t>17</w:t>
      </w:r>
      <w:r w:rsidRPr="00C12542">
        <w:rPr>
          <w:rFonts w:cs="Arial"/>
          <w:noProof/>
          <w:sz w:val="24"/>
          <w:szCs w:val="24"/>
        </w:rPr>
        <w:t>, 384–390 (2003).</w:t>
      </w:r>
    </w:p>
    <w:p w14:paraId="3F484B5A"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12.</w:t>
      </w:r>
      <w:r w:rsidRPr="00C12542">
        <w:rPr>
          <w:rFonts w:cs="Arial"/>
          <w:noProof/>
          <w:sz w:val="24"/>
          <w:szCs w:val="24"/>
        </w:rPr>
        <w:tab/>
        <w:t xml:space="preserve">Alvarez, J. L., Dent, N., Browne, L., Myatt, M. &amp; Briend, A. Mid-Upper Arm Circumference (MUAC) shows strong geographical variations in children with edema: Results from 2277 surveys in 55 countries. </w:t>
      </w:r>
      <w:r w:rsidRPr="00C12542">
        <w:rPr>
          <w:rFonts w:cs="Arial"/>
          <w:i/>
          <w:iCs/>
          <w:noProof/>
          <w:sz w:val="24"/>
          <w:szCs w:val="24"/>
        </w:rPr>
        <w:t>Arch. Public Heal.</w:t>
      </w:r>
      <w:r w:rsidRPr="00C12542">
        <w:rPr>
          <w:rFonts w:cs="Arial"/>
          <w:noProof/>
          <w:sz w:val="24"/>
          <w:szCs w:val="24"/>
        </w:rPr>
        <w:t xml:space="preserve"> </w:t>
      </w:r>
      <w:r w:rsidRPr="00C12542">
        <w:rPr>
          <w:rFonts w:cs="Arial"/>
          <w:b/>
          <w:bCs/>
          <w:noProof/>
          <w:sz w:val="24"/>
          <w:szCs w:val="24"/>
        </w:rPr>
        <w:t>76</w:t>
      </w:r>
      <w:r w:rsidRPr="00C12542">
        <w:rPr>
          <w:rFonts w:cs="Arial"/>
          <w:noProof/>
          <w:sz w:val="24"/>
          <w:szCs w:val="24"/>
        </w:rPr>
        <w:t>, 1–10 (2018).</w:t>
      </w:r>
    </w:p>
    <w:p w14:paraId="537F9BC1"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13.</w:t>
      </w:r>
      <w:r w:rsidRPr="00C12542">
        <w:rPr>
          <w:rFonts w:cs="Arial"/>
          <w:noProof/>
          <w:sz w:val="24"/>
          <w:szCs w:val="24"/>
        </w:rPr>
        <w:tab/>
        <w:t xml:space="preserve">Lenters, L., Wazny, K. &amp; Bhutta, Z. A. Management of Severe and Moderate Acute Malnutrition in Children. in </w:t>
      </w:r>
      <w:r w:rsidRPr="00C12542">
        <w:rPr>
          <w:rFonts w:cs="Arial"/>
          <w:i/>
          <w:iCs/>
          <w:noProof/>
          <w:sz w:val="24"/>
          <w:szCs w:val="24"/>
        </w:rPr>
        <w:t>Disease Control Priorities, Third Edition (Volume 2): Reproductive, Maternal, Newborn, and Child Health</w:t>
      </w:r>
      <w:r w:rsidRPr="00C12542">
        <w:rPr>
          <w:rFonts w:cs="Arial"/>
          <w:noProof/>
          <w:sz w:val="24"/>
          <w:szCs w:val="24"/>
        </w:rPr>
        <w:t xml:space="preserve"> 205–223 (The World Bank, 2016). doi:10.1596/978-1-4648-0348-2_ch11</w:t>
      </w:r>
    </w:p>
    <w:p w14:paraId="61870FB5"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14.</w:t>
      </w:r>
      <w:r w:rsidRPr="00C12542">
        <w:rPr>
          <w:rFonts w:cs="Arial"/>
          <w:noProof/>
          <w:sz w:val="24"/>
          <w:szCs w:val="24"/>
        </w:rPr>
        <w:tab/>
        <w:t xml:space="preserve">Maleta, K. &amp; Amadi, B. Community-based management of acute malnutrition (CMAM) in sub-Saharan Africa: Case studies from Ghana, Malawi, and Zambia. </w:t>
      </w:r>
      <w:r w:rsidRPr="00C12542">
        <w:rPr>
          <w:rFonts w:cs="Arial"/>
          <w:i/>
          <w:iCs/>
          <w:noProof/>
          <w:sz w:val="24"/>
          <w:szCs w:val="24"/>
        </w:rPr>
        <w:t>Food Nutr. Bull.</w:t>
      </w:r>
      <w:r w:rsidRPr="00C12542">
        <w:rPr>
          <w:rFonts w:cs="Arial"/>
          <w:noProof/>
          <w:sz w:val="24"/>
          <w:szCs w:val="24"/>
        </w:rPr>
        <w:t xml:space="preserve"> </w:t>
      </w:r>
      <w:r w:rsidRPr="00C12542">
        <w:rPr>
          <w:rFonts w:cs="Arial"/>
          <w:b/>
          <w:bCs/>
          <w:noProof/>
          <w:sz w:val="24"/>
          <w:szCs w:val="24"/>
        </w:rPr>
        <w:t>35</w:t>
      </w:r>
      <w:r w:rsidRPr="00C12542">
        <w:rPr>
          <w:rFonts w:cs="Arial"/>
          <w:noProof/>
          <w:sz w:val="24"/>
          <w:szCs w:val="24"/>
        </w:rPr>
        <w:t>, S34–S38 (2014).</w:t>
      </w:r>
    </w:p>
    <w:p w14:paraId="15726F5E"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15.</w:t>
      </w:r>
      <w:r w:rsidRPr="00C12542">
        <w:rPr>
          <w:rFonts w:cs="Arial"/>
          <w:noProof/>
          <w:sz w:val="24"/>
          <w:szCs w:val="24"/>
        </w:rPr>
        <w:tab/>
        <w:t xml:space="preserve">Schoonees, A., Lombard, M. J., Musekiwa, A., Nel, E. &amp; Volmink, J. Ready-to-use therapeutic food (RUTF) for home-based nutritional rehabilitation of severe acute malnutrition in children from six months to five years of age. </w:t>
      </w:r>
      <w:r w:rsidRPr="00C12542">
        <w:rPr>
          <w:rFonts w:cs="Arial"/>
          <w:i/>
          <w:iCs/>
          <w:noProof/>
          <w:sz w:val="24"/>
          <w:szCs w:val="24"/>
        </w:rPr>
        <w:t>Cochrane Database of Systematic Reviews</w:t>
      </w:r>
      <w:r w:rsidRPr="00C12542">
        <w:rPr>
          <w:rFonts w:cs="Arial"/>
          <w:noProof/>
          <w:sz w:val="24"/>
          <w:szCs w:val="24"/>
        </w:rPr>
        <w:t xml:space="preserve"> </w:t>
      </w:r>
      <w:r w:rsidRPr="00C12542">
        <w:rPr>
          <w:rFonts w:cs="Arial"/>
          <w:b/>
          <w:bCs/>
          <w:noProof/>
          <w:sz w:val="24"/>
          <w:szCs w:val="24"/>
        </w:rPr>
        <w:t>2019</w:t>
      </w:r>
      <w:r w:rsidRPr="00C12542">
        <w:rPr>
          <w:rFonts w:cs="Arial"/>
          <w:noProof/>
          <w:sz w:val="24"/>
          <w:szCs w:val="24"/>
        </w:rPr>
        <w:t>, (2019).</w:t>
      </w:r>
    </w:p>
    <w:p w14:paraId="6227301B"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16.</w:t>
      </w:r>
      <w:r w:rsidRPr="00C12542">
        <w:rPr>
          <w:rFonts w:cs="Arial"/>
          <w:noProof/>
          <w:sz w:val="24"/>
          <w:szCs w:val="24"/>
        </w:rPr>
        <w:tab/>
        <w:t xml:space="preserve">Stobaugh, H. C. </w:t>
      </w:r>
      <w:r w:rsidRPr="00C12542">
        <w:rPr>
          <w:rFonts w:cs="Arial"/>
          <w:i/>
          <w:iCs/>
          <w:noProof/>
          <w:sz w:val="24"/>
          <w:szCs w:val="24"/>
        </w:rPr>
        <w:t>et al.</w:t>
      </w:r>
      <w:r w:rsidRPr="00C12542">
        <w:rPr>
          <w:rFonts w:cs="Arial"/>
          <w:noProof/>
          <w:sz w:val="24"/>
          <w:szCs w:val="24"/>
        </w:rPr>
        <w:t xml:space="preserve"> Including whey protein and whey permeate in ready-to-use supplementary food improves recovery rates in children with moderate acute malnutrition: A randomized, double-blind clinical trial. </w:t>
      </w:r>
      <w:r w:rsidRPr="00C12542">
        <w:rPr>
          <w:rFonts w:cs="Arial"/>
          <w:i/>
          <w:iCs/>
          <w:noProof/>
          <w:sz w:val="24"/>
          <w:szCs w:val="24"/>
        </w:rPr>
        <w:t>Am. J. Clin. Nutr.</w:t>
      </w:r>
      <w:r w:rsidRPr="00C12542">
        <w:rPr>
          <w:rFonts w:cs="Arial"/>
          <w:noProof/>
          <w:sz w:val="24"/>
          <w:szCs w:val="24"/>
        </w:rPr>
        <w:t xml:space="preserve"> </w:t>
      </w:r>
      <w:r w:rsidRPr="00C12542">
        <w:rPr>
          <w:rFonts w:cs="Arial"/>
          <w:b/>
          <w:bCs/>
          <w:noProof/>
          <w:sz w:val="24"/>
          <w:szCs w:val="24"/>
        </w:rPr>
        <w:t>103</w:t>
      </w:r>
      <w:r w:rsidRPr="00C12542">
        <w:rPr>
          <w:rFonts w:cs="Arial"/>
          <w:noProof/>
          <w:sz w:val="24"/>
          <w:szCs w:val="24"/>
        </w:rPr>
        <w:t>, 926–933 (2016).</w:t>
      </w:r>
    </w:p>
    <w:p w14:paraId="146D562D"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17.</w:t>
      </w:r>
      <w:r w:rsidRPr="00C12542">
        <w:rPr>
          <w:rFonts w:cs="Arial"/>
          <w:noProof/>
          <w:sz w:val="24"/>
          <w:szCs w:val="24"/>
        </w:rPr>
        <w:tab/>
        <w:t xml:space="preserve">Lagrone, L., Cole, S., Schondelmeyer, A., Maleta, K. &amp; Manary, M. J. Locally produced ready-to-use supplementary food is an effective treatment of moderate acute malnutrition in an operational setting. </w:t>
      </w:r>
      <w:r w:rsidRPr="00C12542">
        <w:rPr>
          <w:rFonts w:cs="Arial"/>
          <w:i/>
          <w:iCs/>
          <w:noProof/>
          <w:sz w:val="24"/>
          <w:szCs w:val="24"/>
        </w:rPr>
        <w:t>Ann. Trop. Paediatr.</w:t>
      </w:r>
      <w:r w:rsidRPr="00C12542">
        <w:rPr>
          <w:rFonts w:cs="Arial"/>
          <w:noProof/>
          <w:sz w:val="24"/>
          <w:szCs w:val="24"/>
        </w:rPr>
        <w:t xml:space="preserve"> </w:t>
      </w:r>
      <w:r w:rsidRPr="00C12542">
        <w:rPr>
          <w:rFonts w:cs="Arial"/>
          <w:b/>
          <w:bCs/>
          <w:noProof/>
          <w:sz w:val="24"/>
          <w:szCs w:val="24"/>
        </w:rPr>
        <w:t>30</w:t>
      </w:r>
      <w:r w:rsidRPr="00C12542">
        <w:rPr>
          <w:rFonts w:cs="Arial"/>
          <w:noProof/>
          <w:sz w:val="24"/>
          <w:szCs w:val="24"/>
        </w:rPr>
        <w:t>, 103–108 (2010).</w:t>
      </w:r>
    </w:p>
    <w:p w14:paraId="418FB212"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18.</w:t>
      </w:r>
      <w:r w:rsidRPr="00C12542">
        <w:rPr>
          <w:rFonts w:cs="Arial"/>
          <w:noProof/>
          <w:sz w:val="24"/>
          <w:szCs w:val="24"/>
        </w:rPr>
        <w:tab/>
        <w:t xml:space="preserve">Desyibelew, H. D., Bayih, M. T., Baraki, A. G. &amp; Dadi, A. F. The recovery rate from severe acute malnutrition among under-five years of children remains low in sub-Saharan Africa. A systematic review and meta-analysis of observational studies. </w:t>
      </w:r>
      <w:r w:rsidRPr="00C12542">
        <w:rPr>
          <w:rFonts w:cs="Arial"/>
          <w:i/>
          <w:iCs/>
          <w:noProof/>
          <w:sz w:val="24"/>
          <w:szCs w:val="24"/>
        </w:rPr>
        <w:t>PLoS One</w:t>
      </w:r>
      <w:r w:rsidRPr="00C12542">
        <w:rPr>
          <w:rFonts w:cs="Arial"/>
          <w:noProof/>
          <w:sz w:val="24"/>
          <w:szCs w:val="24"/>
        </w:rPr>
        <w:t xml:space="preserve"> </w:t>
      </w:r>
      <w:r w:rsidRPr="00C12542">
        <w:rPr>
          <w:rFonts w:cs="Arial"/>
          <w:b/>
          <w:bCs/>
          <w:noProof/>
          <w:sz w:val="24"/>
          <w:szCs w:val="24"/>
        </w:rPr>
        <w:t>15</w:t>
      </w:r>
      <w:r w:rsidRPr="00C12542">
        <w:rPr>
          <w:rFonts w:cs="Arial"/>
          <w:noProof/>
          <w:sz w:val="24"/>
          <w:szCs w:val="24"/>
        </w:rPr>
        <w:t>, (2020).</w:t>
      </w:r>
    </w:p>
    <w:p w14:paraId="40AF3F72"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19.</w:t>
      </w:r>
      <w:r w:rsidRPr="00C12542">
        <w:rPr>
          <w:rFonts w:cs="Arial"/>
          <w:noProof/>
          <w:sz w:val="24"/>
          <w:szCs w:val="24"/>
        </w:rPr>
        <w:tab/>
        <w:t xml:space="preserve">Grellety, E. &amp; Golden, M. H. Severely malnourished children with a low weight-for-height have a higher mortality than those with a low mid-upper-arm-circumference: I. Empirical data demonstrates Simpson’s paradox. </w:t>
      </w:r>
      <w:r w:rsidRPr="00C12542">
        <w:rPr>
          <w:rFonts w:cs="Arial"/>
          <w:i/>
          <w:iCs/>
          <w:noProof/>
          <w:sz w:val="24"/>
          <w:szCs w:val="24"/>
        </w:rPr>
        <w:t>Nutr. J.</w:t>
      </w:r>
      <w:r w:rsidRPr="00C12542">
        <w:rPr>
          <w:rFonts w:cs="Arial"/>
          <w:noProof/>
          <w:sz w:val="24"/>
          <w:szCs w:val="24"/>
        </w:rPr>
        <w:t xml:space="preserve"> </w:t>
      </w:r>
      <w:r w:rsidRPr="00C12542">
        <w:rPr>
          <w:rFonts w:cs="Arial"/>
          <w:b/>
          <w:bCs/>
          <w:noProof/>
          <w:sz w:val="24"/>
          <w:szCs w:val="24"/>
        </w:rPr>
        <w:t>17</w:t>
      </w:r>
      <w:r w:rsidRPr="00C12542">
        <w:rPr>
          <w:rFonts w:cs="Arial"/>
          <w:noProof/>
          <w:sz w:val="24"/>
          <w:szCs w:val="24"/>
        </w:rPr>
        <w:t>, (2018).</w:t>
      </w:r>
    </w:p>
    <w:p w14:paraId="1E21C944"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20.</w:t>
      </w:r>
      <w:r w:rsidRPr="00C12542">
        <w:rPr>
          <w:rFonts w:cs="Arial"/>
          <w:noProof/>
          <w:sz w:val="24"/>
          <w:szCs w:val="24"/>
        </w:rPr>
        <w:tab/>
        <w:t xml:space="preserve">CORTASAM. </w:t>
      </w:r>
      <w:r w:rsidRPr="00C12542">
        <w:rPr>
          <w:rFonts w:cs="Arial"/>
          <w:i/>
          <w:iCs/>
          <w:noProof/>
          <w:sz w:val="24"/>
          <w:szCs w:val="24"/>
        </w:rPr>
        <w:t>GUIDANCE TO IMPROVE THE COLLECTING AND REPORTING OF DATA ON RELAPSE IN CHILDREN FOLLOWING TREATMENT IN WASTING PROGRAMMES</w:t>
      </w:r>
      <w:r w:rsidRPr="00C12542">
        <w:rPr>
          <w:rFonts w:cs="Arial"/>
          <w:noProof/>
          <w:sz w:val="24"/>
          <w:szCs w:val="24"/>
        </w:rPr>
        <w:t>. (2020).</w:t>
      </w:r>
    </w:p>
    <w:p w14:paraId="1132E8CF"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21.</w:t>
      </w:r>
      <w:r w:rsidRPr="00C12542">
        <w:rPr>
          <w:rFonts w:cs="Arial"/>
          <w:noProof/>
          <w:sz w:val="24"/>
          <w:szCs w:val="24"/>
        </w:rPr>
        <w:tab/>
        <w:t xml:space="preserve">Fenske, N., Burns, J., Hothorn, T. &amp; Rehfuess, E. A. Understanding child stunting in India: A comprehensive analysis of socio-economic, nutritional and environmental determinants using additive quantile regression. </w:t>
      </w:r>
      <w:r w:rsidRPr="00C12542">
        <w:rPr>
          <w:rFonts w:cs="Arial"/>
          <w:i/>
          <w:iCs/>
          <w:noProof/>
          <w:sz w:val="24"/>
          <w:szCs w:val="24"/>
        </w:rPr>
        <w:t>PLoS One</w:t>
      </w:r>
      <w:r w:rsidRPr="00C12542">
        <w:rPr>
          <w:rFonts w:cs="Arial"/>
          <w:noProof/>
          <w:sz w:val="24"/>
          <w:szCs w:val="24"/>
        </w:rPr>
        <w:t xml:space="preserve"> </w:t>
      </w:r>
      <w:r w:rsidRPr="00C12542">
        <w:rPr>
          <w:rFonts w:cs="Arial"/>
          <w:b/>
          <w:bCs/>
          <w:noProof/>
          <w:sz w:val="24"/>
          <w:szCs w:val="24"/>
        </w:rPr>
        <w:t>8</w:t>
      </w:r>
      <w:r w:rsidRPr="00C12542">
        <w:rPr>
          <w:rFonts w:cs="Arial"/>
          <w:noProof/>
          <w:sz w:val="24"/>
          <w:szCs w:val="24"/>
        </w:rPr>
        <w:t>, e78692 (2013).</w:t>
      </w:r>
    </w:p>
    <w:p w14:paraId="6919FC07"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lastRenderedPageBreak/>
        <w:t>22.</w:t>
      </w:r>
      <w:r w:rsidRPr="00C12542">
        <w:rPr>
          <w:rFonts w:cs="Arial"/>
          <w:noProof/>
          <w:sz w:val="24"/>
          <w:szCs w:val="24"/>
        </w:rPr>
        <w:tab/>
        <w:t xml:space="preserve">World Health Organization. </w:t>
      </w:r>
      <w:r w:rsidRPr="00C12542">
        <w:rPr>
          <w:rFonts w:cs="Arial"/>
          <w:i/>
          <w:iCs/>
          <w:noProof/>
          <w:sz w:val="24"/>
          <w:szCs w:val="24"/>
        </w:rPr>
        <w:t>Reducing Stunting in Children: Equity considerations for achieving the Global Nutrition Targets 2025</w:t>
      </w:r>
      <w:r w:rsidRPr="00C12542">
        <w:rPr>
          <w:rFonts w:cs="Arial"/>
          <w:noProof/>
          <w:sz w:val="24"/>
          <w:szCs w:val="24"/>
        </w:rPr>
        <w:t>. (2018).</w:t>
      </w:r>
    </w:p>
    <w:p w14:paraId="24E6868A" w14:textId="77777777" w:rsidR="00C12542" w:rsidRPr="00C12542" w:rsidRDefault="00C12542" w:rsidP="00C12542">
      <w:pPr>
        <w:widowControl w:val="0"/>
        <w:autoSpaceDE w:val="0"/>
        <w:autoSpaceDN w:val="0"/>
        <w:adjustRightInd w:val="0"/>
        <w:spacing w:line="240" w:lineRule="auto"/>
        <w:ind w:left="640" w:hanging="640"/>
        <w:rPr>
          <w:rFonts w:cs="Arial"/>
          <w:noProof/>
          <w:sz w:val="24"/>
          <w:szCs w:val="24"/>
        </w:rPr>
      </w:pPr>
      <w:r w:rsidRPr="00C12542">
        <w:rPr>
          <w:rFonts w:cs="Arial"/>
          <w:noProof/>
          <w:sz w:val="24"/>
          <w:szCs w:val="24"/>
        </w:rPr>
        <w:t>23.</w:t>
      </w:r>
      <w:r w:rsidRPr="00C12542">
        <w:rPr>
          <w:rFonts w:cs="Arial"/>
          <w:noProof/>
          <w:sz w:val="24"/>
          <w:szCs w:val="24"/>
        </w:rPr>
        <w:tab/>
        <w:t xml:space="preserve">Wright, C. M. </w:t>
      </w:r>
      <w:r w:rsidRPr="00C12542">
        <w:rPr>
          <w:rFonts w:cs="Arial"/>
          <w:i/>
          <w:iCs/>
          <w:noProof/>
          <w:sz w:val="24"/>
          <w:szCs w:val="24"/>
        </w:rPr>
        <w:t>et al.</w:t>
      </w:r>
      <w:r w:rsidRPr="00C12542">
        <w:rPr>
          <w:rFonts w:cs="Arial"/>
          <w:noProof/>
          <w:sz w:val="24"/>
          <w:szCs w:val="24"/>
        </w:rPr>
        <w:t xml:space="preserve"> Wasting and Stunting in Infants and Young Children as Risk Factors for Subsequent Stunting or Mortality: Longitudinal Analysis of Data from Malawi, South Africa, and Pakistan. </w:t>
      </w:r>
      <w:r w:rsidRPr="00C12542">
        <w:rPr>
          <w:rFonts w:cs="Arial"/>
          <w:i/>
          <w:iCs/>
          <w:noProof/>
          <w:sz w:val="24"/>
          <w:szCs w:val="24"/>
        </w:rPr>
        <w:t>J. Nutr.</w:t>
      </w:r>
      <w:r w:rsidRPr="00C12542">
        <w:rPr>
          <w:rFonts w:cs="Arial"/>
          <w:noProof/>
          <w:sz w:val="24"/>
          <w:szCs w:val="24"/>
        </w:rPr>
        <w:t xml:space="preserve"> (2021). doi:10.1093/jn/nxab054</w:t>
      </w:r>
    </w:p>
    <w:p w14:paraId="3AC4287C" w14:textId="77777777" w:rsidR="00C12542" w:rsidRPr="00C12542" w:rsidRDefault="00C12542" w:rsidP="00C12542">
      <w:pPr>
        <w:widowControl w:val="0"/>
        <w:autoSpaceDE w:val="0"/>
        <w:autoSpaceDN w:val="0"/>
        <w:adjustRightInd w:val="0"/>
        <w:spacing w:line="240" w:lineRule="auto"/>
        <w:ind w:left="640" w:hanging="640"/>
        <w:rPr>
          <w:rFonts w:cs="Arial"/>
          <w:noProof/>
          <w:sz w:val="24"/>
        </w:rPr>
      </w:pPr>
      <w:r w:rsidRPr="00C12542">
        <w:rPr>
          <w:rFonts w:cs="Arial"/>
          <w:noProof/>
          <w:sz w:val="24"/>
          <w:szCs w:val="24"/>
        </w:rPr>
        <w:t>24.</w:t>
      </w:r>
      <w:r w:rsidRPr="00C12542">
        <w:rPr>
          <w:rFonts w:cs="Arial"/>
          <w:noProof/>
          <w:sz w:val="24"/>
          <w:szCs w:val="24"/>
        </w:rPr>
        <w:tab/>
        <w:t xml:space="preserve">Bhutta, Z. A. </w:t>
      </w:r>
      <w:r w:rsidRPr="00C12542">
        <w:rPr>
          <w:rFonts w:cs="Arial"/>
          <w:i/>
          <w:iCs/>
          <w:noProof/>
          <w:sz w:val="24"/>
          <w:szCs w:val="24"/>
        </w:rPr>
        <w:t>et al.</w:t>
      </w:r>
      <w:r w:rsidRPr="00C12542">
        <w:rPr>
          <w:rFonts w:cs="Arial"/>
          <w:noProof/>
          <w:sz w:val="24"/>
          <w:szCs w:val="24"/>
        </w:rPr>
        <w:t xml:space="preserve"> What works? Interventions for maternal and child undernutrition and survival. </w:t>
      </w:r>
      <w:r w:rsidRPr="00C12542">
        <w:rPr>
          <w:rFonts w:cs="Arial"/>
          <w:i/>
          <w:iCs/>
          <w:noProof/>
          <w:sz w:val="24"/>
          <w:szCs w:val="24"/>
        </w:rPr>
        <w:t>The Lancet</w:t>
      </w:r>
      <w:r w:rsidRPr="00C12542">
        <w:rPr>
          <w:rFonts w:cs="Arial"/>
          <w:noProof/>
          <w:sz w:val="24"/>
          <w:szCs w:val="24"/>
        </w:rPr>
        <w:t xml:space="preserve"> </w:t>
      </w:r>
      <w:r w:rsidRPr="00C12542">
        <w:rPr>
          <w:rFonts w:cs="Arial"/>
          <w:b/>
          <w:bCs/>
          <w:noProof/>
          <w:sz w:val="24"/>
          <w:szCs w:val="24"/>
        </w:rPr>
        <w:t>371</w:t>
      </w:r>
      <w:r w:rsidRPr="00C12542">
        <w:rPr>
          <w:rFonts w:cs="Arial"/>
          <w:noProof/>
          <w:sz w:val="24"/>
          <w:szCs w:val="24"/>
        </w:rPr>
        <w:t>, 417–440 (2008).</w:t>
      </w:r>
    </w:p>
    <w:p w14:paraId="75547E84" w14:textId="77777777" w:rsidR="002951A1" w:rsidRPr="00804831" w:rsidRDefault="002951A1" w:rsidP="00804831">
      <w:r>
        <w:fldChar w:fldCharType="end"/>
      </w:r>
    </w:p>
    <w:sectPr w:rsidR="002951A1" w:rsidRPr="00804831" w:rsidSect="002E4D31">
      <w:pgSz w:w="11906" w:h="16838"/>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Ines Li Lin" w:date="2021-05-20T16:42:00Z" w:initials="LLI">
    <w:p w14:paraId="1A15A27D" w14:textId="7BF7B146" w:rsidR="009D26F9" w:rsidRDefault="009D26F9" w:rsidP="003A3D62">
      <w:pPr>
        <w:pStyle w:val="CommentText"/>
        <w:ind w:firstLine="0"/>
      </w:pPr>
      <w:r>
        <w:rPr>
          <w:rStyle w:val="CommentReference"/>
        </w:rPr>
        <w:annotationRef/>
      </w:r>
      <w:r>
        <w:t>Parameters yet to be added and referenced from the literature.</w:t>
      </w:r>
    </w:p>
  </w:comment>
  <w:comment w:id="27" w:author="Ines Li Lin [2]" w:date="2021-06-07T13:08:00Z" w:initials="LLI">
    <w:p w14:paraId="13F2293A" w14:textId="6E8A0C69" w:rsidR="009D26F9" w:rsidRDefault="009D26F9" w:rsidP="00320AE6">
      <w:r>
        <w:rPr>
          <w:rStyle w:val="CommentReference"/>
        </w:rPr>
        <w:annotationRef/>
      </w:r>
      <w:r>
        <w:t xml:space="preserve">Also includes but not in the code: </w:t>
      </w:r>
    </w:p>
    <w:p w14:paraId="35116ABB" w14:textId="651C90F6" w:rsidR="009D26F9" w:rsidRDefault="009D26F9" w:rsidP="00320AE6">
      <w:r>
        <w:sym w:font="Symbol" w:char="F0B7"/>
      </w:r>
      <w:r>
        <w:t xml:space="preserve"> All pregnant women with a MUAC &lt; 22.0 cm </w:t>
      </w:r>
    </w:p>
    <w:p w14:paraId="78386092" w14:textId="77777777" w:rsidR="009D26F9" w:rsidRDefault="009D26F9" w:rsidP="00320AE6">
      <w:r>
        <w:sym w:font="Symbol" w:char="F0B7"/>
      </w:r>
      <w:r>
        <w:t xml:space="preserve"> Lactating women (up to 6 months postpartum) with a MUAC &lt; 22.0 cm </w:t>
      </w:r>
    </w:p>
    <w:p w14:paraId="25DDBCAC" w14:textId="77777777" w:rsidR="009D26F9" w:rsidRDefault="009D26F9" w:rsidP="00320AE6">
      <w:r>
        <w:sym w:font="Symbol" w:char="F0B7"/>
      </w:r>
      <w:r>
        <w:t xml:space="preserve"> Lactating mothers and infants 0–6 months who have been discharged from the NRU</w:t>
      </w:r>
    </w:p>
    <w:p w14:paraId="0484686D" w14:textId="469BE13C" w:rsidR="009D26F9" w:rsidRDefault="009D26F9">
      <w:pPr>
        <w:pStyle w:val="CommentText"/>
      </w:pPr>
    </w:p>
  </w:comment>
  <w:comment w:id="29" w:author="Ines Li Lin" w:date="2021-05-15T13:26:00Z" w:initials="I">
    <w:p w14:paraId="73614FB3" w14:textId="005764D0" w:rsidR="009D26F9" w:rsidRDefault="009D26F9" w:rsidP="003229FE">
      <w:pPr>
        <w:pStyle w:val="CommentText"/>
        <w:ind w:firstLine="0"/>
      </w:pPr>
      <w:r>
        <w:rPr>
          <w:rStyle w:val="CommentReference"/>
        </w:rPr>
        <w:annotationRef/>
      </w:r>
      <w:r>
        <w:t>WHZ distribution to model prevalence of wasting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15A27D" w15:done="0"/>
  <w15:commentEx w15:paraId="0484686D" w15:done="0"/>
  <w15:commentEx w15:paraId="73614F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10FDA" w16cex:dateUtc="2021-05-20T15:42:00Z"/>
  <w16cex:commentExtensible w16cex:durableId="246898C7" w16cex:dateUtc="2021-06-07T12:08:00Z"/>
  <w16cex:commentExtensible w16cex:durableId="244A4A69" w16cex:dateUtc="2021-05-15T1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15A27D" w16cid:durableId="24510FDA"/>
  <w16cid:commentId w16cid:paraId="0484686D" w16cid:durableId="246898C7"/>
  <w16cid:commentId w16cid:paraId="73614FB3" w16cid:durableId="244A4A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3562D" w14:textId="77777777" w:rsidR="003905C6" w:rsidRDefault="003905C6" w:rsidP="00170F7E">
      <w:pPr>
        <w:spacing w:line="240" w:lineRule="auto"/>
      </w:pPr>
      <w:r>
        <w:separator/>
      </w:r>
    </w:p>
  </w:endnote>
  <w:endnote w:type="continuationSeparator" w:id="0">
    <w:p w14:paraId="05AD5661" w14:textId="77777777" w:rsidR="003905C6" w:rsidRDefault="003905C6" w:rsidP="00170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C4DA" w14:textId="77777777" w:rsidR="003905C6" w:rsidRDefault="003905C6" w:rsidP="00170F7E">
      <w:pPr>
        <w:spacing w:line="240" w:lineRule="auto"/>
      </w:pPr>
      <w:r>
        <w:separator/>
      </w:r>
    </w:p>
  </w:footnote>
  <w:footnote w:type="continuationSeparator" w:id="0">
    <w:p w14:paraId="6CEFA550" w14:textId="77777777" w:rsidR="003905C6" w:rsidRDefault="003905C6" w:rsidP="00170F7E">
      <w:pPr>
        <w:spacing w:line="240" w:lineRule="auto"/>
      </w:pPr>
      <w:r>
        <w:continuationSeparator/>
      </w:r>
    </w:p>
  </w:footnote>
  <w:footnote w:id="1">
    <w:p w14:paraId="27D01A6A" w14:textId="77777777" w:rsidR="009D26F9" w:rsidRDefault="009D26F9" w:rsidP="00751F97">
      <w:pPr>
        <w:pStyle w:val="FootnoteText"/>
        <w:ind w:firstLine="0"/>
      </w:pPr>
      <w:r>
        <w:rPr>
          <w:rStyle w:val="FootnoteReference"/>
        </w:rPr>
        <w:footnoteRef/>
      </w:r>
      <w:r>
        <w:t xml:space="preserve"> As per current standard WHO guidelines: upon reaching WHZ&gt;=-2 or MUAC &gt;=125mm and no oedema for at least 2 weeks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F1A"/>
    <w:multiLevelType w:val="hybridMultilevel"/>
    <w:tmpl w:val="DF0A1B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0F7F76"/>
    <w:multiLevelType w:val="hybridMultilevel"/>
    <w:tmpl w:val="48E4C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7F53D1"/>
    <w:multiLevelType w:val="hybridMultilevel"/>
    <w:tmpl w:val="96781300"/>
    <w:lvl w:ilvl="0" w:tplc="80A81ECA">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B52AF0"/>
    <w:multiLevelType w:val="hybridMultilevel"/>
    <w:tmpl w:val="F3DE540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09133C"/>
    <w:multiLevelType w:val="hybridMultilevel"/>
    <w:tmpl w:val="42ECAB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2C22AD"/>
    <w:multiLevelType w:val="multilevel"/>
    <w:tmpl w:val="EB4E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13128"/>
    <w:multiLevelType w:val="hybridMultilevel"/>
    <w:tmpl w:val="33C8FC76"/>
    <w:lvl w:ilvl="0" w:tplc="4888E2E6">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0C117A"/>
    <w:multiLevelType w:val="hybridMultilevel"/>
    <w:tmpl w:val="644291E0"/>
    <w:lvl w:ilvl="0" w:tplc="0809001B">
      <w:start w:val="1"/>
      <w:numFmt w:val="lowerRoman"/>
      <w:lvlText w:val="%1."/>
      <w:lvlJc w:val="righ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0015F6A"/>
    <w:multiLevelType w:val="hybridMultilevel"/>
    <w:tmpl w:val="93E09A80"/>
    <w:lvl w:ilvl="0" w:tplc="6D5E378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8F435E9"/>
    <w:multiLevelType w:val="hybridMultilevel"/>
    <w:tmpl w:val="B75842C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95F369A"/>
    <w:multiLevelType w:val="multilevel"/>
    <w:tmpl w:val="C9E0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885D68"/>
    <w:multiLevelType w:val="multilevel"/>
    <w:tmpl w:val="493E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F2D2C"/>
    <w:multiLevelType w:val="hybridMultilevel"/>
    <w:tmpl w:val="7B9480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CAA1119"/>
    <w:multiLevelType w:val="hybridMultilevel"/>
    <w:tmpl w:val="5B72B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6ED3013"/>
    <w:multiLevelType w:val="hybridMultilevel"/>
    <w:tmpl w:val="FA7E3E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7CB0BDE"/>
    <w:multiLevelType w:val="hybridMultilevel"/>
    <w:tmpl w:val="EBF6DF52"/>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9AA3533"/>
    <w:multiLevelType w:val="multilevel"/>
    <w:tmpl w:val="3894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2507B8"/>
    <w:multiLevelType w:val="multilevel"/>
    <w:tmpl w:val="8000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63FBE"/>
    <w:multiLevelType w:val="hybridMultilevel"/>
    <w:tmpl w:val="1A582C3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2FC6354"/>
    <w:multiLevelType w:val="hybridMultilevel"/>
    <w:tmpl w:val="AB80F67A"/>
    <w:lvl w:ilvl="0" w:tplc="80A81ECA">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A8C7324"/>
    <w:multiLevelType w:val="hybridMultilevel"/>
    <w:tmpl w:val="1182F6E2"/>
    <w:lvl w:ilvl="0" w:tplc="4888E2E6">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C7711A7"/>
    <w:multiLevelType w:val="hybridMultilevel"/>
    <w:tmpl w:val="EE26D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ED4925"/>
    <w:multiLevelType w:val="hybridMultilevel"/>
    <w:tmpl w:val="FE14F0A4"/>
    <w:lvl w:ilvl="0" w:tplc="B99E712C">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DE5972"/>
    <w:multiLevelType w:val="multilevel"/>
    <w:tmpl w:val="4C76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E53857"/>
    <w:multiLevelType w:val="hybridMultilevel"/>
    <w:tmpl w:val="C61CCE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2"/>
  </w:num>
  <w:num w:numId="3">
    <w:abstractNumId w:val="6"/>
  </w:num>
  <w:num w:numId="4">
    <w:abstractNumId w:val="18"/>
  </w:num>
  <w:num w:numId="5">
    <w:abstractNumId w:val="3"/>
  </w:num>
  <w:num w:numId="6">
    <w:abstractNumId w:val="0"/>
  </w:num>
  <w:num w:numId="7">
    <w:abstractNumId w:val="9"/>
  </w:num>
  <w:num w:numId="8">
    <w:abstractNumId w:val="21"/>
  </w:num>
  <w:num w:numId="9">
    <w:abstractNumId w:val="24"/>
  </w:num>
  <w:num w:numId="10">
    <w:abstractNumId w:val="7"/>
  </w:num>
  <w:num w:numId="11">
    <w:abstractNumId w:val="23"/>
  </w:num>
  <w:num w:numId="12">
    <w:abstractNumId w:val="5"/>
  </w:num>
  <w:num w:numId="13">
    <w:abstractNumId w:val="11"/>
  </w:num>
  <w:num w:numId="14">
    <w:abstractNumId w:val="10"/>
  </w:num>
  <w:num w:numId="15">
    <w:abstractNumId w:val="16"/>
  </w:num>
  <w:num w:numId="16">
    <w:abstractNumId w:val="17"/>
  </w:num>
  <w:num w:numId="17">
    <w:abstractNumId w:val="15"/>
  </w:num>
  <w:num w:numId="18">
    <w:abstractNumId w:val="20"/>
  </w:num>
  <w:num w:numId="19">
    <w:abstractNumId w:val="13"/>
  </w:num>
  <w:num w:numId="20">
    <w:abstractNumId w:val="12"/>
  </w:num>
  <w:num w:numId="21">
    <w:abstractNumId w:val="8"/>
  </w:num>
  <w:num w:numId="22">
    <w:abstractNumId w:val="4"/>
  </w:num>
  <w:num w:numId="23">
    <w:abstractNumId w:val="14"/>
  </w:num>
  <w:num w:numId="24">
    <w:abstractNumId w:val="19"/>
  </w:num>
  <w:num w:numId="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es Li Lin">
    <w15:presenceInfo w15:providerId="AD" w15:userId="S::sejjil0@ucl.ac.uk::d7cc453d-575b-4ce6-b53b-d3d33afd8e0c"/>
  </w15:person>
  <w15:person w15:author="Ines Li Lin [2]">
    <w15:presenceInfo w15:providerId="AD" w15:userId="S::sejjil0@ucl.ac.uk::d7cc453d-575b-4ce6-b53b-d3d33afd8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224"/>
    <w:rsid w:val="000005E8"/>
    <w:rsid w:val="000022EB"/>
    <w:rsid w:val="000059C6"/>
    <w:rsid w:val="00005E4B"/>
    <w:rsid w:val="000126C5"/>
    <w:rsid w:val="00013E31"/>
    <w:rsid w:val="0001409B"/>
    <w:rsid w:val="000374EA"/>
    <w:rsid w:val="00041756"/>
    <w:rsid w:val="000436B3"/>
    <w:rsid w:val="00091B09"/>
    <w:rsid w:val="00096E3F"/>
    <w:rsid w:val="000A0A38"/>
    <w:rsid w:val="000A44E3"/>
    <w:rsid w:val="000B12B6"/>
    <w:rsid w:val="000C70DC"/>
    <w:rsid w:val="000D3B4F"/>
    <w:rsid w:val="000E4EEA"/>
    <w:rsid w:val="000E7B63"/>
    <w:rsid w:val="00101B26"/>
    <w:rsid w:val="001129AA"/>
    <w:rsid w:val="00122AB5"/>
    <w:rsid w:val="00122BC3"/>
    <w:rsid w:val="00131B95"/>
    <w:rsid w:val="00150D05"/>
    <w:rsid w:val="00153DC1"/>
    <w:rsid w:val="001608C1"/>
    <w:rsid w:val="0016449C"/>
    <w:rsid w:val="00170F7E"/>
    <w:rsid w:val="00191A34"/>
    <w:rsid w:val="001949A9"/>
    <w:rsid w:val="001A4ADD"/>
    <w:rsid w:val="001B4981"/>
    <w:rsid w:val="001B51F5"/>
    <w:rsid w:val="001D5F0A"/>
    <w:rsid w:val="001F6710"/>
    <w:rsid w:val="002020C0"/>
    <w:rsid w:val="00202549"/>
    <w:rsid w:val="00204FE9"/>
    <w:rsid w:val="002101C2"/>
    <w:rsid w:val="00213465"/>
    <w:rsid w:val="002161D5"/>
    <w:rsid w:val="002165DB"/>
    <w:rsid w:val="0022170E"/>
    <w:rsid w:val="00243ED8"/>
    <w:rsid w:val="002444E3"/>
    <w:rsid w:val="002545A4"/>
    <w:rsid w:val="0026278E"/>
    <w:rsid w:val="00262827"/>
    <w:rsid w:val="00267D44"/>
    <w:rsid w:val="002707D4"/>
    <w:rsid w:val="0027147C"/>
    <w:rsid w:val="00290A0B"/>
    <w:rsid w:val="00295192"/>
    <w:rsid w:val="002951A1"/>
    <w:rsid w:val="002A0AFC"/>
    <w:rsid w:val="002A54E2"/>
    <w:rsid w:val="002A6AD3"/>
    <w:rsid w:val="002B0BDE"/>
    <w:rsid w:val="002B5BAC"/>
    <w:rsid w:val="002C0F9A"/>
    <w:rsid w:val="002D20B5"/>
    <w:rsid w:val="002E237C"/>
    <w:rsid w:val="002E4D31"/>
    <w:rsid w:val="002F3547"/>
    <w:rsid w:val="003018AF"/>
    <w:rsid w:val="003046AA"/>
    <w:rsid w:val="00304913"/>
    <w:rsid w:val="00320AE6"/>
    <w:rsid w:val="003229FE"/>
    <w:rsid w:val="00330F4E"/>
    <w:rsid w:val="00333B9F"/>
    <w:rsid w:val="00337294"/>
    <w:rsid w:val="00341E07"/>
    <w:rsid w:val="00347317"/>
    <w:rsid w:val="00364C36"/>
    <w:rsid w:val="00375ABB"/>
    <w:rsid w:val="0038070A"/>
    <w:rsid w:val="00381AF0"/>
    <w:rsid w:val="00383690"/>
    <w:rsid w:val="003905C6"/>
    <w:rsid w:val="003922B6"/>
    <w:rsid w:val="003936FC"/>
    <w:rsid w:val="003A0CDC"/>
    <w:rsid w:val="003A0FB1"/>
    <w:rsid w:val="003A3D62"/>
    <w:rsid w:val="003A469E"/>
    <w:rsid w:val="003D615D"/>
    <w:rsid w:val="003E0792"/>
    <w:rsid w:val="004154BA"/>
    <w:rsid w:val="004211F1"/>
    <w:rsid w:val="00431D27"/>
    <w:rsid w:val="00437F19"/>
    <w:rsid w:val="0045231A"/>
    <w:rsid w:val="00460A79"/>
    <w:rsid w:val="004664D6"/>
    <w:rsid w:val="004721E1"/>
    <w:rsid w:val="004841D3"/>
    <w:rsid w:val="00487BEC"/>
    <w:rsid w:val="00493833"/>
    <w:rsid w:val="004A251C"/>
    <w:rsid w:val="004A468D"/>
    <w:rsid w:val="004B1F26"/>
    <w:rsid w:val="004B2273"/>
    <w:rsid w:val="004B240E"/>
    <w:rsid w:val="004C2FAF"/>
    <w:rsid w:val="004C7E6B"/>
    <w:rsid w:val="004D3073"/>
    <w:rsid w:val="004D32B3"/>
    <w:rsid w:val="004D3B8D"/>
    <w:rsid w:val="004D43DC"/>
    <w:rsid w:val="004E6916"/>
    <w:rsid w:val="004E7A93"/>
    <w:rsid w:val="00500421"/>
    <w:rsid w:val="005138BD"/>
    <w:rsid w:val="0051749E"/>
    <w:rsid w:val="005410F8"/>
    <w:rsid w:val="0054413E"/>
    <w:rsid w:val="00552D6D"/>
    <w:rsid w:val="00560CCF"/>
    <w:rsid w:val="00580CF2"/>
    <w:rsid w:val="005A6B18"/>
    <w:rsid w:val="005B0815"/>
    <w:rsid w:val="005C0E23"/>
    <w:rsid w:val="005D18AF"/>
    <w:rsid w:val="005D1F8F"/>
    <w:rsid w:val="005D2F5C"/>
    <w:rsid w:val="005E721D"/>
    <w:rsid w:val="005F22B9"/>
    <w:rsid w:val="005F65CB"/>
    <w:rsid w:val="006111C6"/>
    <w:rsid w:val="00617F8B"/>
    <w:rsid w:val="00623986"/>
    <w:rsid w:val="0062682F"/>
    <w:rsid w:val="0064718A"/>
    <w:rsid w:val="00662943"/>
    <w:rsid w:val="00667D9E"/>
    <w:rsid w:val="0068046F"/>
    <w:rsid w:val="006820D5"/>
    <w:rsid w:val="00696BB8"/>
    <w:rsid w:val="006A4A85"/>
    <w:rsid w:val="006D0DFA"/>
    <w:rsid w:val="006D6AAE"/>
    <w:rsid w:val="006E4069"/>
    <w:rsid w:val="00702630"/>
    <w:rsid w:val="007036DD"/>
    <w:rsid w:val="007053A1"/>
    <w:rsid w:val="00706310"/>
    <w:rsid w:val="0070722F"/>
    <w:rsid w:val="00711B80"/>
    <w:rsid w:val="00714AB9"/>
    <w:rsid w:val="0072065F"/>
    <w:rsid w:val="00724FCA"/>
    <w:rsid w:val="007434BA"/>
    <w:rsid w:val="00751F97"/>
    <w:rsid w:val="00755224"/>
    <w:rsid w:val="00764974"/>
    <w:rsid w:val="007676D7"/>
    <w:rsid w:val="00783758"/>
    <w:rsid w:val="00793624"/>
    <w:rsid w:val="007B58C1"/>
    <w:rsid w:val="007B6C54"/>
    <w:rsid w:val="007C6D15"/>
    <w:rsid w:val="007D1608"/>
    <w:rsid w:val="007D2C65"/>
    <w:rsid w:val="007E36FF"/>
    <w:rsid w:val="007F26C7"/>
    <w:rsid w:val="007F76FE"/>
    <w:rsid w:val="00804831"/>
    <w:rsid w:val="00820B2A"/>
    <w:rsid w:val="00853AAA"/>
    <w:rsid w:val="00864BDD"/>
    <w:rsid w:val="00877410"/>
    <w:rsid w:val="0088469E"/>
    <w:rsid w:val="008909E4"/>
    <w:rsid w:val="008A0E97"/>
    <w:rsid w:val="008A67E3"/>
    <w:rsid w:val="008C1095"/>
    <w:rsid w:val="008C21BD"/>
    <w:rsid w:val="008C4E67"/>
    <w:rsid w:val="009025AE"/>
    <w:rsid w:val="009112EE"/>
    <w:rsid w:val="009152D9"/>
    <w:rsid w:val="009208ED"/>
    <w:rsid w:val="00922675"/>
    <w:rsid w:val="00934552"/>
    <w:rsid w:val="00935A83"/>
    <w:rsid w:val="0094614D"/>
    <w:rsid w:val="0095566A"/>
    <w:rsid w:val="009672DF"/>
    <w:rsid w:val="00970E0D"/>
    <w:rsid w:val="0098055F"/>
    <w:rsid w:val="009927F2"/>
    <w:rsid w:val="009934B1"/>
    <w:rsid w:val="009957FA"/>
    <w:rsid w:val="0099731C"/>
    <w:rsid w:val="009B4516"/>
    <w:rsid w:val="009D26F9"/>
    <w:rsid w:val="009E29B2"/>
    <w:rsid w:val="009F24C3"/>
    <w:rsid w:val="009F51E0"/>
    <w:rsid w:val="00A0210C"/>
    <w:rsid w:val="00A1525D"/>
    <w:rsid w:val="00A246E4"/>
    <w:rsid w:val="00A26B81"/>
    <w:rsid w:val="00A31075"/>
    <w:rsid w:val="00A3359E"/>
    <w:rsid w:val="00A401D5"/>
    <w:rsid w:val="00A504B0"/>
    <w:rsid w:val="00A54D4D"/>
    <w:rsid w:val="00A61B4B"/>
    <w:rsid w:val="00A74826"/>
    <w:rsid w:val="00A80ABA"/>
    <w:rsid w:val="00A83251"/>
    <w:rsid w:val="00A93DA3"/>
    <w:rsid w:val="00A96CA0"/>
    <w:rsid w:val="00AB2F9E"/>
    <w:rsid w:val="00AC557C"/>
    <w:rsid w:val="00AD1EE4"/>
    <w:rsid w:val="00AD728C"/>
    <w:rsid w:val="00AE4E43"/>
    <w:rsid w:val="00AF3590"/>
    <w:rsid w:val="00AF709C"/>
    <w:rsid w:val="00B035C5"/>
    <w:rsid w:val="00B04BA3"/>
    <w:rsid w:val="00B15081"/>
    <w:rsid w:val="00B21E9E"/>
    <w:rsid w:val="00B24E4C"/>
    <w:rsid w:val="00B35A0E"/>
    <w:rsid w:val="00B3647F"/>
    <w:rsid w:val="00B51924"/>
    <w:rsid w:val="00B55E98"/>
    <w:rsid w:val="00B6010E"/>
    <w:rsid w:val="00B714AE"/>
    <w:rsid w:val="00B961E2"/>
    <w:rsid w:val="00BA19D5"/>
    <w:rsid w:val="00BA286B"/>
    <w:rsid w:val="00BA42C3"/>
    <w:rsid w:val="00BA63E1"/>
    <w:rsid w:val="00BB448F"/>
    <w:rsid w:val="00BC343F"/>
    <w:rsid w:val="00BC6B3C"/>
    <w:rsid w:val="00BC7A28"/>
    <w:rsid w:val="00BD679D"/>
    <w:rsid w:val="00BD7084"/>
    <w:rsid w:val="00BE4E99"/>
    <w:rsid w:val="00BF5534"/>
    <w:rsid w:val="00BF58FC"/>
    <w:rsid w:val="00BF5A2D"/>
    <w:rsid w:val="00C06328"/>
    <w:rsid w:val="00C0666D"/>
    <w:rsid w:val="00C12542"/>
    <w:rsid w:val="00C135ED"/>
    <w:rsid w:val="00C207A4"/>
    <w:rsid w:val="00C226F8"/>
    <w:rsid w:val="00C33220"/>
    <w:rsid w:val="00C42334"/>
    <w:rsid w:val="00C47A30"/>
    <w:rsid w:val="00C57B58"/>
    <w:rsid w:val="00C668DE"/>
    <w:rsid w:val="00C74B3D"/>
    <w:rsid w:val="00C74B4D"/>
    <w:rsid w:val="00C75F52"/>
    <w:rsid w:val="00C818A4"/>
    <w:rsid w:val="00C82482"/>
    <w:rsid w:val="00CA4AC3"/>
    <w:rsid w:val="00CA79F7"/>
    <w:rsid w:val="00CB6FD1"/>
    <w:rsid w:val="00CD679E"/>
    <w:rsid w:val="00CE3FB1"/>
    <w:rsid w:val="00D0242F"/>
    <w:rsid w:val="00D041C4"/>
    <w:rsid w:val="00D05BDF"/>
    <w:rsid w:val="00D068C0"/>
    <w:rsid w:val="00D07F6C"/>
    <w:rsid w:val="00D11AE3"/>
    <w:rsid w:val="00D1453A"/>
    <w:rsid w:val="00D1759C"/>
    <w:rsid w:val="00D210FC"/>
    <w:rsid w:val="00D470B4"/>
    <w:rsid w:val="00D545E1"/>
    <w:rsid w:val="00D57B7B"/>
    <w:rsid w:val="00D616A7"/>
    <w:rsid w:val="00D67A57"/>
    <w:rsid w:val="00D72C17"/>
    <w:rsid w:val="00D75BDA"/>
    <w:rsid w:val="00D85B8B"/>
    <w:rsid w:val="00D8784C"/>
    <w:rsid w:val="00D94E65"/>
    <w:rsid w:val="00DA4974"/>
    <w:rsid w:val="00DB48CA"/>
    <w:rsid w:val="00DD43A5"/>
    <w:rsid w:val="00DE4C87"/>
    <w:rsid w:val="00DE6906"/>
    <w:rsid w:val="00E120BC"/>
    <w:rsid w:val="00E25C34"/>
    <w:rsid w:val="00E40900"/>
    <w:rsid w:val="00E468F2"/>
    <w:rsid w:val="00E5171F"/>
    <w:rsid w:val="00E74233"/>
    <w:rsid w:val="00E802BB"/>
    <w:rsid w:val="00E86DA5"/>
    <w:rsid w:val="00E91E1B"/>
    <w:rsid w:val="00EB2F36"/>
    <w:rsid w:val="00EC3663"/>
    <w:rsid w:val="00EC5D76"/>
    <w:rsid w:val="00EC6445"/>
    <w:rsid w:val="00F11549"/>
    <w:rsid w:val="00F22492"/>
    <w:rsid w:val="00F24B69"/>
    <w:rsid w:val="00F27FE9"/>
    <w:rsid w:val="00F45C18"/>
    <w:rsid w:val="00F50F62"/>
    <w:rsid w:val="00F71CC7"/>
    <w:rsid w:val="00F73538"/>
    <w:rsid w:val="00F8235E"/>
    <w:rsid w:val="00FA747C"/>
    <w:rsid w:val="00FD30AD"/>
    <w:rsid w:val="00FD4C25"/>
    <w:rsid w:val="00FD572A"/>
    <w:rsid w:val="00FD5B72"/>
    <w:rsid w:val="00FF1792"/>
    <w:rsid w:val="00FF1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32A1"/>
  <w15:chartTrackingRefBased/>
  <w15:docId w15:val="{6DEF539F-7719-406B-B644-6E55312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A79"/>
    <w:pPr>
      <w:spacing w:after="0" w:line="276" w:lineRule="auto"/>
      <w:ind w:firstLine="720"/>
      <w:jc w:val="both"/>
    </w:pPr>
    <w:rPr>
      <w:rFonts w:ascii="Arial" w:hAnsi="Arial"/>
      <w:sz w:val="23"/>
    </w:rPr>
  </w:style>
  <w:style w:type="paragraph" w:styleId="Heading1">
    <w:name w:val="heading 1"/>
    <w:basedOn w:val="Normal"/>
    <w:next w:val="Normal"/>
    <w:link w:val="Heading1Char"/>
    <w:uiPriority w:val="9"/>
    <w:qFormat/>
    <w:rsid w:val="007053A1"/>
    <w:pPr>
      <w:keepNext/>
      <w:keepLines/>
      <w:spacing w:before="240"/>
      <w:ind w:firstLine="0"/>
      <w:outlineLvl w:val="0"/>
    </w:pPr>
    <w:rPr>
      <w:rFonts w:eastAsiaTheme="majorEastAsia" w:cstheme="majorBidi"/>
      <w:b/>
      <w:color w:val="1F4E79" w:themeColor="accent1" w:themeShade="80"/>
      <w:sz w:val="25"/>
      <w:szCs w:val="32"/>
    </w:rPr>
  </w:style>
  <w:style w:type="paragraph" w:styleId="Heading2">
    <w:name w:val="heading 2"/>
    <w:basedOn w:val="Normal"/>
    <w:next w:val="Normal"/>
    <w:link w:val="Heading2Char"/>
    <w:uiPriority w:val="9"/>
    <w:unhideWhenUsed/>
    <w:qFormat/>
    <w:rsid w:val="007053A1"/>
    <w:pPr>
      <w:keepNext/>
      <w:keepLines/>
      <w:spacing w:before="40"/>
      <w:ind w:firstLine="0"/>
      <w:outlineLvl w:val="1"/>
    </w:pPr>
    <w:rPr>
      <w:rFonts w:eastAsiaTheme="majorEastAsia" w:cstheme="majorBidi"/>
      <w:b/>
      <w:color w:val="1F3864" w:themeColor="accent5" w:themeShade="80"/>
      <w:sz w:val="24"/>
      <w:szCs w:val="26"/>
    </w:rPr>
  </w:style>
  <w:style w:type="paragraph" w:styleId="Heading3">
    <w:name w:val="heading 3"/>
    <w:basedOn w:val="Normal"/>
    <w:next w:val="Normal"/>
    <w:link w:val="Heading3Char"/>
    <w:uiPriority w:val="9"/>
    <w:unhideWhenUsed/>
    <w:qFormat/>
    <w:rsid w:val="00364C36"/>
    <w:pPr>
      <w:keepNext/>
      <w:keepLines/>
      <w:spacing w:before="40"/>
      <w:ind w:firstLine="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unhideWhenUsed/>
    <w:qFormat/>
    <w:rsid w:val="007053A1"/>
    <w:pPr>
      <w:keepNext/>
      <w:keepLines/>
      <w:spacing w:before="40"/>
      <w:ind w:firstLine="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3A1"/>
    <w:rPr>
      <w:rFonts w:ascii="Arial" w:eastAsiaTheme="majorEastAsia" w:hAnsi="Arial" w:cstheme="majorBidi"/>
      <w:b/>
      <w:color w:val="1F4E79" w:themeColor="accent1" w:themeShade="80"/>
      <w:sz w:val="25"/>
      <w:szCs w:val="32"/>
    </w:rPr>
  </w:style>
  <w:style w:type="character" w:customStyle="1" w:styleId="Heading2Char">
    <w:name w:val="Heading 2 Char"/>
    <w:basedOn w:val="DefaultParagraphFont"/>
    <w:link w:val="Heading2"/>
    <w:uiPriority w:val="9"/>
    <w:rsid w:val="007053A1"/>
    <w:rPr>
      <w:rFonts w:ascii="Arial" w:eastAsiaTheme="majorEastAsia" w:hAnsi="Arial" w:cstheme="majorBidi"/>
      <w:b/>
      <w:color w:val="1F3864" w:themeColor="accent5" w:themeShade="80"/>
      <w:sz w:val="24"/>
      <w:szCs w:val="26"/>
    </w:rPr>
  </w:style>
  <w:style w:type="paragraph" w:styleId="ListParagraph">
    <w:name w:val="List Paragraph"/>
    <w:basedOn w:val="Normal"/>
    <w:uiPriority w:val="34"/>
    <w:qFormat/>
    <w:rsid w:val="00755224"/>
    <w:pPr>
      <w:ind w:left="720"/>
      <w:contextualSpacing/>
    </w:pPr>
  </w:style>
  <w:style w:type="paragraph" w:styleId="NormalWeb">
    <w:name w:val="Normal (Web)"/>
    <w:basedOn w:val="Normal"/>
    <w:uiPriority w:val="99"/>
    <w:unhideWhenUsed/>
    <w:rsid w:val="00D67A57"/>
    <w:pPr>
      <w:spacing w:before="100" w:beforeAutospacing="1" w:after="100" w:afterAutospacing="1"/>
      <w:ind w:firstLine="0"/>
      <w:jc w:val="left"/>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D3B8D"/>
    <w:rPr>
      <w:color w:val="0563C1" w:themeColor="hyperlink"/>
      <w:u w:val="single"/>
    </w:rPr>
  </w:style>
  <w:style w:type="character" w:styleId="FollowedHyperlink">
    <w:name w:val="FollowedHyperlink"/>
    <w:basedOn w:val="DefaultParagraphFont"/>
    <w:uiPriority w:val="99"/>
    <w:semiHidden/>
    <w:unhideWhenUsed/>
    <w:rsid w:val="001949A9"/>
    <w:rPr>
      <w:color w:val="954F72" w:themeColor="followedHyperlink"/>
      <w:u w:val="single"/>
    </w:rPr>
  </w:style>
  <w:style w:type="character" w:customStyle="1" w:styleId="Heading3Char">
    <w:name w:val="Heading 3 Char"/>
    <w:basedOn w:val="DefaultParagraphFont"/>
    <w:link w:val="Heading3"/>
    <w:uiPriority w:val="9"/>
    <w:rsid w:val="00364C36"/>
    <w:rPr>
      <w:rFonts w:ascii="Arial" w:eastAsiaTheme="majorEastAsia" w:hAnsi="Arial" w:cstheme="majorBidi"/>
      <w:b/>
      <w:color w:val="323E4F" w:themeColor="text2" w:themeShade="BF"/>
      <w:sz w:val="23"/>
      <w:szCs w:val="24"/>
    </w:rPr>
  </w:style>
  <w:style w:type="character" w:styleId="Emphasis">
    <w:name w:val="Emphasis"/>
    <w:basedOn w:val="DefaultParagraphFont"/>
    <w:uiPriority w:val="20"/>
    <w:qFormat/>
    <w:rsid w:val="0098055F"/>
    <w:rPr>
      <w:i/>
      <w:iCs/>
    </w:rPr>
  </w:style>
  <w:style w:type="paragraph" w:styleId="TOC1">
    <w:name w:val="toc 1"/>
    <w:basedOn w:val="Normal"/>
    <w:next w:val="Normal"/>
    <w:autoRedefine/>
    <w:uiPriority w:val="39"/>
    <w:unhideWhenUsed/>
    <w:rsid w:val="00C33220"/>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42334"/>
    <w:pPr>
      <w:ind w:left="23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C33220"/>
    <w:pPr>
      <w:ind w:left="46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C33220"/>
    <w:pPr>
      <w:ind w:left="69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C33220"/>
    <w:pPr>
      <w:ind w:left="9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33220"/>
    <w:pPr>
      <w:ind w:left="115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33220"/>
    <w:pPr>
      <w:ind w:left="138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C33220"/>
    <w:pPr>
      <w:ind w:left="161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33220"/>
    <w:pPr>
      <w:ind w:left="184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751F97"/>
    <w:pPr>
      <w:spacing w:after="120" w:line="240" w:lineRule="auto"/>
      <w:ind w:firstLine="0"/>
    </w:pPr>
    <w:rPr>
      <w:b/>
      <w:iCs/>
      <w:sz w:val="22"/>
      <w:szCs w:val="18"/>
    </w:rPr>
  </w:style>
  <w:style w:type="table" w:styleId="TableGrid">
    <w:name w:val="Table Grid"/>
    <w:basedOn w:val="TableNormal"/>
    <w:uiPriority w:val="59"/>
    <w:rsid w:val="00170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70F7E"/>
    <w:pPr>
      <w:spacing w:line="240" w:lineRule="auto"/>
    </w:pPr>
    <w:rPr>
      <w:sz w:val="20"/>
      <w:szCs w:val="20"/>
    </w:rPr>
  </w:style>
  <w:style w:type="character" w:customStyle="1" w:styleId="FootnoteTextChar">
    <w:name w:val="Footnote Text Char"/>
    <w:basedOn w:val="DefaultParagraphFont"/>
    <w:link w:val="FootnoteText"/>
    <w:uiPriority w:val="99"/>
    <w:semiHidden/>
    <w:rsid w:val="00170F7E"/>
    <w:rPr>
      <w:rFonts w:ascii="Arial" w:hAnsi="Arial"/>
      <w:sz w:val="20"/>
      <w:szCs w:val="20"/>
    </w:rPr>
  </w:style>
  <w:style w:type="character" w:styleId="FootnoteReference">
    <w:name w:val="footnote reference"/>
    <w:basedOn w:val="DefaultParagraphFont"/>
    <w:uiPriority w:val="99"/>
    <w:semiHidden/>
    <w:unhideWhenUsed/>
    <w:rsid w:val="00170F7E"/>
    <w:rPr>
      <w:vertAlign w:val="superscript"/>
    </w:rPr>
  </w:style>
  <w:style w:type="paragraph" w:styleId="NoSpacing">
    <w:name w:val="No Spacing"/>
    <w:uiPriority w:val="1"/>
    <w:qFormat/>
    <w:rsid w:val="00AD1EE4"/>
    <w:pPr>
      <w:spacing w:after="0" w:line="240" w:lineRule="auto"/>
    </w:pPr>
    <w:rPr>
      <w:rFonts w:ascii="Arial" w:hAnsi="Arial"/>
      <w:sz w:val="21"/>
    </w:rPr>
  </w:style>
  <w:style w:type="paragraph" w:styleId="BalloonText">
    <w:name w:val="Balloon Text"/>
    <w:basedOn w:val="Normal"/>
    <w:link w:val="BalloonTextChar"/>
    <w:uiPriority w:val="99"/>
    <w:semiHidden/>
    <w:unhideWhenUsed/>
    <w:rsid w:val="007E36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6FF"/>
    <w:rPr>
      <w:rFonts w:ascii="Segoe UI" w:hAnsi="Segoe UI" w:cs="Segoe UI"/>
      <w:sz w:val="18"/>
      <w:szCs w:val="18"/>
    </w:rPr>
  </w:style>
  <w:style w:type="character" w:styleId="Strong">
    <w:name w:val="Strong"/>
    <w:basedOn w:val="DefaultParagraphFont"/>
    <w:uiPriority w:val="22"/>
    <w:qFormat/>
    <w:rsid w:val="002E237C"/>
    <w:rPr>
      <w:b/>
      <w:bCs/>
    </w:rPr>
  </w:style>
  <w:style w:type="character" w:customStyle="1" w:styleId="table-label">
    <w:name w:val="table-label"/>
    <w:basedOn w:val="DefaultParagraphFont"/>
    <w:rsid w:val="002165DB"/>
  </w:style>
  <w:style w:type="character" w:customStyle="1" w:styleId="table-title">
    <w:name w:val="table-title"/>
    <w:basedOn w:val="DefaultParagraphFont"/>
    <w:rsid w:val="002165DB"/>
  </w:style>
  <w:style w:type="table" w:styleId="ListTable3-Accent1">
    <w:name w:val="List Table 3 Accent 1"/>
    <w:basedOn w:val="TableNormal"/>
    <w:uiPriority w:val="48"/>
    <w:rsid w:val="00FF1BB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4Char">
    <w:name w:val="Heading 4 Char"/>
    <w:basedOn w:val="DefaultParagraphFont"/>
    <w:link w:val="Heading4"/>
    <w:uiPriority w:val="9"/>
    <w:rsid w:val="007053A1"/>
    <w:rPr>
      <w:rFonts w:ascii="Arial" w:eastAsiaTheme="majorEastAsia" w:hAnsi="Arial" w:cstheme="majorBidi"/>
      <w:i/>
      <w:iCs/>
      <w:sz w:val="23"/>
    </w:rPr>
  </w:style>
  <w:style w:type="table" w:styleId="TableGridLight">
    <w:name w:val="Grid Table Light"/>
    <w:basedOn w:val="TableNormal"/>
    <w:uiPriority w:val="40"/>
    <w:rsid w:val="00122A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436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C42334"/>
    <w:pPr>
      <w:spacing w:line="259" w:lineRule="auto"/>
      <w:jc w:val="left"/>
      <w:outlineLvl w:val="9"/>
    </w:pPr>
    <w:rPr>
      <w:rFonts w:asciiTheme="majorHAnsi" w:hAnsiTheme="majorHAnsi"/>
      <w:b w:val="0"/>
      <w:color w:val="2E74B5" w:themeColor="accent1" w:themeShade="BF"/>
      <w:sz w:val="32"/>
      <w:lang w:val="en-US"/>
    </w:rPr>
  </w:style>
  <w:style w:type="table" w:styleId="GridTable1Light">
    <w:name w:val="Grid Table 1 Light"/>
    <w:basedOn w:val="TableNormal"/>
    <w:uiPriority w:val="46"/>
    <w:rsid w:val="00013E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3229FE"/>
    <w:rPr>
      <w:sz w:val="16"/>
      <w:szCs w:val="16"/>
    </w:rPr>
  </w:style>
  <w:style w:type="paragraph" w:styleId="CommentText">
    <w:name w:val="annotation text"/>
    <w:basedOn w:val="Normal"/>
    <w:link w:val="CommentTextChar"/>
    <w:uiPriority w:val="99"/>
    <w:semiHidden/>
    <w:unhideWhenUsed/>
    <w:rsid w:val="003229FE"/>
    <w:pPr>
      <w:spacing w:line="240" w:lineRule="auto"/>
    </w:pPr>
    <w:rPr>
      <w:sz w:val="20"/>
      <w:szCs w:val="20"/>
    </w:rPr>
  </w:style>
  <w:style w:type="character" w:customStyle="1" w:styleId="CommentTextChar">
    <w:name w:val="Comment Text Char"/>
    <w:basedOn w:val="DefaultParagraphFont"/>
    <w:link w:val="CommentText"/>
    <w:uiPriority w:val="99"/>
    <w:semiHidden/>
    <w:rsid w:val="003229F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229FE"/>
    <w:rPr>
      <w:b/>
      <w:bCs/>
    </w:rPr>
  </w:style>
  <w:style w:type="character" w:customStyle="1" w:styleId="CommentSubjectChar">
    <w:name w:val="Comment Subject Char"/>
    <w:basedOn w:val="CommentTextChar"/>
    <w:link w:val="CommentSubject"/>
    <w:uiPriority w:val="99"/>
    <w:semiHidden/>
    <w:rsid w:val="003229FE"/>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8145">
      <w:bodyDiv w:val="1"/>
      <w:marLeft w:val="0"/>
      <w:marRight w:val="0"/>
      <w:marTop w:val="0"/>
      <w:marBottom w:val="0"/>
      <w:divBdr>
        <w:top w:val="none" w:sz="0" w:space="0" w:color="auto"/>
        <w:left w:val="none" w:sz="0" w:space="0" w:color="auto"/>
        <w:bottom w:val="none" w:sz="0" w:space="0" w:color="auto"/>
        <w:right w:val="none" w:sz="0" w:space="0" w:color="auto"/>
      </w:divBdr>
    </w:div>
    <w:div w:id="113988642">
      <w:bodyDiv w:val="1"/>
      <w:marLeft w:val="0"/>
      <w:marRight w:val="0"/>
      <w:marTop w:val="0"/>
      <w:marBottom w:val="0"/>
      <w:divBdr>
        <w:top w:val="none" w:sz="0" w:space="0" w:color="auto"/>
        <w:left w:val="none" w:sz="0" w:space="0" w:color="auto"/>
        <w:bottom w:val="none" w:sz="0" w:space="0" w:color="auto"/>
        <w:right w:val="none" w:sz="0" w:space="0" w:color="auto"/>
      </w:divBdr>
    </w:div>
    <w:div w:id="211698863">
      <w:bodyDiv w:val="1"/>
      <w:marLeft w:val="0"/>
      <w:marRight w:val="0"/>
      <w:marTop w:val="0"/>
      <w:marBottom w:val="0"/>
      <w:divBdr>
        <w:top w:val="none" w:sz="0" w:space="0" w:color="auto"/>
        <w:left w:val="none" w:sz="0" w:space="0" w:color="auto"/>
        <w:bottom w:val="none" w:sz="0" w:space="0" w:color="auto"/>
        <w:right w:val="none" w:sz="0" w:space="0" w:color="auto"/>
      </w:divBdr>
      <w:divsChild>
        <w:div w:id="1288506224">
          <w:marLeft w:val="0"/>
          <w:marRight w:val="0"/>
          <w:marTop w:val="0"/>
          <w:marBottom w:val="0"/>
          <w:divBdr>
            <w:top w:val="none" w:sz="0" w:space="0" w:color="auto"/>
            <w:left w:val="none" w:sz="0" w:space="0" w:color="auto"/>
            <w:bottom w:val="none" w:sz="0" w:space="0" w:color="auto"/>
            <w:right w:val="none" w:sz="0" w:space="0" w:color="auto"/>
          </w:divBdr>
        </w:div>
        <w:div w:id="1512329298">
          <w:marLeft w:val="0"/>
          <w:marRight w:val="0"/>
          <w:marTop w:val="0"/>
          <w:marBottom w:val="0"/>
          <w:divBdr>
            <w:top w:val="none" w:sz="0" w:space="0" w:color="auto"/>
            <w:left w:val="none" w:sz="0" w:space="0" w:color="auto"/>
            <w:bottom w:val="none" w:sz="0" w:space="0" w:color="auto"/>
            <w:right w:val="none" w:sz="0" w:space="0" w:color="auto"/>
          </w:divBdr>
        </w:div>
        <w:div w:id="163596904">
          <w:marLeft w:val="0"/>
          <w:marRight w:val="0"/>
          <w:marTop w:val="0"/>
          <w:marBottom w:val="0"/>
          <w:divBdr>
            <w:top w:val="none" w:sz="0" w:space="0" w:color="auto"/>
            <w:left w:val="none" w:sz="0" w:space="0" w:color="auto"/>
            <w:bottom w:val="none" w:sz="0" w:space="0" w:color="auto"/>
            <w:right w:val="none" w:sz="0" w:space="0" w:color="auto"/>
          </w:divBdr>
        </w:div>
      </w:divsChild>
    </w:div>
    <w:div w:id="360056425">
      <w:bodyDiv w:val="1"/>
      <w:marLeft w:val="0"/>
      <w:marRight w:val="0"/>
      <w:marTop w:val="0"/>
      <w:marBottom w:val="0"/>
      <w:divBdr>
        <w:top w:val="none" w:sz="0" w:space="0" w:color="auto"/>
        <w:left w:val="none" w:sz="0" w:space="0" w:color="auto"/>
        <w:bottom w:val="none" w:sz="0" w:space="0" w:color="auto"/>
        <w:right w:val="none" w:sz="0" w:space="0" w:color="auto"/>
      </w:divBdr>
    </w:div>
    <w:div w:id="365299280">
      <w:bodyDiv w:val="1"/>
      <w:marLeft w:val="0"/>
      <w:marRight w:val="0"/>
      <w:marTop w:val="0"/>
      <w:marBottom w:val="0"/>
      <w:divBdr>
        <w:top w:val="none" w:sz="0" w:space="0" w:color="auto"/>
        <w:left w:val="none" w:sz="0" w:space="0" w:color="auto"/>
        <w:bottom w:val="none" w:sz="0" w:space="0" w:color="auto"/>
        <w:right w:val="none" w:sz="0" w:space="0" w:color="auto"/>
      </w:divBdr>
    </w:div>
    <w:div w:id="457257755">
      <w:bodyDiv w:val="1"/>
      <w:marLeft w:val="0"/>
      <w:marRight w:val="0"/>
      <w:marTop w:val="0"/>
      <w:marBottom w:val="0"/>
      <w:divBdr>
        <w:top w:val="none" w:sz="0" w:space="0" w:color="auto"/>
        <w:left w:val="none" w:sz="0" w:space="0" w:color="auto"/>
        <w:bottom w:val="none" w:sz="0" w:space="0" w:color="auto"/>
        <w:right w:val="none" w:sz="0" w:space="0" w:color="auto"/>
      </w:divBdr>
      <w:divsChild>
        <w:div w:id="1002657527">
          <w:marLeft w:val="0"/>
          <w:marRight w:val="0"/>
          <w:marTop w:val="0"/>
          <w:marBottom w:val="0"/>
          <w:divBdr>
            <w:top w:val="none" w:sz="0" w:space="0" w:color="auto"/>
            <w:left w:val="none" w:sz="0" w:space="0" w:color="auto"/>
            <w:bottom w:val="none" w:sz="0" w:space="0" w:color="auto"/>
            <w:right w:val="none" w:sz="0" w:space="0" w:color="auto"/>
          </w:divBdr>
        </w:div>
        <w:div w:id="1580360895">
          <w:marLeft w:val="0"/>
          <w:marRight w:val="0"/>
          <w:marTop w:val="0"/>
          <w:marBottom w:val="0"/>
          <w:divBdr>
            <w:top w:val="single" w:sz="6" w:space="6" w:color="CCCCCC"/>
            <w:left w:val="none" w:sz="0" w:space="0" w:color="auto"/>
            <w:bottom w:val="none" w:sz="0" w:space="0" w:color="auto"/>
            <w:right w:val="none" w:sz="0" w:space="0" w:color="auto"/>
          </w:divBdr>
        </w:div>
      </w:divsChild>
    </w:div>
    <w:div w:id="690381238">
      <w:bodyDiv w:val="1"/>
      <w:marLeft w:val="0"/>
      <w:marRight w:val="0"/>
      <w:marTop w:val="0"/>
      <w:marBottom w:val="0"/>
      <w:divBdr>
        <w:top w:val="none" w:sz="0" w:space="0" w:color="auto"/>
        <w:left w:val="none" w:sz="0" w:space="0" w:color="auto"/>
        <w:bottom w:val="none" w:sz="0" w:space="0" w:color="auto"/>
        <w:right w:val="none" w:sz="0" w:space="0" w:color="auto"/>
      </w:divBdr>
    </w:div>
    <w:div w:id="890111880">
      <w:bodyDiv w:val="1"/>
      <w:marLeft w:val="0"/>
      <w:marRight w:val="0"/>
      <w:marTop w:val="0"/>
      <w:marBottom w:val="0"/>
      <w:divBdr>
        <w:top w:val="none" w:sz="0" w:space="0" w:color="auto"/>
        <w:left w:val="none" w:sz="0" w:space="0" w:color="auto"/>
        <w:bottom w:val="none" w:sz="0" w:space="0" w:color="auto"/>
        <w:right w:val="none" w:sz="0" w:space="0" w:color="auto"/>
      </w:divBdr>
    </w:div>
    <w:div w:id="907115093">
      <w:bodyDiv w:val="1"/>
      <w:marLeft w:val="0"/>
      <w:marRight w:val="0"/>
      <w:marTop w:val="0"/>
      <w:marBottom w:val="0"/>
      <w:divBdr>
        <w:top w:val="none" w:sz="0" w:space="0" w:color="auto"/>
        <w:left w:val="none" w:sz="0" w:space="0" w:color="auto"/>
        <w:bottom w:val="none" w:sz="0" w:space="0" w:color="auto"/>
        <w:right w:val="none" w:sz="0" w:space="0" w:color="auto"/>
      </w:divBdr>
    </w:div>
    <w:div w:id="926039482">
      <w:bodyDiv w:val="1"/>
      <w:marLeft w:val="0"/>
      <w:marRight w:val="0"/>
      <w:marTop w:val="0"/>
      <w:marBottom w:val="0"/>
      <w:divBdr>
        <w:top w:val="none" w:sz="0" w:space="0" w:color="auto"/>
        <w:left w:val="none" w:sz="0" w:space="0" w:color="auto"/>
        <w:bottom w:val="none" w:sz="0" w:space="0" w:color="auto"/>
        <w:right w:val="none" w:sz="0" w:space="0" w:color="auto"/>
      </w:divBdr>
    </w:div>
    <w:div w:id="986251397">
      <w:bodyDiv w:val="1"/>
      <w:marLeft w:val="0"/>
      <w:marRight w:val="0"/>
      <w:marTop w:val="0"/>
      <w:marBottom w:val="0"/>
      <w:divBdr>
        <w:top w:val="none" w:sz="0" w:space="0" w:color="auto"/>
        <w:left w:val="none" w:sz="0" w:space="0" w:color="auto"/>
        <w:bottom w:val="none" w:sz="0" w:space="0" w:color="auto"/>
        <w:right w:val="none" w:sz="0" w:space="0" w:color="auto"/>
      </w:divBdr>
    </w:div>
    <w:div w:id="1005547391">
      <w:bodyDiv w:val="1"/>
      <w:marLeft w:val="0"/>
      <w:marRight w:val="0"/>
      <w:marTop w:val="0"/>
      <w:marBottom w:val="0"/>
      <w:divBdr>
        <w:top w:val="none" w:sz="0" w:space="0" w:color="auto"/>
        <w:left w:val="none" w:sz="0" w:space="0" w:color="auto"/>
        <w:bottom w:val="none" w:sz="0" w:space="0" w:color="auto"/>
        <w:right w:val="none" w:sz="0" w:space="0" w:color="auto"/>
      </w:divBdr>
    </w:div>
    <w:div w:id="1188375980">
      <w:bodyDiv w:val="1"/>
      <w:marLeft w:val="0"/>
      <w:marRight w:val="0"/>
      <w:marTop w:val="0"/>
      <w:marBottom w:val="0"/>
      <w:divBdr>
        <w:top w:val="none" w:sz="0" w:space="0" w:color="auto"/>
        <w:left w:val="none" w:sz="0" w:space="0" w:color="auto"/>
        <w:bottom w:val="none" w:sz="0" w:space="0" w:color="auto"/>
        <w:right w:val="none" w:sz="0" w:space="0" w:color="auto"/>
      </w:divBdr>
    </w:div>
    <w:div w:id="1241476420">
      <w:bodyDiv w:val="1"/>
      <w:marLeft w:val="0"/>
      <w:marRight w:val="0"/>
      <w:marTop w:val="0"/>
      <w:marBottom w:val="0"/>
      <w:divBdr>
        <w:top w:val="none" w:sz="0" w:space="0" w:color="auto"/>
        <w:left w:val="none" w:sz="0" w:space="0" w:color="auto"/>
        <w:bottom w:val="none" w:sz="0" w:space="0" w:color="auto"/>
        <w:right w:val="none" w:sz="0" w:space="0" w:color="auto"/>
      </w:divBdr>
    </w:div>
    <w:div w:id="1292130674">
      <w:bodyDiv w:val="1"/>
      <w:marLeft w:val="0"/>
      <w:marRight w:val="0"/>
      <w:marTop w:val="0"/>
      <w:marBottom w:val="0"/>
      <w:divBdr>
        <w:top w:val="none" w:sz="0" w:space="0" w:color="auto"/>
        <w:left w:val="none" w:sz="0" w:space="0" w:color="auto"/>
        <w:bottom w:val="none" w:sz="0" w:space="0" w:color="auto"/>
        <w:right w:val="none" w:sz="0" w:space="0" w:color="auto"/>
      </w:divBdr>
    </w:div>
    <w:div w:id="1333217553">
      <w:bodyDiv w:val="1"/>
      <w:marLeft w:val="0"/>
      <w:marRight w:val="0"/>
      <w:marTop w:val="0"/>
      <w:marBottom w:val="0"/>
      <w:divBdr>
        <w:top w:val="none" w:sz="0" w:space="0" w:color="auto"/>
        <w:left w:val="none" w:sz="0" w:space="0" w:color="auto"/>
        <w:bottom w:val="none" w:sz="0" w:space="0" w:color="auto"/>
        <w:right w:val="none" w:sz="0" w:space="0" w:color="auto"/>
      </w:divBdr>
    </w:div>
    <w:div w:id="1515462892">
      <w:bodyDiv w:val="1"/>
      <w:marLeft w:val="0"/>
      <w:marRight w:val="0"/>
      <w:marTop w:val="0"/>
      <w:marBottom w:val="0"/>
      <w:divBdr>
        <w:top w:val="none" w:sz="0" w:space="0" w:color="auto"/>
        <w:left w:val="none" w:sz="0" w:space="0" w:color="auto"/>
        <w:bottom w:val="none" w:sz="0" w:space="0" w:color="auto"/>
        <w:right w:val="none" w:sz="0" w:space="0" w:color="auto"/>
      </w:divBdr>
    </w:div>
    <w:div w:id="1560507769">
      <w:bodyDiv w:val="1"/>
      <w:marLeft w:val="0"/>
      <w:marRight w:val="0"/>
      <w:marTop w:val="0"/>
      <w:marBottom w:val="0"/>
      <w:divBdr>
        <w:top w:val="none" w:sz="0" w:space="0" w:color="auto"/>
        <w:left w:val="none" w:sz="0" w:space="0" w:color="auto"/>
        <w:bottom w:val="none" w:sz="0" w:space="0" w:color="auto"/>
        <w:right w:val="none" w:sz="0" w:space="0" w:color="auto"/>
      </w:divBdr>
    </w:div>
    <w:div w:id="1739355633">
      <w:bodyDiv w:val="1"/>
      <w:marLeft w:val="0"/>
      <w:marRight w:val="0"/>
      <w:marTop w:val="0"/>
      <w:marBottom w:val="0"/>
      <w:divBdr>
        <w:top w:val="none" w:sz="0" w:space="0" w:color="auto"/>
        <w:left w:val="none" w:sz="0" w:space="0" w:color="auto"/>
        <w:bottom w:val="none" w:sz="0" w:space="0" w:color="auto"/>
        <w:right w:val="none" w:sz="0" w:space="0" w:color="auto"/>
      </w:divBdr>
    </w:div>
    <w:div w:id="1773863175">
      <w:bodyDiv w:val="1"/>
      <w:marLeft w:val="0"/>
      <w:marRight w:val="0"/>
      <w:marTop w:val="0"/>
      <w:marBottom w:val="0"/>
      <w:divBdr>
        <w:top w:val="none" w:sz="0" w:space="0" w:color="auto"/>
        <w:left w:val="none" w:sz="0" w:space="0" w:color="auto"/>
        <w:bottom w:val="none" w:sz="0" w:space="0" w:color="auto"/>
        <w:right w:val="none" w:sz="0" w:space="0" w:color="auto"/>
      </w:divBdr>
    </w:div>
    <w:div w:id="1843933097">
      <w:bodyDiv w:val="1"/>
      <w:marLeft w:val="0"/>
      <w:marRight w:val="0"/>
      <w:marTop w:val="0"/>
      <w:marBottom w:val="0"/>
      <w:divBdr>
        <w:top w:val="none" w:sz="0" w:space="0" w:color="auto"/>
        <w:left w:val="none" w:sz="0" w:space="0" w:color="auto"/>
        <w:bottom w:val="none" w:sz="0" w:space="0" w:color="auto"/>
        <w:right w:val="none" w:sz="0" w:space="0" w:color="auto"/>
      </w:divBdr>
    </w:div>
    <w:div w:id="1857503962">
      <w:bodyDiv w:val="1"/>
      <w:marLeft w:val="0"/>
      <w:marRight w:val="0"/>
      <w:marTop w:val="0"/>
      <w:marBottom w:val="0"/>
      <w:divBdr>
        <w:top w:val="none" w:sz="0" w:space="0" w:color="auto"/>
        <w:left w:val="none" w:sz="0" w:space="0" w:color="auto"/>
        <w:bottom w:val="none" w:sz="0" w:space="0" w:color="auto"/>
        <w:right w:val="none" w:sz="0" w:space="0" w:color="auto"/>
      </w:divBdr>
      <w:divsChild>
        <w:div w:id="968827026">
          <w:marLeft w:val="0"/>
          <w:marRight w:val="0"/>
          <w:marTop w:val="0"/>
          <w:marBottom w:val="0"/>
          <w:divBdr>
            <w:top w:val="none" w:sz="0" w:space="0" w:color="auto"/>
            <w:left w:val="none" w:sz="0" w:space="0" w:color="auto"/>
            <w:bottom w:val="none" w:sz="0" w:space="0" w:color="auto"/>
            <w:right w:val="none" w:sz="0" w:space="0" w:color="auto"/>
          </w:divBdr>
        </w:div>
        <w:div w:id="173500151">
          <w:marLeft w:val="0"/>
          <w:marRight w:val="0"/>
          <w:marTop w:val="0"/>
          <w:marBottom w:val="0"/>
          <w:divBdr>
            <w:top w:val="none" w:sz="0" w:space="0" w:color="auto"/>
            <w:left w:val="none" w:sz="0" w:space="0" w:color="auto"/>
            <w:bottom w:val="none" w:sz="0" w:space="0" w:color="auto"/>
            <w:right w:val="none" w:sz="0" w:space="0" w:color="auto"/>
          </w:divBdr>
        </w:div>
        <w:div w:id="1206218320">
          <w:marLeft w:val="0"/>
          <w:marRight w:val="0"/>
          <w:marTop w:val="0"/>
          <w:marBottom w:val="0"/>
          <w:divBdr>
            <w:top w:val="none" w:sz="0" w:space="0" w:color="auto"/>
            <w:left w:val="none" w:sz="0" w:space="0" w:color="auto"/>
            <w:bottom w:val="none" w:sz="0" w:space="0" w:color="auto"/>
            <w:right w:val="none" w:sz="0" w:space="0" w:color="auto"/>
          </w:divBdr>
        </w:div>
        <w:div w:id="479226360">
          <w:marLeft w:val="0"/>
          <w:marRight w:val="0"/>
          <w:marTop w:val="0"/>
          <w:marBottom w:val="0"/>
          <w:divBdr>
            <w:top w:val="none" w:sz="0" w:space="0" w:color="auto"/>
            <w:left w:val="none" w:sz="0" w:space="0" w:color="auto"/>
            <w:bottom w:val="none" w:sz="0" w:space="0" w:color="auto"/>
            <w:right w:val="none" w:sz="0" w:space="0" w:color="auto"/>
          </w:divBdr>
        </w:div>
        <w:div w:id="35349077">
          <w:marLeft w:val="0"/>
          <w:marRight w:val="0"/>
          <w:marTop w:val="0"/>
          <w:marBottom w:val="0"/>
          <w:divBdr>
            <w:top w:val="none" w:sz="0" w:space="0" w:color="auto"/>
            <w:left w:val="none" w:sz="0" w:space="0" w:color="auto"/>
            <w:bottom w:val="none" w:sz="0" w:space="0" w:color="auto"/>
            <w:right w:val="none" w:sz="0" w:space="0" w:color="auto"/>
          </w:divBdr>
        </w:div>
      </w:divsChild>
    </w:div>
    <w:div w:id="1877307533">
      <w:bodyDiv w:val="1"/>
      <w:marLeft w:val="0"/>
      <w:marRight w:val="0"/>
      <w:marTop w:val="0"/>
      <w:marBottom w:val="0"/>
      <w:divBdr>
        <w:top w:val="none" w:sz="0" w:space="0" w:color="auto"/>
        <w:left w:val="none" w:sz="0" w:space="0" w:color="auto"/>
        <w:bottom w:val="none" w:sz="0" w:space="0" w:color="auto"/>
        <w:right w:val="none" w:sz="0" w:space="0" w:color="auto"/>
      </w:divBdr>
    </w:div>
    <w:div w:id="18835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8A7E7-14D4-40CF-BFCA-08976EFA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21</Pages>
  <Words>44184</Words>
  <Characters>251853</Characters>
  <Application>Microsoft Office Word</Application>
  <DocSecurity>0</DocSecurity>
  <Lines>2098</Lines>
  <Paragraphs>590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295447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Li Lin</dc:creator>
  <cp:keywords/>
  <dc:description/>
  <cp:lastModifiedBy>Li Lin, Ines</cp:lastModifiedBy>
  <cp:revision>5</cp:revision>
  <dcterms:created xsi:type="dcterms:W3CDTF">2021-06-04T14:31:00Z</dcterms:created>
  <dcterms:modified xsi:type="dcterms:W3CDTF">2021-06-08T12:22:00Z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7bc5a560-3e19-3b27-a45e-281d5139a350</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