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6212" w:rsidRPr="00C26212" w:rsidRDefault="002C73C0" w:rsidP="00D11ED9">
      <w:pPr>
        <w:jc w:val="both"/>
        <w:rPr>
          <w:b/>
          <w:bCs/>
        </w:rPr>
      </w:pPr>
      <w:r>
        <w:rPr>
          <w:b/>
          <w:color w:val="4472C4" w:themeColor="accent1"/>
          <w:sz w:val="28"/>
          <w:szCs w:val="28"/>
        </w:rPr>
        <w:t>O</w:t>
      </w:r>
      <w:r w:rsidR="00A35B7B" w:rsidRPr="000A1FF3">
        <w:rPr>
          <w:b/>
          <w:color w:val="4472C4" w:themeColor="accent1"/>
          <w:sz w:val="28"/>
          <w:szCs w:val="28"/>
        </w:rPr>
        <w:t xml:space="preserve">esophageal </w:t>
      </w:r>
      <w:r>
        <w:rPr>
          <w:b/>
          <w:color w:val="4472C4" w:themeColor="accent1"/>
          <w:sz w:val="28"/>
          <w:szCs w:val="28"/>
        </w:rPr>
        <w:t>C</w:t>
      </w:r>
      <w:r w:rsidR="00A35B7B" w:rsidRPr="000A1FF3">
        <w:rPr>
          <w:b/>
          <w:color w:val="4472C4" w:themeColor="accent1"/>
          <w:sz w:val="28"/>
          <w:szCs w:val="28"/>
        </w:rPr>
        <w:t>ancer</w:t>
      </w:r>
      <w:r w:rsidR="00441225" w:rsidRPr="000A1FF3">
        <w:rPr>
          <w:b/>
          <w:bCs/>
          <w:color w:val="4472C4" w:themeColor="accent1"/>
          <w:sz w:val="28"/>
          <w:szCs w:val="28"/>
        </w:rPr>
        <w:t xml:space="preserve"> </w:t>
      </w:r>
    </w:p>
    <w:p w:rsidR="000A1FF3" w:rsidRPr="00C26212" w:rsidRDefault="00C26212" w:rsidP="00D11ED9">
      <w:pPr>
        <w:jc w:val="both"/>
        <w:rPr>
          <w:b/>
          <w:bCs/>
          <w:color w:val="4472C4" w:themeColor="accent1"/>
        </w:rPr>
      </w:pPr>
      <w:r w:rsidRPr="00C26212">
        <w:rPr>
          <w:b/>
          <w:bCs/>
          <w:color w:val="4472C4" w:themeColor="accent1"/>
        </w:rPr>
        <w:t>Model Structure</w:t>
      </w:r>
    </w:p>
    <w:p w:rsidR="00FE35B5" w:rsidRPr="00FE35B5" w:rsidRDefault="00F6629F" w:rsidP="00D11ED9">
      <w:pPr>
        <w:jc w:val="both"/>
        <w:rPr>
          <w:b/>
          <w:bCs/>
          <w:color w:val="808080" w:themeColor="background1" w:themeShade="80"/>
        </w:rPr>
      </w:pPr>
      <w:r>
        <w:rPr>
          <w:b/>
          <w:bCs/>
          <w:color w:val="808080" w:themeColor="background1" w:themeShade="80"/>
        </w:rPr>
        <w:t>Natural History</w:t>
      </w:r>
    </w:p>
    <w:p w:rsidR="009F73D5" w:rsidRPr="009F73D5" w:rsidRDefault="00FC7D28" w:rsidP="00D11ED9">
      <w:pPr>
        <w:jc w:val="both"/>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each individual with regard to </w:t>
      </w:r>
      <w:r w:rsidR="00132D87" w:rsidRPr="00132D87">
        <w:rPr>
          <w:bCs/>
        </w:rPr>
        <w:t xml:space="preserve">oesophageal cancer status every 3 months.  </w:t>
      </w:r>
      <w:r w:rsidR="0054127E">
        <w:rPr>
          <w:bCs/>
        </w:rPr>
        <w:t>The model structure is described in Figure 1</w:t>
      </w:r>
      <w:r w:rsidR="00182E40">
        <w:rPr>
          <w:bCs/>
        </w:rPr>
        <w:t xml:space="preserve"> and parameters give in Table 1.</w:t>
      </w:r>
    </w:p>
    <w:p w:rsidR="00FE35B5" w:rsidRPr="00F6629F" w:rsidRDefault="00FE35B5" w:rsidP="00D11ED9">
      <w:pPr>
        <w:jc w:val="both"/>
        <w:rPr>
          <w:i/>
          <w:iCs/>
          <w:color w:val="808080" w:themeColor="background1" w:themeShade="80"/>
        </w:rPr>
      </w:pPr>
      <w:r w:rsidRPr="00F6629F">
        <w:rPr>
          <w:i/>
          <w:iCs/>
          <w:color w:val="808080" w:themeColor="background1" w:themeShade="80"/>
        </w:rPr>
        <w:t xml:space="preserve">Incidence of </w:t>
      </w:r>
      <w:r w:rsidR="00F6629F" w:rsidRPr="00F6629F">
        <w:rPr>
          <w:i/>
          <w:iCs/>
          <w:color w:val="808080" w:themeColor="background1" w:themeShade="80"/>
        </w:rPr>
        <w:t>L</w:t>
      </w:r>
      <w:r w:rsidR="001325AF" w:rsidRPr="00F6629F">
        <w:rPr>
          <w:i/>
          <w:iCs/>
          <w:color w:val="808080" w:themeColor="background1" w:themeShade="80"/>
        </w:rPr>
        <w:t>ow</w:t>
      </w:r>
      <w:r w:rsidR="002C73C0" w:rsidRPr="00F6629F">
        <w:rPr>
          <w:i/>
          <w:iCs/>
          <w:color w:val="808080" w:themeColor="background1" w:themeShade="80"/>
        </w:rPr>
        <w:t>-</w:t>
      </w:r>
      <w:r w:rsidR="00F6629F" w:rsidRPr="00F6629F">
        <w:rPr>
          <w:i/>
          <w:iCs/>
          <w:color w:val="808080" w:themeColor="background1" w:themeShade="80"/>
        </w:rPr>
        <w:t>G</w:t>
      </w:r>
      <w:r w:rsidR="001325AF" w:rsidRPr="00F6629F">
        <w:rPr>
          <w:i/>
          <w:iCs/>
          <w:color w:val="808080" w:themeColor="background1" w:themeShade="80"/>
        </w:rPr>
        <w:t xml:space="preserve">rade </w:t>
      </w:r>
      <w:r w:rsidR="00F6629F" w:rsidRPr="00F6629F">
        <w:rPr>
          <w:i/>
          <w:iCs/>
          <w:color w:val="808080" w:themeColor="background1" w:themeShade="80"/>
        </w:rPr>
        <w:t>O</w:t>
      </w:r>
      <w:r w:rsidR="001325AF" w:rsidRPr="00F6629F">
        <w:rPr>
          <w:i/>
          <w:iCs/>
          <w:color w:val="808080" w:themeColor="background1" w:themeShade="80"/>
        </w:rPr>
        <w:t xml:space="preserve">esophageal </w:t>
      </w:r>
      <w:r w:rsidR="00F6629F" w:rsidRPr="00F6629F">
        <w:rPr>
          <w:i/>
          <w:iCs/>
          <w:color w:val="808080" w:themeColor="background1" w:themeShade="80"/>
        </w:rPr>
        <w:t>D</w:t>
      </w:r>
      <w:r w:rsidR="001325AF" w:rsidRPr="00F6629F">
        <w:rPr>
          <w:i/>
          <w:iCs/>
          <w:color w:val="808080" w:themeColor="background1" w:themeShade="80"/>
        </w:rPr>
        <w:t xml:space="preserve">ysplasia </w:t>
      </w:r>
    </w:p>
    <w:p w:rsidR="00484504" w:rsidRDefault="0054127E" w:rsidP="00D11ED9">
      <w:pPr>
        <w:jc w:val="both"/>
      </w:pPr>
      <w:r>
        <w:t xml:space="preserve">Table 2 describes the parameters and their values.  </w:t>
      </w:r>
      <w:r w:rsidR="00484504">
        <w:t xml:space="preserve">Jointly, the chosen parameter values produce the model outputs shown in Table 3. </w:t>
      </w:r>
      <w:r w:rsidR="00FA03ED">
        <w:t xml:space="preserve"> </w:t>
      </w:r>
    </w:p>
    <w:p w:rsidR="00DE0076" w:rsidRDefault="00DE0076" w:rsidP="00D11ED9">
      <w:pPr>
        <w:jc w:val="both"/>
      </w:pPr>
      <w:r>
        <w:t>I</w:t>
      </w:r>
      <w:r w:rsidRPr="00315FCD">
        <w:t>nformed by incidence rates of oesophageal cancer from Malawi cancer registry (</w:t>
      </w:r>
      <w:proofErr w:type="spellStart"/>
      <w:r w:rsidRPr="00315FCD">
        <w:t>Chasimpha</w:t>
      </w:r>
      <w:proofErr w:type="spellEnd"/>
      <w:r w:rsidRPr="00315FCD">
        <w:t xml:space="preserve"> et al, 2017)</w:t>
      </w:r>
      <w:r>
        <w:t xml:space="preserve">, incidence of </w:t>
      </w:r>
      <w:r w:rsidR="00F6629F" w:rsidRPr="00315FCD">
        <w:t>low-grade</w:t>
      </w:r>
      <w:r w:rsidR="0054127E" w:rsidRPr="00315FCD">
        <w:t xml:space="preserv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proofErr w:type="spellStart"/>
      <w:r w:rsidRPr="00315FCD">
        <w:t>Chasimpha</w:t>
      </w:r>
      <w:proofErr w:type="spellEnd"/>
      <w:r w:rsidRPr="00315FCD">
        <w:t xml:space="preserve"> et al 2017, Banda et al 2001, Moses et al 2017</w:t>
      </w:r>
      <w:r>
        <w:t xml:space="preserve">, the rate ratio for females is taken as 1.3-fold.  The rate ratio per year older after age 20 is assumed to be </w:t>
      </w:r>
      <w:r w:rsidR="00FE1750">
        <w:t>1.1,</w:t>
      </w:r>
      <w:r>
        <w:t xml:space="preserve"> consistent with the </w:t>
      </w:r>
      <w:r w:rsidR="00F6629F" w:rsidRPr="00315FCD">
        <w:t>100-fold</w:t>
      </w:r>
      <w:r w:rsidRPr="00315FCD">
        <w:t xml:space="preserve"> </w:t>
      </w:r>
      <w:r>
        <w:t xml:space="preserve">increase in rate between age 20 and 70 observed in </w:t>
      </w:r>
      <w:proofErr w:type="spellStart"/>
      <w:r w:rsidRPr="00315FCD">
        <w:t>C</w:t>
      </w:r>
      <w:r>
        <w:t>hasimphia</w:t>
      </w:r>
      <w:proofErr w:type="spellEnd"/>
      <w:r>
        <w:t xml:space="preserve"> et al, 2017.</w:t>
      </w:r>
      <w:r w:rsidR="00FE1750">
        <w:t xml:space="preserve">  Informed by </w:t>
      </w:r>
      <w:proofErr w:type="spellStart"/>
      <w:r w:rsidR="00FE1750" w:rsidRPr="00315FCD">
        <w:t>Mlombe</w:t>
      </w:r>
      <w:proofErr w:type="spellEnd"/>
      <w:r w:rsidR="00FE1750" w:rsidRPr="00315FCD">
        <w:t xml:space="preserve"> et al 2017</w:t>
      </w:r>
      <w:r w:rsidR="00FE1750">
        <w:t>, the rate ratio for t</w:t>
      </w:r>
      <w:r w:rsidR="00E3240B">
        <w:t>o</w:t>
      </w:r>
      <w:r w:rsidR="00FE1750">
        <w:t xml:space="preserve">bacco smoking is 2.0.  We include a parameter for an effect of excess alcohol intake but use a rate ratio of 1.0 as </w:t>
      </w:r>
      <w:proofErr w:type="spellStart"/>
      <w:r w:rsidR="00FE1750" w:rsidRPr="00315FCD">
        <w:t>Mlombe</w:t>
      </w:r>
      <w:proofErr w:type="spellEnd"/>
      <w:r w:rsidR="00FE1750" w:rsidRPr="00315FCD">
        <w:t xml:space="preserve"> et al 2017 suggests</w:t>
      </w:r>
      <w:r w:rsidR="00FE1750">
        <w:t xml:space="preserve"> this is</w:t>
      </w:r>
      <w:r w:rsidR="00FE1750" w:rsidRPr="00315FCD">
        <w:t xml:space="preserve"> not an independent risk factor</w:t>
      </w:r>
      <w:r w:rsidR="00FE1750">
        <w:t>.</w:t>
      </w:r>
    </w:p>
    <w:p w:rsidR="00F46263" w:rsidRPr="00F6629F" w:rsidRDefault="00F46263" w:rsidP="00D11ED9">
      <w:pPr>
        <w:jc w:val="both"/>
        <w:rPr>
          <w:i/>
          <w:iCs/>
          <w:color w:val="808080" w:themeColor="background1" w:themeShade="80"/>
        </w:rPr>
      </w:pPr>
      <w:r w:rsidRPr="00F6629F">
        <w:rPr>
          <w:i/>
          <w:iCs/>
          <w:color w:val="808080" w:themeColor="background1" w:themeShade="80"/>
        </w:rPr>
        <w:t>Progression between dysplasia / cancer stages</w:t>
      </w:r>
    </w:p>
    <w:p w:rsidR="001325AF" w:rsidRPr="00E76FEF" w:rsidRDefault="00F46263" w:rsidP="00D11ED9">
      <w:pPr>
        <w:jc w:val="both"/>
        <w:rPr>
          <w:bCs/>
          <w:color w:val="000000" w:themeColor="text1"/>
        </w:rPr>
      </w:pPr>
      <w:r>
        <w:rPr>
          <w:bCs/>
          <w:color w:val="000000" w:themeColor="text1"/>
        </w:rPr>
        <w:t xml:space="preserve">Informed by </w:t>
      </w:r>
      <w:proofErr w:type="spellStart"/>
      <w:r>
        <w:rPr>
          <w:bCs/>
          <w:color w:val="000000" w:themeColor="text1"/>
        </w:rPr>
        <w:t>Kastelein</w:t>
      </w:r>
      <w:proofErr w:type="spellEnd"/>
      <w:r>
        <w:rPr>
          <w:bCs/>
          <w:color w:val="000000" w:themeColor="text1"/>
        </w:rPr>
        <w:t xml:space="preserve"> et al we assume a </w:t>
      </w:r>
      <w:r w:rsidR="00C26212" w:rsidRPr="00315FCD">
        <w:t>probability</w:t>
      </w:r>
      <w:r w:rsidRPr="00315FCD">
        <w:t xml:space="preserve"> per 3 months of </w:t>
      </w:r>
      <w:r w:rsidR="00182E40" w:rsidRPr="00315FCD">
        <w:t>high-grade</w:t>
      </w:r>
      <w:r w:rsidRPr="00315FCD">
        <w:t xml:space="preserve"> oesophageal dysplasia, amongst people with low grade dysplasia</w:t>
      </w:r>
      <w:r>
        <w:t xml:space="preserve"> of 0.03.  Likewise, informed by </w:t>
      </w:r>
      <w:proofErr w:type="spellStart"/>
      <w:r>
        <w:t>Kastelein</w:t>
      </w:r>
      <w:proofErr w:type="spellEnd"/>
      <w:r>
        <w:t xml:space="preserve"> et al 2014 and</w:t>
      </w:r>
      <w:r w:rsidRPr="00315FCD">
        <w:t xml:space="preserve"> Verbeek et al 2012 (</w:t>
      </w:r>
      <w:r>
        <w:t xml:space="preserve">albeit this is mainly adenocarcinoma when Malawi has preponderance of squamous cell </w:t>
      </w:r>
      <w:r w:rsidRPr="00E76FEF">
        <w:rPr>
          <w:color w:val="000000" w:themeColor="text1"/>
        </w:rPr>
        <w:t xml:space="preserve">carcinoma, but prognosis is not greatly different), the </w:t>
      </w:r>
      <w:r w:rsidR="005578E1" w:rsidRPr="00E76FEF">
        <w:rPr>
          <w:color w:val="000000" w:themeColor="text1"/>
        </w:rPr>
        <w:t>probability</w:t>
      </w:r>
      <w:r w:rsidRPr="00E76FEF">
        <w:rPr>
          <w:color w:val="000000" w:themeColor="text1"/>
        </w:rPr>
        <w:t xml:space="preserve"> per 3 months of stage 1 oesophageal cancer amongst people with high grade dysplasia is 0.01.</w:t>
      </w:r>
    </w:p>
    <w:p w:rsidR="00E76FEF" w:rsidRPr="00E76FEF" w:rsidRDefault="00E76FEF" w:rsidP="00D11ED9">
      <w:pPr>
        <w:jc w:val="both"/>
        <w:rPr>
          <w:bCs/>
          <w:color w:val="000000" w:themeColor="text1"/>
        </w:rPr>
      </w:pPr>
      <w:r w:rsidRPr="00E76FEF">
        <w:rPr>
          <w:bCs/>
          <w:color w:val="000000" w:themeColor="text1"/>
        </w:rPr>
        <w:t xml:space="preserve">Progression </w:t>
      </w:r>
      <w:r>
        <w:rPr>
          <w:bCs/>
          <w:color w:val="000000" w:themeColor="text1"/>
        </w:rPr>
        <w:t>through stages of oesophageal cancer are</w:t>
      </w:r>
      <w:r w:rsidRPr="00E76FEF">
        <w:rPr>
          <w:bCs/>
          <w:color w:val="000000" w:themeColor="text1"/>
        </w:rPr>
        <w:t xml:space="preserve"> informed by survival according to stage at diagnosis</w:t>
      </w:r>
      <w:r>
        <w:rPr>
          <w:bCs/>
          <w:color w:val="000000" w:themeColor="text1"/>
        </w:rPr>
        <w:t xml:space="preserve">.  The </w:t>
      </w:r>
      <w:r w:rsidR="001B16B3" w:rsidRPr="00E76FEF">
        <w:rPr>
          <w:bCs/>
          <w:color w:val="000000" w:themeColor="text1"/>
        </w:rPr>
        <w:t>5-year</w:t>
      </w:r>
      <w:r w:rsidRPr="00E76FEF">
        <w:rPr>
          <w:bCs/>
          <w:color w:val="000000" w:themeColor="text1"/>
        </w:rPr>
        <w:t xml:space="preserve"> survival in United States (with treatment availability): 45% stage 1/2, 24% stage 3, 5% stage 4)</w:t>
      </w:r>
      <w:r w:rsidR="00D11ED9">
        <w:rPr>
          <w:rStyle w:val="FootnoteReference"/>
          <w:bCs/>
          <w:color w:val="000000" w:themeColor="text1"/>
        </w:rPr>
        <w:footnoteReference w:id="1"/>
      </w:r>
      <w:r>
        <w:rPr>
          <w:bCs/>
          <w:color w:val="000000" w:themeColor="text1"/>
        </w:rPr>
        <w:t>.  The</w:t>
      </w:r>
      <w:r w:rsidRPr="00E76FEF">
        <w:rPr>
          <w:bCs/>
          <w:color w:val="000000" w:themeColor="text1"/>
        </w:rPr>
        <w:t xml:space="preserve"> </w:t>
      </w:r>
      <w:r w:rsidR="00182E40" w:rsidRPr="00E76FEF">
        <w:rPr>
          <w:bCs/>
          <w:color w:val="000000" w:themeColor="text1"/>
        </w:rPr>
        <w:t>5-year</w:t>
      </w:r>
      <w:r w:rsidRPr="00E76FEF">
        <w:rPr>
          <w:bCs/>
          <w:color w:val="000000" w:themeColor="text1"/>
        </w:rPr>
        <w:t xml:space="preserve"> survival without surgery &lt; 5</w:t>
      </w:r>
      <w:r w:rsidR="00182E40" w:rsidRPr="00E76FEF">
        <w:rPr>
          <w:bCs/>
          <w:color w:val="000000" w:themeColor="text1"/>
        </w:rPr>
        <w:t>% Kauppila</w:t>
      </w:r>
      <w:r w:rsidRPr="00E76FEF">
        <w:rPr>
          <w:bCs/>
          <w:color w:val="000000" w:themeColor="text1"/>
        </w:rPr>
        <w:t xml:space="preserve"> et al 2018 (Sweden)</w:t>
      </w:r>
      <w:r>
        <w:rPr>
          <w:bCs/>
          <w:color w:val="000000" w:themeColor="text1"/>
        </w:rPr>
        <w:t xml:space="preserve">.  The </w:t>
      </w:r>
      <w:r w:rsidR="00182E40">
        <w:rPr>
          <w:bCs/>
          <w:color w:val="000000" w:themeColor="text1"/>
        </w:rPr>
        <w:t>p</w:t>
      </w:r>
      <w:r w:rsidR="00182E40" w:rsidRPr="00315FCD">
        <w:t>robability</w:t>
      </w:r>
      <w:r w:rsidRPr="00315FCD">
        <w:t xml:space="preserve"> per 3 months of stage 2 oesophageal cancer amongst people with stage 1 oesophageal cancer</w:t>
      </w:r>
      <w:r>
        <w:t xml:space="preserve"> is taken as 0.05</w:t>
      </w:r>
      <w:r w:rsidR="00E3508E">
        <w:t xml:space="preserve">, as is the probability of </w:t>
      </w:r>
      <w:r w:rsidR="00182E40">
        <w:t>progression</w:t>
      </w:r>
      <w:r w:rsidR="00E3508E">
        <w:t xml:space="preserve"> from stage 2 to 3, and from stage 3 to 4.</w:t>
      </w:r>
    </w:p>
    <w:p w:rsidR="00F6629F" w:rsidRDefault="00381B74" w:rsidP="00D11ED9">
      <w:pPr>
        <w:jc w:val="both"/>
        <w:rPr>
          <w:i/>
          <w:iCs/>
          <w:color w:val="808080" w:themeColor="background1" w:themeShade="80"/>
        </w:rPr>
      </w:pPr>
      <w:r w:rsidRPr="00F6629F">
        <w:rPr>
          <w:i/>
          <w:iCs/>
          <w:color w:val="808080" w:themeColor="background1" w:themeShade="80"/>
        </w:rPr>
        <w:t>Experience of dysphagia</w:t>
      </w:r>
    </w:p>
    <w:p w:rsidR="00F6629F" w:rsidRDefault="00C40E95" w:rsidP="00D11ED9">
      <w:pPr>
        <w:jc w:val="both"/>
        <w:rPr>
          <w:bCs/>
        </w:rPr>
      </w:pPr>
      <w:r w:rsidRPr="00CE764B">
        <w:rPr>
          <w:bCs/>
        </w:rPr>
        <w:t xml:space="preserve">We assume a </w:t>
      </w:r>
      <w:r w:rsidR="000A1FF3" w:rsidRPr="000A1FF3">
        <w:rPr>
          <w:bCs/>
        </w:rPr>
        <w:t xml:space="preserve">probability per 3 months of </w:t>
      </w:r>
      <w:r w:rsidR="00381B74">
        <w:rPr>
          <w:bCs/>
        </w:rPr>
        <w:t xml:space="preserve">symptoms of dysplasia being experienced </w:t>
      </w:r>
      <w:r w:rsidR="000A1FF3" w:rsidRPr="000A1FF3">
        <w:rPr>
          <w:bCs/>
        </w:rPr>
        <w:t>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w:t>
      </w:r>
      <w:r w:rsidR="00381B74">
        <w:rPr>
          <w:bCs/>
        </w:rPr>
        <w:t>dysplasia</w:t>
      </w:r>
      <w:r w:rsidR="005F0ED1">
        <w:rPr>
          <w:bCs/>
        </w:rPr>
        <w:t xml:space="preserve"> of 0.1 for </w:t>
      </w:r>
      <w:r w:rsidR="00F6629F">
        <w:rPr>
          <w:bCs/>
        </w:rPr>
        <w:t>low- or high-grade</w:t>
      </w:r>
      <w:r w:rsidR="005F0ED1">
        <w:rPr>
          <w:bCs/>
        </w:rPr>
        <w:t xml:space="preserve"> dysplasia, reflecting the lower chance of </w:t>
      </w:r>
      <w:r w:rsidR="00381B74">
        <w:rPr>
          <w:bCs/>
        </w:rPr>
        <w:t xml:space="preserve">symptoms </w:t>
      </w:r>
      <w:r w:rsidR="005F0ED1">
        <w:rPr>
          <w:bCs/>
        </w:rPr>
        <w:t xml:space="preserve">at this stage.  </w:t>
      </w:r>
      <w:r w:rsidR="00F6629F">
        <w:rPr>
          <w:bCs/>
        </w:rPr>
        <w:t>Likewise,</w:t>
      </w:r>
      <w:r w:rsidR="005F0ED1">
        <w:rPr>
          <w:bCs/>
        </w:rPr>
        <w:t xml:space="preserve"> the rate of </w:t>
      </w:r>
      <w:r w:rsidR="00381B74">
        <w:rPr>
          <w:bCs/>
        </w:rPr>
        <w:t>experience of dysplasia</w:t>
      </w:r>
      <w:r w:rsidR="005F0ED1">
        <w:rPr>
          <w:bCs/>
        </w:rPr>
        <w:t xml:space="preserve"> is assumed to increase with stage, </w:t>
      </w:r>
      <w:r w:rsidR="002E6AEB">
        <w:rPr>
          <w:bCs/>
        </w:rPr>
        <w:t>3-fold</w:t>
      </w:r>
      <w:r w:rsidR="005F0ED1">
        <w:rPr>
          <w:bCs/>
        </w:rPr>
        <w:t xml:space="preserve"> for stage 2, </w:t>
      </w:r>
      <w:r w:rsidR="00D11ED9">
        <w:rPr>
          <w:bCs/>
        </w:rPr>
        <w:t>4-fold</w:t>
      </w:r>
      <w:r w:rsidR="005F0ED1">
        <w:rPr>
          <w:bCs/>
        </w:rPr>
        <w:t xml:space="preserve"> for stage 3 and </w:t>
      </w:r>
      <w:r w:rsidR="00D11ED9">
        <w:rPr>
          <w:bCs/>
        </w:rPr>
        <w:t>5-fold</w:t>
      </w:r>
      <w:r w:rsidR="005F0ED1">
        <w:rPr>
          <w:bCs/>
        </w:rPr>
        <w:t xml:space="preserve"> for stage 4.  </w:t>
      </w:r>
      <w:r w:rsidR="00381B74">
        <w:rPr>
          <w:bCs/>
        </w:rPr>
        <w:t xml:space="preserve">Presence of dysplasia leads to </w:t>
      </w:r>
      <w:r w:rsidR="002E6AEB">
        <w:rPr>
          <w:bCs/>
        </w:rPr>
        <w:t>healthcare</w:t>
      </w:r>
      <w:r w:rsidR="00F6629F">
        <w:rPr>
          <w:bCs/>
        </w:rPr>
        <w:t xml:space="preserve"> seeking.</w:t>
      </w:r>
    </w:p>
    <w:p w:rsidR="00C40E95" w:rsidRPr="00C26212" w:rsidRDefault="00572185" w:rsidP="00D11ED9">
      <w:pPr>
        <w:jc w:val="both"/>
        <w:rPr>
          <w:i/>
          <w:iCs/>
          <w:color w:val="808080" w:themeColor="background1" w:themeShade="80"/>
        </w:rPr>
      </w:pPr>
      <w:r w:rsidRPr="00C26212">
        <w:rPr>
          <w:i/>
          <w:iCs/>
          <w:color w:val="808080" w:themeColor="background1" w:themeShade="80"/>
        </w:rPr>
        <w:t xml:space="preserve">Rate of death from oesophageal cancer </w:t>
      </w:r>
    </w:p>
    <w:p w:rsidR="00A4006B" w:rsidRDefault="00484504" w:rsidP="00D11ED9">
      <w:pPr>
        <w:jc w:val="both"/>
      </w:pPr>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rsidR="00C26212" w:rsidRPr="00441225" w:rsidRDefault="00C26212" w:rsidP="00D11ED9">
      <w:pPr>
        <w:jc w:val="both"/>
        <w:rPr>
          <w:b/>
          <w:bCs/>
          <w:color w:val="A8D08D" w:themeColor="accent6" w:themeTint="99"/>
        </w:rPr>
      </w:pPr>
      <w:r>
        <w:rPr>
          <w:b/>
          <w:bCs/>
          <w:color w:val="808080" w:themeColor="background1" w:themeShade="80"/>
        </w:rPr>
        <w:lastRenderedPageBreak/>
        <w:t>Treatment for O</w:t>
      </w:r>
      <w:r w:rsidRPr="00CE764B">
        <w:rPr>
          <w:b/>
          <w:bCs/>
          <w:color w:val="808080" w:themeColor="background1" w:themeShade="80"/>
        </w:rPr>
        <w:t xml:space="preserve">esophageal </w:t>
      </w:r>
      <w:r>
        <w:rPr>
          <w:b/>
          <w:bCs/>
          <w:color w:val="808080" w:themeColor="background1" w:themeShade="80"/>
        </w:rPr>
        <w:t>D</w:t>
      </w:r>
      <w:r w:rsidRPr="00CE764B">
        <w:rPr>
          <w:b/>
          <w:bCs/>
          <w:color w:val="808080" w:themeColor="background1" w:themeShade="80"/>
        </w:rPr>
        <w:t>ysplasia / cancer</w:t>
      </w:r>
    </w:p>
    <w:p w:rsidR="004D592A" w:rsidRDefault="00C26212" w:rsidP="00D11ED9">
      <w:pPr>
        <w:jc w:val="both"/>
      </w:pPr>
      <w:r>
        <w:rPr>
          <w:bCs/>
        </w:rPr>
        <w:t xml:space="preserve">At all stages of dysplasia/cancer except stage 4 cancer </w:t>
      </w:r>
      <w:r w:rsidR="004D592A">
        <w:rPr>
          <w:bCs/>
        </w:rPr>
        <w:t>there can be</w:t>
      </w:r>
      <w:r>
        <w:rPr>
          <w:bCs/>
        </w:rPr>
        <w:t xml:space="preserve"> </w:t>
      </w:r>
      <w:r w:rsidRPr="00315FCD">
        <w:t>me</w:t>
      </w:r>
      <w:r>
        <w:t>dical treatment aimed at cure amongst people who are diagnosed (which we refer to as curative treatment, recognising that it is often not successful in achieving a cure).</w:t>
      </w:r>
      <w:r w:rsidR="005578E1">
        <w:t xml:space="preserve"> </w:t>
      </w:r>
      <w:r>
        <w:t xml:space="preserve">Depending on stage this might include </w:t>
      </w:r>
      <w:r w:rsidRPr="00315FCD">
        <w:t>surgery, radiotherapy, chemotherapy</w:t>
      </w:r>
      <w:r w:rsidR="004D592A">
        <w:t xml:space="preserve"> [</w:t>
      </w:r>
      <w:r w:rsidR="004D592A" w:rsidRPr="004D592A">
        <w:rPr>
          <w:color w:val="FF0000"/>
        </w:rPr>
        <w:t>Feedback required on this point</w:t>
      </w:r>
      <w:r w:rsidR="004D592A">
        <w:t>]</w:t>
      </w:r>
      <w:r>
        <w:t xml:space="preserve">. </w:t>
      </w:r>
    </w:p>
    <w:p w:rsidR="004D592A" w:rsidRDefault="004D592A" w:rsidP="004D592A">
      <w:pPr>
        <w:jc w:val="both"/>
      </w:pPr>
      <w:r>
        <w:rPr>
          <w:bCs/>
        </w:rPr>
        <w:t>Persons on treatment are assumed to have a lower risk of progression t</w:t>
      </w:r>
      <w:r w:rsidR="00DF6185">
        <w:rPr>
          <w:bCs/>
        </w:rPr>
        <w:t>o the next</w:t>
      </w:r>
      <w:r>
        <w:rPr>
          <w:bCs/>
        </w:rPr>
        <w:t xml:space="preserve"> successive stage</w:t>
      </w:r>
      <w:r w:rsidR="00DF6185">
        <w:rPr>
          <w:bCs/>
        </w:rPr>
        <w:t xml:space="preserve">; </w:t>
      </w:r>
      <w:r w:rsidR="00DF6185" w:rsidRPr="00DF6185">
        <w:rPr>
          <w:bCs/>
          <w:highlight w:val="yellow"/>
        </w:rPr>
        <w:t>but if they do progress to the next stage, there is no further effect of treatment</w:t>
      </w:r>
      <w:r>
        <w:rPr>
          <w:bCs/>
        </w:rPr>
        <w:t xml:space="preserve">. </w:t>
      </w:r>
      <w:r w:rsidRPr="00572185">
        <w:rPr>
          <w:bCs/>
        </w:rPr>
        <w:t xml:space="preserve">The </w:t>
      </w:r>
      <w:r w:rsidRPr="00315FCD">
        <w:t xml:space="preserve">rate ratio </w:t>
      </w:r>
      <w:r>
        <w:t xml:space="preserve">for the effect of treatment on progression </w:t>
      </w:r>
      <w:r w:rsidRPr="00315FCD">
        <w:t>for</w:t>
      </w:r>
      <w:r>
        <w:t xml:space="preserve"> those with low-grade dysplasia, high-grade dysplasia, stage1 and stage2 is 0.1, based on indirect evidence from </w:t>
      </w:r>
      <w:r w:rsidRPr="00315FCD">
        <w:t>Kauppila et al 2018</w:t>
      </w:r>
      <w:r>
        <w:t xml:space="preserve">. For progression from stage 3 to stage 4 the rate ratio is taken to be 0.4, which is also based on indirect evidence from </w:t>
      </w:r>
      <w:r w:rsidRPr="00315FCD">
        <w:t>Kauppila et al 2018</w:t>
      </w:r>
      <w:r>
        <w:t xml:space="preserve">.  </w:t>
      </w:r>
    </w:p>
    <w:p w:rsidR="00C26212" w:rsidRDefault="00C26212" w:rsidP="00D11ED9">
      <w:pPr>
        <w:jc w:val="both"/>
      </w:pPr>
      <w:r>
        <w:t>We recognise that availability if treatment is currently extremely limited in Malawi</w:t>
      </w:r>
      <w:r w:rsidR="004D592A">
        <w:t>: t</w:t>
      </w:r>
      <w:r>
        <w:t>here were reported in 2015 to be five Malawian oncologists and haematologists involved in full-time cancer care in the whole country (</w:t>
      </w:r>
      <w:proofErr w:type="spellStart"/>
      <w:r>
        <w:t>Masamba</w:t>
      </w:r>
      <w:proofErr w:type="spellEnd"/>
      <w:r>
        <w:t xml:space="preserve"> et al, 2015).</w:t>
      </w:r>
    </w:p>
    <w:p w:rsidR="00FF7B0B" w:rsidRPr="000A1FF3" w:rsidRDefault="00FF7B0B" w:rsidP="00D11ED9">
      <w:pPr>
        <w:jc w:val="both"/>
        <w:rPr>
          <w:b/>
          <w:bCs/>
          <w:color w:val="4472C4" w:themeColor="accent1"/>
        </w:rPr>
      </w:pPr>
    </w:p>
    <w:p w:rsidR="0095443D" w:rsidRDefault="0095443D" w:rsidP="00D11ED9">
      <w:pPr>
        <w:jc w:val="both"/>
        <w:rPr>
          <w:b/>
          <w:bCs/>
          <w:color w:val="4472C4" w:themeColor="accent1"/>
        </w:rPr>
      </w:pPr>
      <w:r w:rsidRPr="000A1FF3">
        <w:rPr>
          <w:b/>
          <w:bCs/>
          <w:color w:val="4472C4" w:themeColor="accent1"/>
        </w:rPr>
        <w:t>Disability weights</w:t>
      </w:r>
    </w:p>
    <w:p w:rsidR="00182E40" w:rsidRDefault="00C26212" w:rsidP="00D11ED9">
      <w:pPr>
        <w:pStyle w:val="ListParagraph"/>
        <w:numPr>
          <w:ilvl w:val="0"/>
          <w:numId w:val="2"/>
        </w:numPr>
        <w:jc w:val="both"/>
      </w:pPr>
      <w:r w:rsidRPr="00C26212">
        <w:t xml:space="preserve">For persons with any stage of cancer prior to stage 4 and have never had any treatment, a </w:t>
      </w:r>
      <w:r>
        <w:t>disability-</w:t>
      </w:r>
      <w:r w:rsidRPr="00C26212">
        <w:t xml:space="preserve">weight of </w:t>
      </w:r>
      <w:r w:rsidR="00182E40" w:rsidRPr="00182E40">
        <w:t>0.288</w:t>
      </w:r>
      <w:r w:rsidRPr="00C26212">
        <w:t xml:space="preserve"> is applied, corresponding to </w:t>
      </w:r>
      <w:r w:rsidR="00182E40" w:rsidRPr="00182E40">
        <w:t>"Diagnosis and primary therapy phase of oesophageal cancer</w:t>
      </w:r>
      <w:r w:rsidR="00182E40">
        <w:t xml:space="preserve">: </w:t>
      </w:r>
      <w:r w:rsidR="00182E40" w:rsidRPr="00182E40">
        <w:t>Cancer, diagnosis and primary therapy</w:t>
      </w:r>
      <w:r w:rsidR="00182E40">
        <w:t xml:space="preserve">, </w:t>
      </w:r>
      <w:r w:rsidR="00182E40" w:rsidRPr="00182E40">
        <w:t>has pain, nausea, fatigue, weight loss and high anxiety</w:t>
      </w:r>
      <w:r w:rsidR="00182E40">
        <w:t>”</w:t>
      </w:r>
      <w:r w:rsidR="00182E40" w:rsidRPr="00182E40">
        <w:t>.</w:t>
      </w:r>
    </w:p>
    <w:p w:rsidR="00182E40" w:rsidRPr="00182E40" w:rsidRDefault="00182E40" w:rsidP="00D11ED9">
      <w:pPr>
        <w:pStyle w:val="ListParagraph"/>
        <w:numPr>
          <w:ilvl w:val="0"/>
          <w:numId w:val="1"/>
        </w:numPr>
        <w:jc w:val="both"/>
        <w:rPr>
          <w:bCs/>
        </w:rPr>
      </w:pPr>
      <w:r w:rsidRPr="00C26212">
        <w:t xml:space="preserve">For persons with any stage of cancer prior to stage 4 and have ever had any treatment, a </w:t>
      </w:r>
      <w:r>
        <w:t>disability-</w:t>
      </w:r>
      <w:r w:rsidRPr="00C26212">
        <w:t xml:space="preserve">weight of </w:t>
      </w:r>
      <w:r w:rsidRPr="00182E40">
        <w:t>0.049</w:t>
      </w:r>
      <w:r w:rsidRPr="00C26212">
        <w:t xml:space="preserve"> is applied, corresponding to </w:t>
      </w:r>
      <w:r w:rsidRPr="00182E40">
        <w:rPr>
          <w:bCs/>
        </w:rPr>
        <w:t>"Controlled phase of oesophageal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182E40" w:rsidRPr="00E350C2" w:rsidRDefault="00C26212" w:rsidP="00D11ED9">
      <w:pPr>
        <w:pStyle w:val="ListParagraph"/>
        <w:numPr>
          <w:ilvl w:val="0"/>
          <w:numId w:val="1"/>
        </w:numPr>
        <w:jc w:val="both"/>
        <w:rPr>
          <w:bCs/>
        </w:rPr>
      </w:pPr>
      <w:r w:rsidRPr="00C26212">
        <w:t xml:space="preserve">For persons </w:t>
      </w:r>
      <w:r w:rsidR="00182E40">
        <w:t>with a cancer in</w:t>
      </w:r>
      <w:r w:rsidRPr="00C26212">
        <w:t xml:space="preserve"> stage 4</w:t>
      </w:r>
      <w:r w:rsidR="00E350C2">
        <w:t xml:space="preserve"> and with no palliative care</w:t>
      </w:r>
      <w:r w:rsidRPr="00C26212">
        <w:t xml:space="preserve">, a </w:t>
      </w:r>
      <w:r>
        <w:t>disability-</w:t>
      </w:r>
      <w:r w:rsidRPr="00C26212">
        <w:t xml:space="preserve">weight of </w:t>
      </w:r>
      <w:r w:rsidR="00223183" w:rsidRPr="00223183">
        <w:t>0.451</w:t>
      </w:r>
      <w:r w:rsidRPr="00C26212">
        <w:t xml:space="preserve"> is applied, corresponding to </w:t>
      </w:r>
      <w:r w:rsidR="00182E40">
        <w:t xml:space="preserve">“Metastatic phase of oesophageal cancer: Cancer, metastatic: has severe pain, extreme fatigue, weight loss and high anxiety." </w:t>
      </w:r>
    </w:p>
    <w:p w:rsidR="00E350C2" w:rsidRPr="00182E40" w:rsidRDefault="00E350C2" w:rsidP="00E350C2">
      <w:pPr>
        <w:pStyle w:val="ListParagraph"/>
        <w:numPr>
          <w:ilvl w:val="0"/>
          <w:numId w:val="1"/>
        </w:numPr>
        <w:jc w:val="both"/>
        <w:rPr>
          <w:bCs/>
        </w:rPr>
      </w:pPr>
      <w:r w:rsidRPr="00C26212">
        <w:t xml:space="preserve">For persons </w:t>
      </w:r>
      <w:r>
        <w:t>with a cancer in</w:t>
      </w:r>
      <w:r w:rsidRPr="00C26212">
        <w:t xml:space="preserve"> stage 4</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oesophageal cancer: Cancer, metastatic: has severe pain, extreme fatigue, weight loss and high anxiety." </w:t>
      </w:r>
    </w:p>
    <w:p w:rsidR="00F803FC" w:rsidRPr="00182E40" w:rsidRDefault="00F803FC" w:rsidP="00F803FC">
      <w:pPr>
        <w:pStyle w:val="ListParagraph"/>
        <w:numPr>
          <w:ilvl w:val="0"/>
          <w:numId w:val="1"/>
        </w:numPr>
        <w:jc w:val="both"/>
        <w:rPr>
          <w:bCs/>
        </w:rPr>
      </w:pPr>
      <w:r w:rsidRPr="00C26212">
        <w:t xml:space="preserve">For persons </w:t>
      </w:r>
      <w:r>
        <w:t>with a cancer in</w:t>
      </w:r>
      <w:r w:rsidRPr="00C26212">
        <w:t xml:space="preserve"> stage 4</w:t>
      </w:r>
      <w:r>
        <w:t xml:space="preserve"> and with palliative care</w:t>
      </w:r>
      <w:r w:rsidRPr="00C26212">
        <w:t xml:space="preserve">, a </w:t>
      </w:r>
      <w:r>
        <w:t>disability-</w:t>
      </w:r>
      <w:r w:rsidRPr="00C26212">
        <w:t xml:space="preserve">weight </w:t>
      </w:r>
      <w:r>
        <w:t xml:space="preserve">that is applied that is equal to those with earlier stage cancers </w:t>
      </w:r>
      <w:proofErr w:type="gramStart"/>
      <w:r>
        <w:t xml:space="preserve">without </w:t>
      </w:r>
      <w:r>
        <w:t xml:space="preserve"> </w:t>
      </w:r>
      <w:r>
        <w:t>treatment</w:t>
      </w:r>
      <w:proofErr w:type="gramEnd"/>
      <w:r>
        <w:t>.</w:t>
      </w:r>
    </w:p>
    <w:p w:rsidR="00E350C2" w:rsidRPr="00F803FC" w:rsidRDefault="00E350C2" w:rsidP="00F803FC">
      <w:pPr>
        <w:ind w:left="360"/>
        <w:jc w:val="both"/>
        <w:rPr>
          <w:bCs/>
        </w:rPr>
      </w:pPr>
    </w:p>
    <w:p w:rsidR="00D8692D" w:rsidRPr="000C6613" w:rsidRDefault="00D8692D" w:rsidP="00D11ED9">
      <w:pPr>
        <w:jc w:val="both"/>
        <w:rPr>
          <w:bCs/>
        </w:rPr>
      </w:pPr>
    </w:p>
    <w:p w:rsidR="00D8692D" w:rsidRPr="000A1FF3" w:rsidRDefault="00D8692D" w:rsidP="00D11ED9">
      <w:pPr>
        <w:jc w:val="both"/>
        <w:rPr>
          <w:b/>
          <w:bCs/>
          <w:color w:val="4472C4" w:themeColor="accent1"/>
        </w:rPr>
      </w:pPr>
      <w:r>
        <w:rPr>
          <w:b/>
          <w:bCs/>
          <w:color w:val="4472C4" w:themeColor="accent1"/>
        </w:rPr>
        <w:t>Health System Interactions</w:t>
      </w:r>
    </w:p>
    <w:p w:rsidR="002E6AEB" w:rsidRPr="002E6AEB" w:rsidRDefault="002E6AEB" w:rsidP="00D11ED9">
      <w:pPr>
        <w:jc w:val="both"/>
        <w:rPr>
          <w:i/>
          <w:iCs/>
          <w:color w:val="808080" w:themeColor="background1" w:themeShade="80"/>
        </w:rPr>
      </w:pPr>
      <w:r>
        <w:rPr>
          <w:i/>
          <w:iCs/>
          <w:color w:val="808080" w:themeColor="background1" w:themeShade="80"/>
        </w:rPr>
        <w:t>Care Seeking</w:t>
      </w:r>
      <w:r w:rsidR="005A1D0E">
        <w:rPr>
          <w:i/>
          <w:iCs/>
          <w:color w:val="808080" w:themeColor="background1" w:themeShade="80"/>
        </w:rPr>
        <w:t xml:space="preserve"> &amp; Diagnosis</w:t>
      </w:r>
    </w:p>
    <w:p w:rsidR="005A1D0E" w:rsidRDefault="002E6AEB" w:rsidP="00D11ED9">
      <w:pPr>
        <w:jc w:val="both"/>
        <w:rPr>
          <w:bCs/>
        </w:rPr>
      </w:pPr>
      <w:r>
        <w:rPr>
          <w:bCs/>
        </w:rPr>
        <w:t>Dysp</w:t>
      </w:r>
      <w:r w:rsidR="005A1D0E">
        <w:rPr>
          <w:bCs/>
        </w:rPr>
        <w:t xml:space="preserve">hagia is assumed to trigger healthcare seeking to a Non-Emergency Generic Appointment at Facility Level 1, whereupon referral to further health system interaction is indicated. In that appointment, an investigation using an endoscope is undertaken. If that investigation confirms </w:t>
      </w:r>
      <w:r w:rsidR="005A1D0E">
        <w:rPr>
          <w:bCs/>
        </w:rPr>
        <w:lastRenderedPageBreak/>
        <w:t xml:space="preserve">Oesophageal Cancer and if the stage of cancer is not stage 4 then </w:t>
      </w:r>
      <w:r w:rsidR="005578E1">
        <w:rPr>
          <w:bCs/>
        </w:rPr>
        <w:t>the</w:t>
      </w:r>
      <w:r w:rsidR="005A1D0E">
        <w:rPr>
          <w:bCs/>
        </w:rPr>
        <w:t xml:space="preserve"> patient is referred to initiate treatment. If the cancer is confirmed and is in stage 4, the patient is referred to Palliative Care.</w:t>
      </w:r>
    </w:p>
    <w:p w:rsidR="005A1D0E" w:rsidRDefault="005A1D0E" w:rsidP="00D11ED9">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proofErr w:type="spellStart"/>
      <w:r w:rsidRPr="00BF6259">
        <w:rPr>
          <w:bCs/>
        </w:rPr>
        <w:t>Msyamboza</w:t>
      </w:r>
      <w:proofErr w:type="spellEnd"/>
      <w:r>
        <w:rPr>
          <w:bCs/>
        </w:rPr>
        <w:t xml:space="preserve"> et al, 2012).  </w:t>
      </w:r>
    </w:p>
    <w:p w:rsidR="005A1D0E" w:rsidRDefault="005A1D0E" w:rsidP="00D11ED9">
      <w:pPr>
        <w:jc w:val="both"/>
        <w:rPr>
          <w:bCs/>
        </w:rPr>
      </w:pPr>
    </w:p>
    <w:p w:rsidR="002E6AEB" w:rsidRDefault="005A1D0E" w:rsidP="00D11ED9">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5A1D0E" w:rsidRDefault="005A1D0E" w:rsidP="00D11ED9">
      <w:pPr>
        <w:jc w:val="both"/>
        <w:rPr>
          <w:bCs/>
        </w:rPr>
      </w:pPr>
      <w:r w:rsidRPr="005A1D0E">
        <w:rPr>
          <w:bCs/>
        </w:rPr>
        <w:t>Treatment is i</w:t>
      </w:r>
      <w:r w:rsidR="00F244BA">
        <w:rPr>
          <w:bCs/>
        </w:rPr>
        <w:t xml:space="preserve">mplemented </w:t>
      </w:r>
      <w:r w:rsidRPr="005A1D0E">
        <w:rPr>
          <w:bCs/>
        </w:rPr>
        <w:t xml:space="preserve">for the patient </w:t>
      </w:r>
      <w:r w:rsidR="00DF6185">
        <w:rPr>
          <w:bCs/>
        </w:rPr>
        <w:t xml:space="preserve">in a separate </w:t>
      </w:r>
      <w:r w:rsidR="00F244BA">
        <w:rPr>
          <w:bCs/>
        </w:rPr>
        <w:t xml:space="preserve">single </w:t>
      </w:r>
      <w:r w:rsidR="00DF6185">
        <w:rPr>
          <w:bCs/>
        </w:rPr>
        <w:t>appointment, following</w:t>
      </w:r>
      <w:r w:rsidRPr="005A1D0E">
        <w:rPr>
          <w:bCs/>
        </w:rPr>
        <w:t xml:space="preserve"> diagnosis</w:t>
      </w:r>
      <w:r w:rsidR="00F244BA">
        <w:rPr>
          <w:bCs/>
        </w:rPr>
        <w:t xml:space="preserve"> of any form of stage prior to stage 4 (low/high grade dysplasia and stages 1-3)</w:t>
      </w:r>
      <w:r w:rsidR="00DF6185">
        <w:rPr>
          <w:bCs/>
        </w:rPr>
        <w:t xml:space="preserve">. The patient is monitored every year </w:t>
      </w:r>
      <w:r w:rsidRPr="005A1D0E">
        <w:rPr>
          <w:bCs/>
        </w:rPr>
        <w:t>thereafter</w:t>
      </w:r>
      <w:r w:rsidR="00DF6185">
        <w:rPr>
          <w:bCs/>
        </w:rPr>
        <w:t>, and if the patients</w:t>
      </w:r>
      <w:r w:rsidRPr="005A1D0E">
        <w:rPr>
          <w:bCs/>
        </w:rPr>
        <w:t xml:space="preserve"> </w:t>
      </w:r>
      <w:r w:rsidR="00DF6185">
        <w:rPr>
          <w:bCs/>
        </w:rPr>
        <w:t>has progressed</w:t>
      </w:r>
      <w:r w:rsidRPr="005A1D0E">
        <w:rPr>
          <w:bCs/>
        </w:rPr>
        <w:t xml:space="preserve"> to stage 4, the patient is </w:t>
      </w:r>
      <w:r w:rsidR="00F244BA">
        <w:rPr>
          <w:bCs/>
        </w:rPr>
        <w:t>initiated on</w:t>
      </w:r>
      <w:r w:rsidRPr="005A1D0E">
        <w:rPr>
          <w:bCs/>
        </w:rPr>
        <w:t xml:space="preserve"> Palliative Care.</w:t>
      </w:r>
    </w:p>
    <w:p w:rsidR="00D11ED9" w:rsidRPr="00D11ED9" w:rsidRDefault="00D11ED9" w:rsidP="00D11ED9">
      <w:pPr>
        <w:jc w:val="both"/>
        <w:rPr>
          <w:bCs/>
        </w:rPr>
      </w:pPr>
    </w:p>
    <w:p w:rsidR="005A1D0E" w:rsidRPr="005A1D0E" w:rsidRDefault="005A1D0E" w:rsidP="00D11ED9">
      <w:pPr>
        <w:jc w:val="both"/>
        <w:rPr>
          <w:i/>
          <w:iCs/>
          <w:color w:val="808080" w:themeColor="background1" w:themeShade="80"/>
        </w:rPr>
      </w:pPr>
      <w:r w:rsidRPr="005A1D0E">
        <w:rPr>
          <w:i/>
          <w:iCs/>
          <w:color w:val="808080" w:themeColor="background1" w:themeShade="80"/>
        </w:rPr>
        <w:t>Palliative Care</w:t>
      </w:r>
    </w:p>
    <w:p w:rsidR="0025100E" w:rsidRPr="0025100E" w:rsidRDefault="0025100E" w:rsidP="00D11ED9">
      <w:pPr>
        <w:jc w:val="both"/>
        <w:rPr>
          <w:bCs/>
        </w:rPr>
      </w:pPr>
      <w:r>
        <w:rPr>
          <w:bCs/>
        </w:rPr>
        <w:t xml:space="preserve">Patients initiated on palliative care remain on palliative care and received a monitoring appointment each month. </w:t>
      </w:r>
      <w:r w:rsidR="00A71097">
        <w:rPr>
          <w:bCs/>
        </w:rPr>
        <w:t>No benefit for the patient is in effect.</w:t>
      </w:r>
    </w:p>
    <w:p w:rsidR="00F6629F" w:rsidRDefault="00F6629F" w:rsidP="00D11ED9">
      <w:pPr>
        <w:jc w:val="both"/>
        <w:rPr>
          <w:b/>
          <w:bCs/>
        </w:rPr>
      </w:pPr>
    </w:p>
    <w:p w:rsidR="00FB3E0E" w:rsidRPr="000A1FF3" w:rsidRDefault="00FB3E0E" w:rsidP="00D11ED9">
      <w:pPr>
        <w:jc w:val="both"/>
        <w:rPr>
          <w:b/>
          <w:bCs/>
          <w:color w:val="4472C4" w:themeColor="accent1"/>
        </w:rPr>
      </w:pPr>
      <w:r w:rsidRPr="000A1FF3">
        <w:rPr>
          <w:b/>
          <w:bCs/>
          <w:color w:val="4472C4" w:themeColor="accent1"/>
        </w:rPr>
        <w:t>Main Limitations</w:t>
      </w:r>
    </w:p>
    <w:p w:rsidR="00FB3E0E" w:rsidRPr="00572185" w:rsidRDefault="003E2BE5" w:rsidP="00D11ED9">
      <w:pPr>
        <w:jc w:val="both"/>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w:t>
      </w:r>
      <w:r w:rsidR="007A0150">
        <w:rPr>
          <w:bCs/>
          <w:color w:val="000000" w:themeColor="text1"/>
        </w:rPr>
        <w:t>low-grade</w:t>
      </w:r>
      <w:r w:rsidR="00121B33">
        <w:rPr>
          <w:bCs/>
          <w:color w:val="000000" w:themeColor="text1"/>
        </w:rPr>
        <w:t xml:space="preserv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w:t>
      </w:r>
      <w:r w:rsidR="007A0150">
        <w:rPr>
          <w:bCs/>
          <w:color w:val="000000" w:themeColor="text1"/>
        </w:rPr>
        <w:t>registry,</w:t>
      </w:r>
      <w:r w:rsidR="00121B33">
        <w:rPr>
          <w:bCs/>
          <w:color w:val="000000" w:themeColor="text1"/>
        </w:rPr>
        <w:t xml:space="preserve"> we expect to be able to further inform our parameter values.</w:t>
      </w:r>
    </w:p>
    <w:p w:rsidR="005578E1" w:rsidRDefault="005578E1" w:rsidP="00D11ED9">
      <w:pPr>
        <w:jc w:val="both"/>
      </w:pPr>
    </w:p>
    <w:p w:rsidR="00341622" w:rsidRPr="007A0150" w:rsidRDefault="007A0150" w:rsidP="00D11ED9">
      <w:pPr>
        <w:jc w:val="both"/>
        <w:rPr>
          <w:b/>
          <w:bCs/>
          <w:color w:val="4472C4" w:themeColor="accent1"/>
        </w:rPr>
      </w:pPr>
      <w:r w:rsidRPr="007A0150">
        <w:rPr>
          <w:b/>
          <w:bCs/>
          <w:color w:val="4472C4" w:themeColor="accent1"/>
        </w:rPr>
        <w:t>Calibration</w:t>
      </w:r>
    </w:p>
    <w:p w:rsidR="007A0150" w:rsidRDefault="007A0150" w:rsidP="00D11ED9">
      <w:pPr>
        <w:jc w:val="both"/>
      </w:pPr>
      <w:r>
        <w:t xml:space="preserve">See Table </w:t>
      </w:r>
      <w:r w:rsidR="00182E40">
        <w:t>2</w:t>
      </w:r>
      <w:r>
        <w:t>.</w:t>
      </w:r>
    </w:p>
    <w:p w:rsidR="00D3113E" w:rsidRDefault="00D3113E" w:rsidP="00D11ED9">
      <w:pPr>
        <w:jc w:val="both"/>
        <w:sectPr w:rsidR="00D3113E">
          <w:pgSz w:w="11906" w:h="16838"/>
          <w:pgMar w:top="1440" w:right="1440" w:bottom="1440" w:left="1440" w:header="708" w:footer="708" w:gutter="0"/>
          <w:cols w:space="708"/>
          <w:docGrid w:linePitch="360"/>
        </w:sectPr>
      </w:pPr>
      <w:r>
        <w:tab/>
      </w:r>
      <w:r>
        <w:tab/>
      </w:r>
      <w:r>
        <w:tab/>
      </w:r>
      <w:r>
        <w:tab/>
      </w:r>
    </w:p>
    <w:p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rsidR="002D6EE0" w:rsidRPr="002D6EE0" w:rsidRDefault="00623158">
      <w:pPr>
        <w:rPr>
          <w:b/>
        </w:rPr>
      </w:pPr>
      <w:r>
        <w:rPr>
          <w:noProof/>
          <w:lang w:eastAsia="en-GB"/>
        </w:rPr>
        <w:drawing>
          <wp:anchor distT="0" distB="0" distL="114300" distR="114300" simplePos="0" relativeHeight="251669504" behindDoc="1" locked="0" layoutInCell="1" allowOverlap="1">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41778B">
        <w:rPr>
          <w:b/>
        </w:rPr>
        <w:t>O</w:t>
      </w:r>
      <w:r w:rsidR="00A35B7B">
        <w:rPr>
          <w:b/>
        </w:rPr>
        <w:t xml:space="preserve">esophageal </w:t>
      </w:r>
      <w:r w:rsidR="0041778B">
        <w:rPr>
          <w:b/>
        </w:rPr>
        <w:t>C</w:t>
      </w:r>
      <w:r w:rsidR="00A35B7B">
        <w:rPr>
          <w:b/>
        </w:rPr>
        <w:t xml:space="preserve">ancer </w:t>
      </w:r>
      <w:r w:rsidR="0041778B">
        <w:rPr>
          <w:b/>
        </w:rPr>
        <w:t>S</w:t>
      </w:r>
      <w:r w:rsidR="00A35B7B">
        <w:rPr>
          <w:b/>
        </w:rPr>
        <w:t xml:space="preserve">tatus </w:t>
      </w:r>
    </w:p>
    <w:p w:rsidR="002D6EE0" w:rsidRDefault="002D6EE0"/>
    <w:p w:rsidR="002D6EE0" w:rsidRDefault="002D6EE0">
      <w:r>
        <w:t xml:space="preserve"> </w:t>
      </w:r>
    </w:p>
    <w:p w:rsidR="00A35B7B" w:rsidRDefault="00A35B7B"/>
    <w:p w:rsidR="00A35B7B" w:rsidRDefault="00A35B7B"/>
    <w:p w:rsidR="00A35B7B" w:rsidRDefault="00A35B7B"/>
    <w:p w:rsidR="00A35B7B" w:rsidRDefault="00A35B7B"/>
    <w:p w:rsidR="00A35B7B" w:rsidRDefault="00A35B7B"/>
    <w:p w:rsidR="002D6EE0" w:rsidRDefault="002D6EE0"/>
    <w:p w:rsidR="002D6EE0" w:rsidRDefault="002D6EE0"/>
    <w:p w:rsidR="00623158" w:rsidRDefault="00623158">
      <w:pPr>
        <w:rPr>
          <w:b/>
        </w:rPr>
      </w:pPr>
    </w:p>
    <w:p w:rsidR="005220BA" w:rsidRDefault="008C7F55">
      <w:pPr>
        <w:rPr>
          <w:b/>
        </w:rPr>
      </w:pPr>
      <w:r>
        <w:rPr>
          <w:b/>
          <w:noProof/>
        </w:rPr>
        <w:drawing>
          <wp:anchor distT="0" distB="0" distL="114300" distR="114300" simplePos="0" relativeHeight="251672576" behindDoc="1" locked="0" layoutInCell="1" allowOverlap="1" wp14:anchorId="5EC97342">
            <wp:simplePos x="0" y="0"/>
            <wp:positionH relativeFrom="margin">
              <wp:posOffset>1790700</wp:posOffset>
            </wp:positionH>
            <wp:positionV relativeFrom="paragraph">
              <wp:posOffset>151765</wp:posOffset>
            </wp:positionV>
            <wp:extent cx="4033832" cy="28276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832" cy="2827609"/>
                    </a:xfrm>
                    <a:prstGeom prst="rect">
                      <a:avLst/>
                    </a:prstGeom>
                    <a:noFill/>
                  </pic:spPr>
                </pic:pic>
              </a:graphicData>
            </a:graphic>
            <wp14:sizeRelH relativeFrom="page">
              <wp14:pctWidth>0</wp14:pctWidth>
            </wp14:sizeRelH>
            <wp14:sizeRelV relativeFrom="page">
              <wp14:pctHeight>0</wp14:pctHeight>
            </wp14:sizeRelV>
          </wp:anchor>
        </w:drawing>
      </w:r>
      <w:r w:rsidR="005220BA">
        <w:rPr>
          <w:b/>
        </w:rPr>
        <w:t>(</w:t>
      </w:r>
      <w:r w:rsidR="001552F8">
        <w:rPr>
          <w:b/>
        </w:rPr>
        <w:t>b</w:t>
      </w:r>
      <w:r w:rsidR="005220BA">
        <w:rPr>
          <w:b/>
        </w:rPr>
        <w:t xml:space="preserve">)  </w:t>
      </w:r>
      <w:r>
        <w:rPr>
          <w:b/>
        </w:rPr>
        <w:t xml:space="preserve">Symptom of </w:t>
      </w:r>
      <w:r w:rsidR="00E22167">
        <w:rPr>
          <w:b/>
        </w:rPr>
        <w:t>D</w:t>
      </w:r>
      <w:r>
        <w:rPr>
          <w:b/>
        </w:rPr>
        <w:t>ysphagia</w:t>
      </w: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1552F8" w:rsidRDefault="001552F8">
      <w:r>
        <w:br w:type="page"/>
      </w:r>
    </w:p>
    <w:p w:rsidR="00315FCD" w:rsidRDefault="00315FCD"/>
    <w:tbl>
      <w:tblPr>
        <w:tblStyle w:val="TableGrid"/>
        <w:tblW w:w="0" w:type="auto"/>
        <w:tblLayout w:type="fixed"/>
        <w:tblLook w:val="04A0" w:firstRow="1" w:lastRow="0" w:firstColumn="1" w:lastColumn="0" w:noHBand="0" w:noVBand="1"/>
      </w:tblPr>
      <w:tblGrid>
        <w:gridCol w:w="5103"/>
        <w:gridCol w:w="1276"/>
        <w:gridCol w:w="4394"/>
        <w:gridCol w:w="3185"/>
      </w:tblGrid>
      <w:tr w:rsidR="00315FCD" w:rsidRPr="00315FCD"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Default="00315FCD" w:rsidP="00315FCD">
            <w:pPr>
              <w:tabs>
                <w:tab w:val="left" w:pos="2760"/>
              </w:tabs>
              <w:rPr>
                <w:b/>
                <w:bCs/>
              </w:rPr>
            </w:pPr>
            <w:r w:rsidRPr="00315FCD">
              <w:rPr>
                <w:b/>
                <w:bCs/>
              </w:rPr>
              <w:t>Table 2.  Description of parameters and proposed values</w:t>
            </w:r>
            <w:r w:rsidR="000A1FF3">
              <w:rPr>
                <w:b/>
                <w:bCs/>
              </w:rPr>
              <w:t xml:space="preserve"> </w:t>
            </w:r>
          </w:p>
          <w:p w:rsidR="00315FCD" w:rsidRPr="00315FCD" w:rsidRDefault="00315FCD" w:rsidP="00315FCD">
            <w:pPr>
              <w:tabs>
                <w:tab w:val="left" w:pos="2760"/>
              </w:tabs>
              <w:rPr>
                <w:b/>
                <w:bCs/>
              </w:rPr>
            </w:pPr>
          </w:p>
        </w:tc>
      </w:tr>
      <w:tr w:rsidR="00C25EE0" w:rsidRPr="00315FCD" w:rsidTr="00917457">
        <w:trPr>
          <w:trHeight w:val="310"/>
        </w:trPr>
        <w:tc>
          <w:tcPr>
            <w:tcW w:w="510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Proposed value</w:t>
            </w:r>
          </w:p>
        </w:tc>
        <w:tc>
          <w:tcPr>
            <w:tcW w:w="4394"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Description</w:t>
            </w:r>
          </w:p>
        </w:tc>
        <w:tc>
          <w:tcPr>
            <w:tcW w:w="3185"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 xml:space="preserve">Notes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r_low_grade_dysplasia_none</w:t>
            </w:r>
            <w:proofErr w:type="spellEnd"/>
          </w:p>
        </w:tc>
        <w:tc>
          <w:tcPr>
            <w:tcW w:w="1276" w:type="dxa"/>
            <w:noWrap/>
            <w:hideMark/>
          </w:tcPr>
          <w:p w:rsidR="00315FCD" w:rsidRPr="00315FCD" w:rsidRDefault="00315FCD" w:rsidP="00E43103">
            <w:pPr>
              <w:tabs>
                <w:tab w:val="left" w:pos="2760"/>
              </w:tabs>
            </w:pPr>
            <w:r w:rsidRPr="00315FCD">
              <w:t>0.000</w:t>
            </w:r>
            <w:r w:rsidR="00E43103">
              <w:t>0</w:t>
            </w:r>
            <w:r w:rsidRPr="00315FCD">
              <w:t>0</w:t>
            </w:r>
            <w:r w:rsidR="00E43103">
              <w:t>05</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185" w:type="dxa"/>
            <w:noWrap/>
            <w:hideMark/>
          </w:tcPr>
          <w:p w:rsidR="00315FCD" w:rsidRPr="00315FCD" w:rsidRDefault="00182E40" w:rsidP="00315FCD">
            <w:pPr>
              <w:tabs>
                <w:tab w:val="left" w:pos="2760"/>
              </w:tabs>
            </w:pPr>
            <w:r w:rsidRPr="00182E40">
              <w:t>in conjunction with rate ratios below, informed by incidence rates of oesophageal cancer from Malawi cancer registry (</w:t>
            </w:r>
            <w:proofErr w:type="spellStart"/>
            <w:r w:rsidRPr="00182E40">
              <w:t>Chasimpha</w:t>
            </w:r>
            <w:proofErr w:type="spellEnd"/>
            <w:r w:rsidRPr="00182E40">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rr_low_grade_dysplasia_none_female</w:t>
            </w:r>
            <w:proofErr w:type="spellEnd"/>
          </w:p>
        </w:tc>
        <w:tc>
          <w:tcPr>
            <w:tcW w:w="1276" w:type="dxa"/>
            <w:noWrap/>
            <w:hideMark/>
          </w:tcPr>
          <w:p w:rsidR="00315FCD" w:rsidRPr="00315FCD" w:rsidRDefault="00315FCD" w:rsidP="00315FCD">
            <w:pPr>
              <w:tabs>
                <w:tab w:val="left" w:pos="2760"/>
              </w:tabs>
            </w:pPr>
            <w:r w:rsidRPr="00315FCD">
              <w:t>1.3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low grade oesophageal dysplasia for women </w:t>
            </w:r>
          </w:p>
        </w:tc>
        <w:tc>
          <w:tcPr>
            <w:tcW w:w="3185" w:type="dxa"/>
            <w:noWrap/>
            <w:hideMark/>
          </w:tcPr>
          <w:p w:rsidR="00315FCD" w:rsidRPr="00315FCD" w:rsidRDefault="00315FCD" w:rsidP="00315FCD">
            <w:pPr>
              <w:tabs>
                <w:tab w:val="left" w:pos="2760"/>
              </w:tabs>
            </w:pPr>
            <w:proofErr w:type="spellStart"/>
            <w:r w:rsidRPr="00315FCD">
              <w:t>Chasimpha</w:t>
            </w:r>
            <w:proofErr w:type="spellEnd"/>
            <w:r w:rsidRPr="00315FCD">
              <w:t xml:space="preserve"> et al 2017, Banda et al 2001, Moses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rr_low_grade_dysplasia_none_per_year_older</w:t>
            </w:r>
            <w:proofErr w:type="spellEnd"/>
          </w:p>
        </w:tc>
        <w:tc>
          <w:tcPr>
            <w:tcW w:w="1276" w:type="dxa"/>
            <w:noWrap/>
            <w:hideMark/>
          </w:tcPr>
          <w:p w:rsidR="00315FCD" w:rsidRPr="00315FCD" w:rsidRDefault="00315FCD" w:rsidP="00315FCD">
            <w:pPr>
              <w:tabs>
                <w:tab w:val="left" w:pos="2760"/>
              </w:tabs>
            </w:pPr>
            <w:r w:rsidRPr="00315FCD">
              <w:t>1.1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w:t>
            </w:r>
            <w:r w:rsidR="00DE0076">
              <w:t>lasia per year older from age 20</w:t>
            </w:r>
          </w:p>
        </w:tc>
        <w:tc>
          <w:tcPr>
            <w:tcW w:w="3185" w:type="dxa"/>
            <w:noWrap/>
            <w:hideMark/>
          </w:tcPr>
          <w:p w:rsidR="00315FCD" w:rsidRPr="00315FCD" w:rsidRDefault="00315FCD" w:rsidP="00315FCD">
            <w:pPr>
              <w:tabs>
                <w:tab w:val="left" w:pos="2760"/>
              </w:tabs>
            </w:pPr>
            <w:r w:rsidRPr="00315FCD">
              <w:t xml:space="preserve">rate increases </w:t>
            </w:r>
            <w:proofErr w:type="gramStart"/>
            <w:r w:rsidRPr="00315FCD">
              <w:t>100 fold</w:t>
            </w:r>
            <w:proofErr w:type="gramEnd"/>
            <w:r w:rsidRPr="00315FCD">
              <w:t xml:space="preserve"> between age 20 and 70 (</w:t>
            </w:r>
            <w:proofErr w:type="spellStart"/>
            <w:r w:rsidRPr="00315FCD">
              <w:t>Chasimphia</w:t>
            </w:r>
            <w:proofErr w:type="spellEnd"/>
            <w:r w:rsidRPr="00315FCD">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rr_low_grade_dysplasia_none_tobacco</w:t>
            </w:r>
            <w:proofErr w:type="spellEnd"/>
          </w:p>
        </w:tc>
        <w:tc>
          <w:tcPr>
            <w:tcW w:w="1276" w:type="dxa"/>
            <w:noWrap/>
            <w:hideMark/>
          </w:tcPr>
          <w:p w:rsidR="00315FCD" w:rsidRPr="00315FCD" w:rsidRDefault="00315FCD" w:rsidP="00315FCD">
            <w:pPr>
              <w:tabs>
                <w:tab w:val="left" w:pos="2760"/>
              </w:tabs>
            </w:pPr>
            <w:r w:rsidRPr="00315FCD">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tobacco smokers</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rr_low_grade_dysplasia_none_ex_alc</w:t>
            </w:r>
            <w:proofErr w:type="spellEnd"/>
          </w:p>
        </w:tc>
        <w:tc>
          <w:tcPr>
            <w:tcW w:w="1276" w:type="dxa"/>
            <w:noWrap/>
            <w:hideMark/>
          </w:tcPr>
          <w:p w:rsidR="00315FCD" w:rsidRPr="00315FCD" w:rsidRDefault="00315FCD" w:rsidP="00315FCD">
            <w:pPr>
              <w:tabs>
                <w:tab w:val="left" w:pos="2760"/>
              </w:tabs>
            </w:pPr>
            <w:r w:rsidRPr="00315FCD">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no excess alcohol</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suggests not an independent risk factor</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r_high_grade_dysplasia_low</w:t>
            </w:r>
            <w:proofErr w:type="spellEnd"/>
          </w:p>
        </w:tc>
        <w:tc>
          <w:tcPr>
            <w:tcW w:w="1276" w:type="dxa"/>
            <w:noWrap/>
            <w:hideMark/>
          </w:tcPr>
          <w:p w:rsidR="00315FCD" w:rsidRPr="00315FCD" w:rsidRDefault="00315FCD" w:rsidP="00315FCD">
            <w:pPr>
              <w:tabs>
                <w:tab w:val="left" w:pos="2760"/>
              </w:tabs>
            </w:pPr>
            <w:r w:rsidRPr="00315FCD">
              <w:t>0.03</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w:t>
            </w:r>
            <w:proofErr w:type="gramStart"/>
            <w:r w:rsidR="00315FCD" w:rsidRPr="00315FCD">
              <w:t>high grade</w:t>
            </w:r>
            <w:proofErr w:type="gramEnd"/>
            <w:r w:rsidR="00315FCD" w:rsidRPr="00315FCD">
              <w:t xml:space="preserve"> oesophageal dysplasia, amongst people with low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high grade dysplasia for people with low grade dysplasia if had curative treatment at low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r_stage1_high_grade_dyspl</w:t>
            </w:r>
          </w:p>
        </w:tc>
        <w:tc>
          <w:tcPr>
            <w:tcW w:w="1276" w:type="dxa"/>
            <w:noWrap/>
            <w:hideMark/>
          </w:tcPr>
          <w:p w:rsidR="00315FCD" w:rsidRPr="00315FCD" w:rsidRDefault="00315FCD" w:rsidP="00315FCD">
            <w:pPr>
              <w:tabs>
                <w:tab w:val="left" w:pos="2760"/>
              </w:tabs>
            </w:pPr>
            <w:r w:rsidRPr="00315FCD">
              <w:t>0.01</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1 oesophageal cancer amongst people with high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 Verbeek et al 2012 (mainly adenocarcinoma when </w:t>
            </w:r>
            <w:proofErr w:type="spellStart"/>
            <w:r w:rsidRPr="00315FCD">
              <w:t>malawi</w:t>
            </w:r>
            <w:proofErr w:type="spellEnd"/>
            <w:r w:rsidRPr="00315FCD">
              <w:t xml:space="preserve"> has preponderance of SCC, but prognosis is not greatly different)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lastRenderedPageBreak/>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1 </w:t>
            </w:r>
            <w:proofErr w:type="spellStart"/>
            <w:r w:rsidRPr="00315FCD">
              <w:t>oes</w:t>
            </w:r>
            <w:proofErr w:type="spellEnd"/>
            <w:r w:rsidRPr="00315FCD">
              <w:t xml:space="preserve"> cancer for people with high grade dysplasia if had curative treatment at high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r_stage2_stage1</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2 oesophageal cancer amongst people with stage 1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rr_stage1_undergone_curative_treatment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2 </w:t>
            </w:r>
            <w:proofErr w:type="spellStart"/>
            <w:r w:rsidRPr="00315FCD">
              <w:t>oes</w:t>
            </w:r>
            <w:proofErr w:type="spellEnd"/>
            <w:r w:rsidRPr="00315FCD">
              <w:t xml:space="preserve"> cancer for people with stage 1 oesophageal cancer if had curative treatment at stage 1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r_stage3_stage2</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3 oesophageal cancer amongst people with stage 2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rr_stage2_undergone_curative_treatment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3</w:t>
            </w:r>
            <w:r w:rsidRPr="00315FCD">
              <w:t xml:space="preserve"> </w:t>
            </w:r>
            <w:proofErr w:type="spellStart"/>
            <w:r w:rsidRPr="00315FCD">
              <w:t>oes</w:t>
            </w:r>
            <w:proofErr w:type="spellEnd"/>
            <w:r w:rsidRPr="00315FCD">
              <w:t xml:space="preserve"> cancer for people with stage 2 oesophageal cancer if had curative treatment at stage 2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r_stage4_stage3</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4 oesophageal cancer amongst people with stage 3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rr_stage3_undergone_curative_treatment</w:t>
            </w:r>
          </w:p>
        </w:tc>
        <w:tc>
          <w:tcPr>
            <w:tcW w:w="1276" w:type="dxa"/>
            <w:noWrap/>
            <w:hideMark/>
          </w:tcPr>
          <w:p w:rsidR="00315FCD" w:rsidRPr="00315FCD" w:rsidRDefault="00315FCD" w:rsidP="00315FCD">
            <w:pPr>
              <w:tabs>
                <w:tab w:val="left" w:pos="2760"/>
              </w:tabs>
            </w:pPr>
            <w:r w:rsidRPr="00315FCD">
              <w:t>0.3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4</w:t>
            </w:r>
            <w:r w:rsidRPr="00315FCD">
              <w:t xml:space="preserve"> </w:t>
            </w:r>
            <w:proofErr w:type="spellStart"/>
            <w:r w:rsidRPr="00315FCD">
              <w:t>oes</w:t>
            </w:r>
            <w:proofErr w:type="spellEnd"/>
            <w:r w:rsidRPr="00315FCD">
              <w:t xml:space="preserve"> cancer for people with stage 3 oesophageal cancer if had curative treatment at stage 3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r_death_oesoph</w:t>
            </w:r>
            <w:proofErr w:type="spellEnd"/>
          </w:p>
        </w:tc>
        <w:tc>
          <w:tcPr>
            <w:tcW w:w="1276" w:type="dxa"/>
            <w:noWrap/>
            <w:hideMark/>
          </w:tcPr>
          <w:p w:rsidR="00315FCD" w:rsidRPr="00315FCD" w:rsidRDefault="00315FCD" w:rsidP="00315FCD">
            <w:pPr>
              <w:tabs>
                <w:tab w:val="left" w:pos="2760"/>
              </w:tabs>
            </w:pPr>
            <w:r w:rsidRPr="00315FCD">
              <w:t>0.4</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death from oesophageal cancer amongst people with stage 4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0A1FF3">
            <w:r>
              <w:rPr>
                <w:bCs/>
              </w:rPr>
              <w:t>r_</w:t>
            </w:r>
            <w:r w:rsidR="00840FE4">
              <w:rPr>
                <w:bCs/>
              </w:rPr>
              <w:t>dysphagia</w:t>
            </w:r>
            <w:r>
              <w:rPr>
                <w:bCs/>
              </w:rPr>
              <w:t>_stage1</w:t>
            </w:r>
          </w:p>
        </w:tc>
        <w:tc>
          <w:tcPr>
            <w:tcW w:w="1276" w:type="dxa"/>
            <w:noWrap/>
            <w:hideMark/>
          </w:tcPr>
          <w:p w:rsidR="00315FCD" w:rsidRPr="00315FCD" w:rsidRDefault="000A1FF3" w:rsidP="00315FCD">
            <w:pPr>
              <w:tabs>
                <w:tab w:val="left" w:pos="2760"/>
              </w:tabs>
            </w:pPr>
            <w:r>
              <w:t>0.</w:t>
            </w:r>
            <w:r w:rsidR="00E43103">
              <w:t>0</w:t>
            </w:r>
            <w:r w:rsidR="00315FCD" w:rsidRPr="00315FCD">
              <w:t>1</w:t>
            </w:r>
          </w:p>
        </w:tc>
        <w:tc>
          <w:tcPr>
            <w:tcW w:w="4394" w:type="dxa"/>
            <w:shd w:val="clear" w:color="auto" w:fill="F2F2F2" w:themeFill="background1" w:themeFillShade="F2"/>
            <w:noWrap/>
            <w:hideMark/>
          </w:tcPr>
          <w:p w:rsidR="00315FCD" w:rsidRPr="00315FCD" w:rsidRDefault="00315FCD" w:rsidP="000A1FF3">
            <w:pPr>
              <w:tabs>
                <w:tab w:val="left" w:pos="2760"/>
              </w:tabs>
            </w:pPr>
            <w:r w:rsidRPr="00315FCD">
              <w:t xml:space="preserve">probability per 3 months of diagnosis in a person with </w:t>
            </w:r>
            <w:r w:rsidR="000A1FF3">
              <w:t>stage 1 oesophageal cancer</w:t>
            </w:r>
          </w:p>
        </w:tc>
        <w:tc>
          <w:tcPr>
            <w:tcW w:w="3185" w:type="dxa"/>
            <w:noWrap/>
            <w:hideMark/>
          </w:tcPr>
          <w:p w:rsidR="00315FCD" w:rsidRPr="00315FCD" w:rsidRDefault="00315FCD" w:rsidP="00315FCD">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t>rr_</w:t>
            </w:r>
            <w:r w:rsidR="00840FE4">
              <w:t>dysphagia</w:t>
            </w:r>
            <w:r>
              <w:t>_low</w:t>
            </w:r>
            <w:r w:rsidR="00315FCD" w:rsidRPr="00315FCD">
              <w:t>_grade_dysp</w:t>
            </w:r>
            <w:proofErr w:type="spellEnd"/>
          </w:p>
        </w:tc>
        <w:tc>
          <w:tcPr>
            <w:tcW w:w="1276" w:type="dxa"/>
            <w:noWrap/>
            <w:hideMark/>
          </w:tcPr>
          <w:p w:rsidR="00315FCD" w:rsidRPr="00315FCD" w:rsidRDefault="000A1FF3" w:rsidP="00315FCD">
            <w:pPr>
              <w:tabs>
                <w:tab w:val="left" w:pos="2760"/>
              </w:tabs>
            </w:pPr>
            <w:r>
              <w:t>0.</w:t>
            </w:r>
            <w:r w:rsidR="00E43103">
              <w:t>0</w:t>
            </w:r>
            <w:r>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w:t>
            </w:r>
            <w:r w:rsidR="000A1FF3">
              <w:t xml:space="preserve">ratio for </w:t>
            </w:r>
            <w:r w:rsidR="00840FE4">
              <w:t>dysphagia</w:t>
            </w:r>
            <w:r w:rsidR="000A1FF3">
              <w:t xml:space="preserve"> if have low</w:t>
            </w:r>
            <w:r w:rsidRPr="00315FCD">
              <w:t xml:space="preserve"> grade oesophageal dysplasia </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rsidRPr="00315FCD">
              <w:lastRenderedPageBreak/>
              <w:t>rr_</w:t>
            </w:r>
            <w:r w:rsidR="00840FE4">
              <w:t>dysphagia</w:t>
            </w:r>
            <w:r w:rsidRPr="00315FCD">
              <w:t>_high_grade_dysp</w:t>
            </w:r>
            <w:proofErr w:type="spellEnd"/>
          </w:p>
        </w:tc>
        <w:tc>
          <w:tcPr>
            <w:tcW w:w="1276" w:type="dxa"/>
            <w:noWrap/>
            <w:hideMark/>
          </w:tcPr>
          <w:p w:rsidR="00315FCD" w:rsidRPr="00315FCD" w:rsidRDefault="00315FCD" w:rsidP="00315FCD">
            <w:pPr>
              <w:tabs>
                <w:tab w:val="left" w:pos="2760"/>
              </w:tabs>
            </w:pPr>
            <w:r w:rsidRPr="00315FCD">
              <w:t>0.</w:t>
            </w:r>
            <w:r w:rsidR="00E43103">
              <w:t>0</w:t>
            </w:r>
            <w:r w:rsidRPr="00315FCD">
              <w:t>1</w:t>
            </w:r>
          </w:p>
        </w:tc>
        <w:tc>
          <w:tcPr>
            <w:tcW w:w="4394" w:type="dxa"/>
            <w:shd w:val="clear" w:color="auto" w:fill="F2F2F2" w:themeFill="background1" w:themeFillShade="F2"/>
            <w:noWrap/>
            <w:hideMark/>
          </w:tcPr>
          <w:p w:rsidR="00315FCD" w:rsidRPr="00315FCD" w:rsidRDefault="000A1FF3" w:rsidP="00315FCD">
            <w:pPr>
              <w:tabs>
                <w:tab w:val="left" w:pos="2760"/>
              </w:tabs>
            </w:pPr>
            <w:r w:rsidRPr="00315FCD">
              <w:t xml:space="preserve">rate </w:t>
            </w:r>
            <w:r>
              <w:t xml:space="preserve">ratio for </w:t>
            </w:r>
            <w:r w:rsidR="00840FE4">
              <w:t>dysphagia</w:t>
            </w:r>
            <w:r>
              <w:t xml:space="preserve"> if have high</w:t>
            </w:r>
            <w:r w:rsidRPr="00315FCD">
              <w:t xml:space="preserve"> grade oesophageal dysplasia</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_stage2</w:t>
            </w:r>
          </w:p>
        </w:tc>
        <w:tc>
          <w:tcPr>
            <w:tcW w:w="1276" w:type="dxa"/>
            <w:noWrap/>
            <w:hideMark/>
          </w:tcPr>
          <w:p w:rsidR="00315FCD" w:rsidRPr="00315FCD" w:rsidRDefault="00E43103" w:rsidP="00315FCD">
            <w:pPr>
              <w:tabs>
                <w:tab w:val="left" w:pos="2760"/>
              </w:tabs>
            </w:pPr>
            <w:r>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stage2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_stage3</w:t>
            </w:r>
          </w:p>
        </w:tc>
        <w:tc>
          <w:tcPr>
            <w:tcW w:w="1276" w:type="dxa"/>
            <w:noWrap/>
            <w:hideMark/>
          </w:tcPr>
          <w:p w:rsidR="00315FCD" w:rsidRPr="00315FCD" w:rsidRDefault="00D06B2A" w:rsidP="00315FCD">
            <w:pPr>
              <w:tabs>
                <w:tab w:val="left" w:pos="2760"/>
              </w:tabs>
            </w:pPr>
            <w:r>
              <w:t>5</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stage3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_stage4</w:t>
            </w:r>
          </w:p>
        </w:tc>
        <w:tc>
          <w:tcPr>
            <w:tcW w:w="1276" w:type="dxa"/>
            <w:noWrap/>
            <w:hideMark/>
          </w:tcPr>
          <w:p w:rsidR="00315FCD" w:rsidRPr="00315FCD" w:rsidRDefault="00D06B2A" w:rsidP="00315FCD">
            <w:pPr>
              <w:tabs>
                <w:tab w:val="left" w:pos="2760"/>
              </w:tabs>
            </w:pPr>
            <w:r>
              <w:t>10</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stage4 oesophageal cancer</w:t>
            </w:r>
          </w:p>
        </w:tc>
        <w:tc>
          <w:tcPr>
            <w:tcW w:w="3185" w:type="dxa"/>
            <w:noWrap/>
            <w:hideMark/>
          </w:tcPr>
          <w:p w:rsidR="00315FCD" w:rsidRPr="00315FCD" w:rsidRDefault="00315FCD" w:rsidP="00315FCD">
            <w:pPr>
              <w:tabs>
                <w:tab w:val="left" w:pos="2760"/>
              </w:tabs>
            </w:pPr>
            <w:r w:rsidRPr="00315FCD">
              <w:t>as above</w:t>
            </w:r>
          </w:p>
        </w:tc>
      </w:tr>
    </w:tbl>
    <w:p w:rsidR="00315FCD" w:rsidRDefault="00315FCD" w:rsidP="00315FCD">
      <w:pPr>
        <w:tabs>
          <w:tab w:val="left" w:pos="2760"/>
        </w:tabs>
      </w:pPr>
    </w:p>
    <w:p w:rsidR="00AC7C31" w:rsidRPr="00667A51" w:rsidRDefault="00AC7C31"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progression rates informed by survival according to stage at diagnosis (</w:t>
      </w:r>
      <w:proofErr w:type="gramStart"/>
      <w:r w:rsidRPr="00667A51">
        <w:rPr>
          <w:rFonts w:ascii="Calibri" w:eastAsia="Times New Roman" w:hAnsi="Calibri" w:cs="Calibri"/>
          <w:color w:val="000000"/>
          <w:sz w:val="20"/>
          <w:szCs w:val="20"/>
          <w:lang w:eastAsia="en-GB"/>
        </w:rPr>
        <w:t>5 year</w:t>
      </w:r>
      <w:proofErr w:type="gramEnd"/>
      <w:r w:rsidRPr="00667A51">
        <w:rPr>
          <w:rFonts w:ascii="Calibri" w:eastAsia="Times New Roman" w:hAnsi="Calibri" w:cs="Calibri"/>
          <w:color w:val="000000"/>
          <w:sz w:val="20"/>
          <w:szCs w:val="20"/>
          <w:lang w:eastAsia="en-GB"/>
        </w:rPr>
        <w:t xml:space="preserve"> survival in United States (with treatment availability): 45% stage 1/2, 24% stage 3, 5% stage 4) https://www.cancer.org/cancer/esophagus-cancer/detection-diagnosis-staginsurvival-rates.html; 5 year survival without surgery &lt; 5% Kauppila et al 2018 (Sweden)</w:t>
      </w:r>
      <w:r w:rsidR="00917457">
        <w:rPr>
          <w:rFonts w:ascii="Calibri" w:eastAsia="Times New Roman" w:hAnsi="Calibri" w:cs="Calibri"/>
          <w:color w:val="000000"/>
          <w:sz w:val="20"/>
          <w:szCs w:val="20"/>
          <w:lang w:eastAsia="en-GB"/>
        </w:rPr>
        <w:t>.</w:t>
      </w:r>
    </w:p>
    <w:p w:rsidR="002056E5" w:rsidRPr="00667A51" w:rsidRDefault="002056E5" w:rsidP="00917457">
      <w:pPr>
        <w:spacing w:after="0" w:line="240" w:lineRule="auto"/>
        <w:jc w:val="both"/>
        <w:rPr>
          <w:rFonts w:ascii="Calibri" w:eastAsia="Times New Roman" w:hAnsi="Calibri" w:cs="Calibri"/>
          <w:color w:val="000000"/>
          <w:sz w:val="20"/>
          <w:szCs w:val="20"/>
          <w:lang w:eastAsia="en-GB"/>
        </w:rPr>
      </w:pPr>
    </w:p>
    <w:p w:rsidR="00392382" w:rsidRPr="00392382" w:rsidRDefault="002056E5"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proofErr w:type="spellStart"/>
      <w:r w:rsidR="00B974E6" w:rsidRPr="00667A51">
        <w:rPr>
          <w:rFonts w:ascii="Calibri" w:eastAsia="Times New Roman" w:hAnsi="Calibri" w:cs="Calibri"/>
          <w:color w:val="000000"/>
          <w:sz w:val="20"/>
          <w:szCs w:val="20"/>
          <w:lang w:eastAsia="en-GB"/>
        </w:rPr>
        <w:t>Masamba</w:t>
      </w:r>
      <w:proofErr w:type="spellEnd"/>
      <w:r w:rsidR="00B974E6" w:rsidRPr="00667A51">
        <w:rPr>
          <w:rFonts w:ascii="Calibri" w:eastAsia="Times New Roman" w:hAnsi="Calibri" w:cs="Calibri"/>
          <w:color w:val="000000"/>
          <w:sz w:val="20"/>
          <w:szCs w:val="20"/>
          <w:lang w:eastAsia="en-GB"/>
        </w:rPr>
        <w:t xml:space="preserve">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one patient had alcohol injection of the tumour for debulking. Two perforations were identified after bougie dilatation and were managed conservatively. One per cent (17 patients) underwent an Ivor Lewis </w:t>
      </w:r>
      <w:r w:rsidR="00917457" w:rsidRPr="00667A51">
        <w:rPr>
          <w:rFonts w:ascii="Calibri" w:eastAsia="Times New Roman" w:hAnsi="Calibri" w:cs="Calibri"/>
          <w:color w:val="000000"/>
          <w:sz w:val="20"/>
          <w:szCs w:val="20"/>
          <w:lang w:eastAsia="en-GB"/>
        </w:rPr>
        <w:t>oesophagostomy</w:t>
      </w:r>
      <w:r w:rsidR="00667A51" w:rsidRPr="00667A51">
        <w:rPr>
          <w:rFonts w:ascii="Calibri" w:eastAsia="Times New Roman" w:hAnsi="Calibri" w:cs="Calibri"/>
          <w:color w:val="000000"/>
          <w:sz w:val="20"/>
          <w:szCs w:val="20"/>
          <w:lang w:eastAsia="en-GB"/>
        </w:rPr>
        <w:t xml:space="preserve">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 xml:space="preserve">though </w:t>
      </w:r>
      <w:r w:rsidR="00917457" w:rsidRPr="00392382">
        <w:rPr>
          <w:rFonts w:ascii="Calibri" w:eastAsia="Times New Roman" w:hAnsi="Calibri" w:cs="Calibri"/>
          <w:color w:val="000000"/>
          <w:sz w:val="20"/>
          <w:szCs w:val="20"/>
          <w:lang w:eastAsia="en-GB"/>
        </w:rPr>
        <w:t>it seems</w:t>
      </w:r>
      <w:r w:rsidR="00392382" w:rsidRPr="00392382">
        <w:rPr>
          <w:rFonts w:ascii="Calibri" w:eastAsia="Times New Roman" w:hAnsi="Calibri" w:cs="Calibri"/>
          <w:color w:val="000000"/>
          <w:sz w:val="20"/>
          <w:szCs w:val="20"/>
          <w:lang w:eastAsia="en-GB"/>
        </w:rPr>
        <w:t xml:space="preserve"> effective in other settings22 and carries</w:t>
      </w:r>
    </w:p>
    <w:p w:rsidR="00667A51" w:rsidRPr="00667A51" w:rsidRDefault="00392382" w:rsidP="00917457">
      <w:pPr>
        <w:spacing w:after="0" w:line="240" w:lineRule="auto"/>
        <w:jc w:val="both"/>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w:t>
      </w:r>
      <w:proofErr w:type="spellStart"/>
      <w:r w:rsidR="00667A51">
        <w:rPr>
          <w:rFonts w:ascii="Calibri" w:eastAsia="Times New Roman" w:hAnsi="Calibri" w:cs="Calibri"/>
          <w:color w:val="000000"/>
          <w:sz w:val="20"/>
          <w:szCs w:val="20"/>
          <w:lang w:eastAsia="en-GB"/>
        </w:rPr>
        <w:t>Chetwood</w:t>
      </w:r>
      <w:proofErr w:type="spellEnd"/>
      <w:r w:rsidR="00667A51">
        <w:rPr>
          <w:rFonts w:ascii="Calibri" w:eastAsia="Times New Roman" w:hAnsi="Calibri" w:cs="Calibri"/>
          <w:color w:val="000000"/>
          <w:sz w:val="20"/>
          <w:szCs w:val="20"/>
          <w:lang w:eastAsia="en-GB"/>
        </w:rPr>
        <w:t xml:space="preserve">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rsidR="007B5264" w:rsidRPr="00315FCD" w:rsidRDefault="00315FCD" w:rsidP="00315FCD">
      <w:pPr>
        <w:tabs>
          <w:tab w:val="left" w:pos="2760"/>
        </w:tabs>
        <w:sectPr w:rsidR="007B5264" w:rsidRPr="00315FCD" w:rsidSect="00D3113E">
          <w:pgSz w:w="16838" w:h="11906" w:orient="landscape"/>
          <w:pgMar w:top="1440" w:right="1440" w:bottom="1440" w:left="1440" w:header="709" w:footer="709" w:gutter="0"/>
          <w:cols w:space="708"/>
          <w:docGrid w:linePitch="360"/>
        </w:sectPr>
      </w:pPr>
      <w:r>
        <w:tab/>
      </w:r>
    </w:p>
    <w:p w:rsidR="0011554A" w:rsidRPr="00335F89" w:rsidRDefault="00335F89" w:rsidP="00335F89">
      <w:pPr>
        <w:rPr>
          <w:b/>
        </w:rPr>
      </w:pPr>
      <w:r>
        <w:rPr>
          <w:b/>
        </w:rPr>
        <w:lastRenderedPageBreak/>
        <w:t xml:space="preserve">Table </w:t>
      </w:r>
      <w:r w:rsidR="00E723E7">
        <w:rPr>
          <w:b/>
        </w:rPr>
        <w:t>2</w:t>
      </w:r>
      <w:r>
        <w:rPr>
          <w:b/>
        </w:rPr>
        <w:t xml:space="preserve">.  </w:t>
      </w:r>
      <w:r w:rsidRPr="00C25EE0">
        <w:rPr>
          <w:b/>
        </w:rPr>
        <w:t>Model outputs and observed data from Malawi</w:t>
      </w:r>
      <w:r w:rsidR="00883564">
        <w:rPr>
          <w:b/>
        </w:rPr>
        <w:t xml:space="preserve"> </w:t>
      </w:r>
    </w:p>
    <w:tbl>
      <w:tblPr>
        <w:tblStyle w:val="TableGrid"/>
        <w:tblW w:w="0" w:type="auto"/>
        <w:tblCellMar>
          <w:top w:w="113" w:type="dxa"/>
          <w:bottom w:w="113" w:type="dxa"/>
        </w:tblCellMar>
        <w:tblLook w:val="04A0" w:firstRow="1" w:lastRow="0" w:firstColumn="1" w:lastColumn="0" w:noHBand="0" w:noVBand="1"/>
      </w:tblPr>
      <w:tblGrid>
        <w:gridCol w:w="3260"/>
        <w:gridCol w:w="1555"/>
        <w:gridCol w:w="1417"/>
        <w:gridCol w:w="2784"/>
      </w:tblGrid>
      <w:tr w:rsidR="00600902" w:rsidTr="0011554A">
        <w:tc>
          <w:tcPr>
            <w:tcW w:w="3260" w:type="dxa"/>
            <w:shd w:val="clear" w:color="auto" w:fill="BFBFBF" w:themeFill="background1" w:themeFillShade="BF"/>
          </w:tcPr>
          <w:p w:rsidR="00600902" w:rsidRPr="00335F89" w:rsidRDefault="00600902" w:rsidP="006A1673">
            <w:pPr>
              <w:rPr>
                <w:b/>
              </w:rPr>
            </w:pPr>
          </w:p>
        </w:tc>
        <w:tc>
          <w:tcPr>
            <w:tcW w:w="1555" w:type="dxa"/>
            <w:shd w:val="clear" w:color="auto" w:fill="BFBFBF" w:themeFill="background1" w:themeFillShade="BF"/>
          </w:tcPr>
          <w:p w:rsidR="00600902" w:rsidRPr="00335F89" w:rsidRDefault="00600902" w:rsidP="006A1673">
            <w:pPr>
              <w:rPr>
                <w:b/>
              </w:rPr>
            </w:pPr>
            <w:r w:rsidRPr="00335F89">
              <w:rPr>
                <w:b/>
              </w:rPr>
              <w:t>Model Output</w:t>
            </w:r>
          </w:p>
          <w:p w:rsidR="00600902" w:rsidRPr="00335F89" w:rsidRDefault="00600902" w:rsidP="00335F89">
            <w:pPr>
              <w:rPr>
                <w:b/>
              </w:rPr>
            </w:pPr>
          </w:p>
        </w:tc>
        <w:tc>
          <w:tcPr>
            <w:tcW w:w="1417" w:type="dxa"/>
            <w:shd w:val="clear" w:color="auto" w:fill="BFBFBF" w:themeFill="background1" w:themeFillShade="BF"/>
          </w:tcPr>
          <w:p w:rsidR="00600902" w:rsidRDefault="00E22982" w:rsidP="00335F89">
            <w:pPr>
              <w:rPr>
                <w:b/>
              </w:rPr>
            </w:pPr>
            <w:r>
              <w:rPr>
                <w:b/>
              </w:rPr>
              <w:t>Observed Data</w:t>
            </w:r>
          </w:p>
        </w:tc>
        <w:tc>
          <w:tcPr>
            <w:tcW w:w="2784" w:type="dxa"/>
            <w:shd w:val="clear" w:color="auto" w:fill="BFBFBF" w:themeFill="background1" w:themeFillShade="BF"/>
          </w:tcPr>
          <w:p w:rsidR="00600902" w:rsidRPr="00335F89" w:rsidRDefault="00600902" w:rsidP="00335F89">
            <w:pPr>
              <w:rPr>
                <w:b/>
              </w:rPr>
            </w:pPr>
            <w:r>
              <w:rPr>
                <w:b/>
              </w:rPr>
              <w:t>Notes</w:t>
            </w:r>
          </w:p>
        </w:tc>
      </w:tr>
      <w:tr w:rsidR="00691675" w:rsidTr="0011554A">
        <w:tc>
          <w:tcPr>
            <w:tcW w:w="3260" w:type="dxa"/>
            <w:shd w:val="clear" w:color="auto" w:fill="F2F2F2" w:themeFill="background1" w:themeFillShade="F2"/>
          </w:tcPr>
          <w:p w:rsidR="00691675" w:rsidRDefault="00691675" w:rsidP="00E22982">
            <w:r w:rsidRPr="00FB776E">
              <w:rPr>
                <w:highlight w:val="yellow"/>
              </w:rPr>
              <w:t>5 YEAR SURVIVAL FOLLOWING TREATMENT</w:t>
            </w:r>
          </w:p>
        </w:tc>
        <w:tc>
          <w:tcPr>
            <w:tcW w:w="1555" w:type="dxa"/>
          </w:tcPr>
          <w:p w:rsidR="00691675" w:rsidRDefault="00691675" w:rsidP="00E22982"/>
        </w:tc>
        <w:tc>
          <w:tcPr>
            <w:tcW w:w="1417" w:type="dxa"/>
            <w:shd w:val="clear" w:color="auto" w:fill="F2F2F2" w:themeFill="background1" w:themeFillShade="F2"/>
          </w:tcPr>
          <w:p w:rsidR="00691675" w:rsidRDefault="00691675" w:rsidP="00E22982"/>
        </w:tc>
        <w:tc>
          <w:tcPr>
            <w:tcW w:w="2784" w:type="dxa"/>
            <w:shd w:val="clear" w:color="auto" w:fill="FFFFFF" w:themeFill="background1"/>
          </w:tcPr>
          <w:p w:rsidR="00691675" w:rsidRDefault="00691675" w:rsidP="00E22982"/>
        </w:tc>
      </w:tr>
      <w:tr w:rsidR="00E22982" w:rsidTr="0011554A">
        <w:tc>
          <w:tcPr>
            <w:tcW w:w="3260" w:type="dxa"/>
            <w:shd w:val="clear" w:color="auto" w:fill="F2F2F2" w:themeFill="background1" w:themeFillShade="F2"/>
          </w:tcPr>
          <w:p w:rsidR="00E22982" w:rsidRPr="00266413" w:rsidRDefault="00E22982" w:rsidP="00E22982">
            <w:pPr>
              <w:rPr>
                <w:rFonts w:ascii="Calibri" w:hAnsi="Calibri" w:cs="Calibri"/>
                <w:color w:val="000000"/>
              </w:rPr>
            </w:pPr>
            <w:r>
              <w:t xml:space="preserve">Number of incident diagnoses of </w:t>
            </w:r>
            <w:r>
              <w:rPr>
                <w:rFonts w:ascii="Calibri" w:hAnsi="Calibri" w:cs="Calibri"/>
                <w:color w:val="000000"/>
              </w:rPr>
              <w:t>oesophageal dysplasia per year (low / high grade)</w:t>
            </w:r>
          </w:p>
        </w:tc>
        <w:tc>
          <w:tcPr>
            <w:tcW w:w="1555" w:type="dxa"/>
          </w:tcPr>
          <w:p w:rsidR="00E22982" w:rsidRDefault="00335E5E" w:rsidP="00E22982">
            <w:r>
              <w:t>&lt; 100</w:t>
            </w:r>
          </w:p>
        </w:tc>
        <w:tc>
          <w:tcPr>
            <w:tcW w:w="1417" w:type="dxa"/>
            <w:shd w:val="clear" w:color="auto" w:fill="F2F2F2" w:themeFill="background1" w:themeFillShade="F2"/>
          </w:tcPr>
          <w:p w:rsidR="00E22982" w:rsidRDefault="00E22982" w:rsidP="00E22982">
            <w:r>
              <w:t>---</w:t>
            </w:r>
          </w:p>
        </w:tc>
        <w:tc>
          <w:tcPr>
            <w:tcW w:w="2784" w:type="dxa"/>
            <w:shd w:val="clear" w:color="auto" w:fill="FFFFFF" w:themeFill="background1"/>
          </w:tcPr>
          <w:p w:rsidR="00E22982" w:rsidRDefault="00E22982" w:rsidP="00E22982">
            <w:r>
              <w:t>No data identified</w:t>
            </w:r>
          </w:p>
        </w:tc>
      </w:tr>
      <w:tr w:rsidR="00600902" w:rsidTr="0011554A">
        <w:tc>
          <w:tcPr>
            <w:tcW w:w="3260" w:type="dxa"/>
            <w:shd w:val="clear" w:color="auto" w:fill="F2F2F2" w:themeFill="background1" w:themeFillShade="F2"/>
          </w:tcPr>
          <w:p w:rsidR="00600902" w:rsidRPr="00266413" w:rsidRDefault="00600902" w:rsidP="00453699">
            <w:pPr>
              <w:rPr>
                <w:rFonts w:ascii="Calibri" w:hAnsi="Calibri" w:cs="Calibri"/>
                <w:color w:val="000000"/>
              </w:rPr>
            </w:pPr>
            <w:r>
              <w:t xml:space="preserve">Number of incident diagnoses of </w:t>
            </w:r>
            <w:r>
              <w:rPr>
                <w:rFonts w:ascii="Calibri" w:hAnsi="Calibri" w:cs="Calibri"/>
                <w:color w:val="000000"/>
              </w:rPr>
              <w:t>oesophageal cancer per year (total; stage 1, 2, 3, 4)</w:t>
            </w:r>
          </w:p>
        </w:tc>
        <w:tc>
          <w:tcPr>
            <w:tcW w:w="1555" w:type="dxa"/>
          </w:tcPr>
          <w:p w:rsidR="00600902" w:rsidRDefault="00454B0A" w:rsidP="00335E5E">
            <w:r>
              <w:t>1</w:t>
            </w:r>
            <w:r w:rsidR="00964780">
              <w:t>285 (300, 300, 465, 220)</w:t>
            </w:r>
          </w:p>
        </w:tc>
        <w:tc>
          <w:tcPr>
            <w:tcW w:w="1417" w:type="dxa"/>
            <w:shd w:val="clear" w:color="auto" w:fill="F2F2F2" w:themeFill="background1" w:themeFillShade="F2"/>
          </w:tcPr>
          <w:p w:rsidR="00600902" w:rsidRDefault="00600902" w:rsidP="00335F89">
            <w:r>
              <w:t>620</w:t>
            </w:r>
          </w:p>
        </w:tc>
        <w:tc>
          <w:tcPr>
            <w:tcW w:w="2784" w:type="dxa"/>
            <w:shd w:val="clear" w:color="auto" w:fill="FFFFFF" w:themeFill="background1"/>
          </w:tcPr>
          <w:p w:rsidR="00600902" w:rsidRDefault="00600902" w:rsidP="00335F89">
            <w:r>
              <w:t xml:space="preserve">Derived from </w:t>
            </w:r>
            <w:proofErr w:type="spellStart"/>
            <w:r w:rsidRPr="005935C5">
              <w:t>Msyamboza</w:t>
            </w:r>
            <w:proofErr w:type="spellEnd"/>
            <w:r>
              <w:t xml:space="preserve"> et al 2012 *</w:t>
            </w:r>
          </w:p>
        </w:tc>
      </w:tr>
      <w:tr w:rsidR="00600902" w:rsidTr="0011554A">
        <w:tc>
          <w:tcPr>
            <w:tcW w:w="3260" w:type="dxa"/>
            <w:shd w:val="clear" w:color="auto" w:fill="F2F2F2" w:themeFill="background1" w:themeFillShade="F2"/>
          </w:tcPr>
          <w:p w:rsidR="00600902" w:rsidRDefault="00600902" w:rsidP="00453699">
            <w:r>
              <w:t xml:space="preserve">Incidence rate of diagnosed oesophageal cancer (all stages combined) / 100,000 population aged </w:t>
            </w:r>
            <w:proofErr w:type="spellStart"/>
            <w:r>
              <w:t>ge</w:t>
            </w:r>
            <w:proofErr w:type="spellEnd"/>
            <w:r>
              <w:t xml:space="preserve"> 20</w:t>
            </w:r>
          </w:p>
        </w:tc>
        <w:tc>
          <w:tcPr>
            <w:tcW w:w="1555" w:type="dxa"/>
          </w:tcPr>
          <w:p w:rsidR="00600902" w:rsidRDefault="00964780" w:rsidP="00335F89">
            <w:r>
              <w:t>15</w:t>
            </w:r>
          </w:p>
        </w:tc>
        <w:tc>
          <w:tcPr>
            <w:tcW w:w="1417" w:type="dxa"/>
            <w:shd w:val="clear" w:color="auto" w:fill="F2F2F2" w:themeFill="background1" w:themeFillShade="F2"/>
          </w:tcPr>
          <w:p w:rsidR="00600902" w:rsidRDefault="00600902" w:rsidP="00335F89">
            <w:r>
              <w:t>25.3</w:t>
            </w:r>
          </w:p>
        </w:tc>
        <w:tc>
          <w:tcPr>
            <w:tcW w:w="2784" w:type="dxa"/>
            <w:shd w:val="clear" w:color="auto" w:fill="FFFFFF" w:themeFill="background1"/>
          </w:tcPr>
          <w:p w:rsidR="00600902" w:rsidRDefault="00600902" w:rsidP="00335E5E">
            <w:r>
              <w:t xml:space="preserve">Derived from </w:t>
            </w:r>
            <w:proofErr w:type="spellStart"/>
            <w:r w:rsidRPr="00600902">
              <w:t>Chasimpha</w:t>
            </w:r>
            <w:proofErr w:type="spellEnd"/>
            <w:r>
              <w:t xml:space="preserve"> et al 2017.</w:t>
            </w:r>
            <w:r w:rsidR="00484DEB">
              <w:t xml:space="preserve"> ** (</w:t>
            </w:r>
            <w:r w:rsidR="00335E5E">
              <w:t>considered to be some under-ascertainment</w:t>
            </w:r>
            <w:r w:rsidR="00484DEB">
              <w:t>)</w:t>
            </w:r>
          </w:p>
        </w:tc>
      </w:tr>
      <w:tr w:rsidR="00600902" w:rsidTr="0011554A">
        <w:tc>
          <w:tcPr>
            <w:tcW w:w="3260" w:type="dxa"/>
            <w:shd w:val="clear" w:color="auto" w:fill="F2F2F2" w:themeFill="background1" w:themeFillShade="F2"/>
          </w:tcPr>
          <w:p w:rsidR="00600902" w:rsidRDefault="00600902" w:rsidP="00453699">
            <w:r>
              <w:t xml:space="preserve">Current total number of people who have diagnosed oesophageal cancer (total; stage 1, 2, 3, 4) </w:t>
            </w:r>
            <w:r w:rsidRPr="0004796E">
              <w:rPr>
                <w:sz w:val="18"/>
                <w:szCs w:val="18"/>
              </w:rPr>
              <w:t xml:space="preserve">(including people who have been given attempted curative treatment for </w:t>
            </w:r>
            <w:r>
              <w:rPr>
                <w:sz w:val="18"/>
                <w:szCs w:val="18"/>
              </w:rPr>
              <w:t>stage 1</w:t>
            </w:r>
            <w:r w:rsidRPr="0004796E">
              <w:rPr>
                <w:sz w:val="18"/>
                <w:szCs w:val="18"/>
              </w:rPr>
              <w:t xml:space="preserve"> oesophageal cancer at some point in the past and have not progressed to a higher grade)</w:t>
            </w:r>
          </w:p>
        </w:tc>
        <w:tc>
          <w:tcPr>
            <w:tcW w:w="1555" w:type="dxa"/>
          </w:tcPr>
          <w:p w:rsidR="00600902" w:rsidRDefault="00964780" w:rsidP="0004796E">
            <w:r>
              <w:t>5,25</w:t>
            </w:r>
            <w:r w:rsidR="00335E5E">
              <w:t>0</w:t>
            </w:r>
            <w:r>
              <w:t xml:space="preserve"> (1150, 1600, 2300, 200)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w:t>
            </w:r>
          </w:p>
        </w:tc>
      </w:tr>
      <w:tr w:rsidR="00600902" w:rsidTr="0011554A">
        <w:tc>
          <w:tcPr>
            <w:tcW w:w="3260" w:type="dxa"/>
            <w:shd w:val="clear" w:color="auto" w:fill="F2F2F2" w:themeFill="background1" w:themeFillShade="F2"/>
          </w:tcPr>
          <w:p w:rsidR="00600902" w:rsidRDefault="00600902" w:rsidP="0004796E">
            <w:r>
              <w:t>Number of people given attempted curative treatment for low grade oesophageal dysplasia per year</w:t>
            </w:r>
          </w:p>
        </w:tc>
        <w:tc>
          <w:tcPr>
            <w:tcW w:w="1555" w:type="dxa"/>
          </w:tcPr>
          <w:p w:rsidR="00600902" w:rsidRDefault="00335E5E" w:rsidP="0004796E">
            <w:r>
              <w:t>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dysplasia per year (total; low, high grade)</w:t>
            </w:r>
          </w:p>
        </w:tc>
        <w:tc>
          <w:tcPr>
            <w:tcW w:w="1555" w:type="dxa"/>
          </w:tcPr>
          <w:p w:rsidR="00600902" w:rsidRDefault="00335E5E"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453699">
            <w:r>
              <w:t>Number of people given attempted curative treatment for oesophageal cancer per year (total; stage 1, 2, 3, 4)</w:t>
            </w:r>
          </w:p>
        </w:tc>
        <w:tc>
          <w:tcPr>
            <w:tcW w:w="1555" w:type="dxa"/>
          </w:tcPr>
          <w:p w:rsidR="00600902" w:rsidRDefault="0011554A" w:rsidP="0004796E">
            <w:r>
              <w:t>&lt; 100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 assumed currently low.</w:t>
            </w:r>
          </w:p>
        </w:tc>
      </w:tr>
      <w:tr w:rsidR="00600902" w:rsidTr="0011554A">
        <w:tc>
          <w:tcPr>
            <w:tcW w:w="3260" w:type="dxa"/>
            <w:shd w:val="clear" w:color="auto" w:fill="F2F2F2" w:themeFill="background1" w:themeFillShade="F2"/>
          </w:tcPr>
          <w:p w:rsidR="00600902" w:rsidRDefault="00600902" w:rsidP="0004796E">
            <w:r>
              <w:t>Number of deaths from oesophageal cancer</w:t>
            </w:r>
          </w:p>
        </w:tc>
        <w:tc>
          <w:tcPr>
            <w:tcW w:w="1555" w:type="dxa"/>
          </w:tcPr>
          <w:p w:rsidR="00600902" w:rsidRDefault="00964780" w:rsidP="0004796E">
            <w:r>
              <w:t>560</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 but 620 identified cases of oesophageal cancer per year, most reported to be identified at late stages. New death registration system should provide data in future.</w:t>
            </w:r>
          </w:p>
        </w:tc>
      </w:tr>
    </w:tbl>
    <w:p w:rsidR="00335F89" w:rsidRDefault="00335F89">
      <w:pPr>
        <w:rPr>
          <w:b/>
        </w:rPr>
      </w:pPr>
    </w:p>
    <w:p w:rsidR="00335F89" w:rsidRPr="00335F89" w:rsidRDefault="006A1673" w:rsidP="00335F89">
      <w:r>
        <w:t xml:space="preserve">* </w:t>
      </w:r>
      <w:r w:rsidRPr="006A1673">
        <w:t>18,946</w:t>
      </w:r>
      <w:r>
        <w:t xml:space="preserve"> new cases of cancer in </w:t>
      </w:r>
      <w:r w:rsidR="00917457">
        <w:t>44-month</w:t>
      </w:r>
      <w:r>
        <w:t xml:space="preserve"> period 2007 – 2010; 12.0% oesophageal, implying 620 new cases of oesophageal cancer diagnosed per year in Malawi.  Registry covers 96% of relevant clinics in Malawi.  </w:t>
      </w:r>
    </w:p>
    <w:p w:rsidR="002056E5" w:rsidRDefault="00B123A9">
      <w:r w:rsidRPr="00B123A9">
        <w:t>** 368 cases in Blantyre 2008-2010</w:t>
      </w:r>
      <w:r>
        <w:t xml:space="preserve"> from population 248,728 men </w:t>
      </w:r>
      <w:r w:rsidR="00600902">
        <w:t xml:space="preserve">and 236,355 women </w:t>
      </w:r>
      <w:r>
        <w:t xml:space="preserve">age </w:t>
      </w:r>
      <w:r w:rsidR="00917457">
        <w:t>greater than or equal to</w:t>
      </w:r>
      <w:r>
        <w:t xml:space="preserve"> 20 = crude rate </w:t>
      </w:r>
      <w:r w:rsidR="00600902">
        <w:t xml:space="preserve">25.3 / 100,000 population aged &gt; 20.  </w:t>
      </w:r>
    </w:p>
    <w:p w:rsidR="004500DC" w:rsidRDefault="004500DC"/>
    <w:p w:rsidR="002566A0" w:rsidRPr="00851AF9" w:rsidRDefault="007B5264">
      <w:pPr>
        <w:rPr>
          <w:b/>
          <w:bCs/>
          <w:color w:val="4472C4" w:themeColor="accent1"/>
        </w:rPr>
      </w:pPr>
      <w:r w:rsidRPr="00851AF9">
        <w:rPr>
          <w:b/>
          <w:bCs/>
          <w:color w:val="4472C4" w:themeColor="accent1"/>
        </w:rPr>
        <w:t>References</w:t>
      </w:r>
    </w:p>
    <w:p w:rsidR="00DA74CE" w:rsidRDefault="00DA74CE" w:rsidP="00440920">
      <w:pPr>
        <w:rPr>
          <w:bCs/>
        </w:rPr>
      </w:pPr>
      <w:r>
        <w:rPr>
          <w:bCs/>
        </w:rPr>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 xml:space="preserve">volume 6 no 4 pp 296±304 </w:t>
      </w:r>
      <w:proofErr w:type="spellStart"/>
      <w:r w:rsidRPr="00DA74CE">
        <w:rPr>
          <w:bCs/>
        </w:rPr>
        <w:t>april</w:t>
      </w:r>
      <w:proofErr w:type="spellEnd"/>
      <w:r w:rsidRPr="00DA74CE">
        <w:rPr>
          <w:bCs/>
        </w:rPr>
        <w:t xml:space="preserve"> 2001</w:t>
      </w:r>
    </w:p>
    <w:p w:rsidR="00DA74CE" w:rsidRPr="002056E5" w:rsidRDefault="00DA74CE" w:rsidP="00DA74CE">
      <w:pPr>
        <w:rPr>
          <w:rFonts w:cstheme="minorHAnsi"/>
          <w:bCs/>
        </w:rPr>
      </w:pPr>
      <w:proofErr w:type="spellStart"/>
      <w:r w:rsidRPr="002056E5">
        <w:rPr>
          <w:rFonts w:cstheme="minorHAnsi"/>
          <w:color w:val="231F20"/>
        </w:rPr>
        <w:t>Chasimpha</w:t>
      </w:r>
      <w:proofErr w:type="spellEnd"/>
      <w:r w:rsidRPr="002056E5">
        <w:rPr>
          <w:rFonts w:cstheme="minorHAnsi"/>
          <w:color w:val="231F20"/>
        </w:rPr>
        <w:t xml:space="preserve">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rsidR="00DA74CE" w:rsidRDefault="00DA74CE" w:rsidP="00DA74CE">
      <w:pPr>
        <w:rPr>
          <w:bCs/>
        </w:rPr>
      </w:pPr>
      <w:proofErr w:type="spellStart"/>
      <w:r>
        <w:rPr>
          <w:bCs/>
        </w:rPr>
        <w:t>Chetwood</w:t>
      </w:r>
      <w:proofErr w:type="spellEnd"/>
      <w:r>
        <w:rPr>
          <w:bCs/>
        </w:rPr>
        <w:t xml:space="preserve">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w:t>
      </w:r>
      <w:proofErr w:type="gramStart"/>
      <w:r w:rsidRPr="00267D28">
        <w:rPr>
          <w:bCs/>
        </w:rPr>
        <w:t>5:e</w:t>
      </w:r>
      <w:proofErr w:type="gramEnd"/>
      <w:r w:rsidRPr="00267D28">
        <w:rPr>
          <w:bCs/>
        </w:rPr>
        <w:t>000232. doi:10.1136/bmjgast-2018-000232</w:t>
      </w:r>
    </w:p>
    <w:p w:rsidR="00DA74CE" w:rsidRDefault="00DA74CE" w:rsidP="00DA74CE">
      <w:pPr>
        <w:rPr>
          <w:bCs/>
        </w:rPr>
      </w:pPr>
      <w:proofErr w:type="spellStart"/>
      <w:r>
        <w:rPr>
          <w:bCs/>
        </w:rPr>
        <w:t>Gowshall</w:t>
      </w:r>
      <w:proofErr w:type="spellEnd"/>
      <w:r>
        <w:rPr>
          <w:bCs/>
        </w:rPr>
        <w:t xml:space="preserve">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rsidR="00DA74CE" w:rsidRDefault="00DA74CE" w:rsidP="00DA74CE">
      <w:pPr>
        <w:rPr>
          <w:bCs/>
        </w:rPr>
      </w:pPr>
      <w:proofErr w:type="spellStart"/>
      <w:r w:rsidRPr="007460A9">
        <w:rPr>
          <w:bCs/>
        </w:rPr>
        <w:t>Kastelein</w:t>
      </w:r>
      <w:proofErr w:type="spellEnd"/>
      <w:r w:rsidRPr="007460A9">
        <w:rPr>
          <w:bCs/>
        </w:rPr>
        <w:t xml:space="preserve">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2018;</w:t>
      </w:r>
      <w:proofErr w:type="gramStart"/>
      <w:r w:rsidRPr="007460A9">
        <w:rPr>
          <w:bCs/>
        </w:rPr>
        <w:t>8:e</w:t>
      </w:r>
      <w:proofErr w:type="gramEnd"/>
      <w:r w:rsidRPr="007460A9">
        <w:rPr>
          <w:bCs/>
        </w:rPr>
        <w:t xml:space="preserve">021495. </w:t>
      </w:r>
      <w:r>
        <w:rPr>
          <w:bCs/>
        </w:rPr>
        <w:t>doi:10.1136/bmjopen-2018-021495</w:t>
      </w:r>
    </w:p>
    <w:p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rsidR="00DA74CE" w:rsidRDefault="00DA74CE" w:rsidP="00DA74CE">
      <w:pPr>
        <w:rPr>
          <w:bCs/>
        </w:rPr>
      </w:pPr>
      <w:proofErr w:type="spellStart"/>
      <w:r w:rsidRPr="00517C45">
        <w:rPr>
          <w:bCs/>
        </w:rPr>
        <w:t>Mannell</w:t>
      </w:r>
      <w:proofErr w:type="spellEnd"/>
      <w:r w:rsidRPr="00517C45">
        <w:rPr>
          <w:bCs/>
        </w:rPr>
        <w:t xml:space="preserve"> A, Murray W. Oesophageal cancer in South Africa. A review</w:t>
      </w:r>
      <w:r>
        <w:rPr>
          <w:bCs/>
        </w:rPr>
        <w:t xml:space="preserve"> </w:t>
      </w:r>
      <w:r w:rsidRPr="00517C45">
        <w:rPr>
          <w:bCs/>
        </w:rPr>
        <w:t xml:space="preserve">of 1926 cases. Cancer </w:t>
      </w:r>
      <w:proofErr w:type="gramStart"/>
      <w:r w:rsidRPr="00517C45">
        <w:rPr>
          <w:bCs/>
        </w:rPr>
        <w:t>1989;64:2604</w:t>
      </w:r>
      <w:proofErr w:type="gramEnd"/>
      <w:r w:rsidRPr="00517C45">
        <w:rPr>
          <w:bCs/>
        </w:rPr>
        <w:t>–8.</w:t>
      </w:r>
    </w:p>
    <w:p w:rsidR="00DA74CE" w:rsidRDefault="00DA74CE" w:rsidP="00DA74CE">
      <w:pPr>
        <w:rPr>
          <w:bCs/>
        </w:rPr>
      </w:pPr>
      <w:proofErr w:type="spellStart"/>
      <w:r>
        <w:rPr>
          <w:bCs/>
        </w:rPr>
        <w:t>Masamba</w:t>
      </w:r>
      <w:proofErr w:type="spellEnd"/>
      <w:r>
        <w:rPr>
          <w:bCs/>
        </w:rPr>
        <w:t xml:space="preserve"> et al.  </w:t>
      </w:r>
      <w:r w:rsidRPr="002056E5">
        <w:rPr>
          <w:bCs/>
        </w:rPr>
        <w:t>The state of oncology in Malawi in 2015</w:t>
      </w:r>
      <w:r>
        <w:rPr>
          <w:bCs/>
        </w:rPr>
        <w:t xml:space="preserve">.  </w:t>
      </w:r>
      <w:r w:rsidRPr="002056E5">
        <w:rPr>
          <w:bCs/>
        </w:rPr>
        <w:t>Malawi Medical Journal; 27(3): 77-78 September 2015</w:t>
      </w:r>
      <w:r>
        <w:rPr>
          <w:bCs/>
        </w:rPr>
        <w:t xml:space="preserve">.  </w:t>
      </w:r>
    </w:p>
    <w:p w:rsidR="00DA74CE" w:rsidRDefault="00DA74CE" w:rsidP="00DA74CE">
      <w:pPr>
        <w:rPr>
          <w:bCs/>
        </w:rPr>
      </w:pPr>
      <w:proofErr w:type="spellStart"/>
      <w:r w:rsidRPr="00A741A9">
        <w:rPr>
          <w:bCs/>
        </w:rPr>
        <w:t>Mlombe</w:t>
      </w:r>
      <w:proofErr w:type="spellEnd"/>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rsidR="00DA74CE" w:rsidRDefault="00DA74CE" w:rsidP="00DA74CE">
      <w:pPr>
        <w:autoSpaceDE w:val="0"/>
        <w:autoSpaceDN w:val="0"/>
        <w:adjustRightInd w:val="0"/>
        <w:spacing w:after="0" w:line="240" w:lineRule="auto"/>
        <w:rPr>
          <w:bCs/>
        </w:rPr>
      </w:pPr>
      <w:proofErr w:type="spellStart"/>
      <w:r w:rsidRPr="00794E16">
        <w:rPr>
          <w:bCs/>
        </w:rPr>
        <w:t>Msyamboza</w:t>
      </w:r>
      <w:proofErr w:type="spellEnd"/>
      <w:r>
        <w:rPr>
          <w:bCs/>
        </w:rPr>
        <w:t xml:space="preserve"> et al.  </w:t>
      </w:r>
      <w:r w:rsidRPr="005935C5">
        <w:rPr>
          <w:bCs/>
        </w:rPr>
        <w:t>Burden of cancer in Malawi; common types,</w:t>
      </w:r>
      <w:r>
        <w:rPr>
          <w:bCs/>
        </w:rPr>
        <w:t xml:space="preserve"> </w:t>
      </w:r>
      <w:r w:rsidRPr="005935C5">
        <w:rPr>
          <w:bCs/>
        </w:rPr>
        <w:t>incidence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rsidR="00DA74CE" w:rsidRDefault="00DA74CE" w:rsidP="00DA74CE">
      <w:pPr>
        <w:autoSpaceDE w:val="0"/>
        <w:autoSpaceDN w:val="0"/>
        <w:adjustRightInd w:val="0"/>
        <w:spacing w:after="0" w:line="240" w:lineRule="auto"/>
        <w:rPr>
          <w:bCs/>
        </w:rPr>
      </w:pPr>
    </w:p>
    <w:p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rsidR="00DA74CE" w:rsidRPr="00440920" w:rsidRDefault="00DA74CE" w:rsidP="00DA74CE">
      <w:pPr>
        <w:rPr>
          <w:bCs/>
        </w:rPr>
      </w:pPr>
      <w:r>
        <w:rPr>
          <w:bCs/>
        </w:rPr>
        <w:t>h</w:t>
      </w:r>
      <w:r w:rsidRPr="00794E16">
        <w:rPr>
          <w:bCs/>
        </w:rPr>
        <w:t>ttp://www.biomedcentral.com/1756-0500/5/149</w:t>
      </w:r>
    </w:p>
    <w:p w:rsidR="00440920" w:rsidRPr="002056E5" w:rsidRDefault="007B6469" w:rsidP="00440920">
      <w:pPr>
        <w:rPr>
          <w:rFonts w:cstheme="minorHAnsi"/>
          <w:bCs/>
        </w:rPr>
      </w:pPr>
      <w:r>
        <w:lastRenderedPageBreak/>
        <w:t xml:space="preserve">Sun X, Zhao D, Liu Y, Liu Y, Yuan Z, Wang J, et al. (2017) The long-term </w:t>
      </w:r>
      <w:proofErr w:type="spellStart"/>
      <w:r>
        <w:t>spatialtemporal</w:t>
      </w:r>
      <w:proofErr w:type="spellEnd"/>
      <w:r>
        <w:t xml:space="preserve"> trends and burden of </w:t>
      </w:r>
      <w:proofErr w:type="spellStart"/>
      <w:r w:rsidRPr="002056E5">
        <w:rPr>
          <w:rFonts w:cstheme="minorHAnsi"/>
        </w:rPr>
        <w:t>esophageal</w:t>
      </w:r>
      <w:proofErr w:type="spellEnd"/>
      <w:r w:rsidRPr="002056E5">
        <w:rPr>
          <w:rFonts w:cstheme="minorHAnsi"/>
        </w:rPr>
        <w:t xml:space="preserve"> cancer in one high-risk area: A population-registered study in </w:t>
      </w:r>
      <w:proofErr w:type="spellStart"/>
      <w:r w:rsidRPr="002056E5">
        <w:rPr>
          <w:rFonts w:cstheme="minorHAnsi"/>
        </w:rPr>
        <w:t>Feicheng</w:t>
      </w:r>
      <w:proofErr w:type="spellEnd"/>
      <w:r w:rsidRPr="002056E5">
        <w:rPr>
          <w:rFonts w:cstheme="minorHAnsi"/>
        </w:rPr>
        <w:t xml:space="preserve">, China. </w:t>
      </w:r>
      <w:proofErr w:type="spellStart"/>
      <w:r w:rsidRPr="002056E5">
        <w:rPr>
          <w:rFonts w:cstheme="minorHAnsi"/>
        </w:rPr>
        <w:t>PLoS</w:t>
      </w:r>
      <w:proofErr w:type="spellEnd"/>
      <w:r w:rsidRPr="002056E5">
        <w:rPr>
          <w:rFonts w:cstheme="minorHAnsi"/>
        </w:rPr>
        <w:t xml:space="preserve"> ONE 12(3): e0173211. </w:t>
      </w:r>
      <w:proofErr w:type="gramStart"/>
      <w:r w:rsidRPr="002056E5">
        <w:rPr>
          <w:rFonts w:cstheme="minorHAnsi"/>
        </w:rPr>
        <w:t>doi:10.1371/journal.pone</w:t>
      </w:r>
      <w:proofErr w:type="gramEnd"/>
      <w:r w:rsidRPr="002056E5">
        <w:rPr>
          <w:rFonts w:cstheme="minorHAnsi"/>
        </w:rPr>
        <w:t>.0173211</w:t>
      </w:r>
    </w:p>
    <w:p w:rsidR="00DA74CE" w:rsidRPr="004500DC" w:rsidRDefault="007460A9" w:rsidP="00440920">
      <w:pPr>
        <w:rPr>
          <w:bCs/>
        </w:rPr>
      </w:pPr>
      <w:r w:rsidRPr="007460A9">
        <w:rPr>
          <w:bCs/>
        </w:rPr>
        <w:t>Verbeek et al.  Surveillance and Follow-Up Strategies in Patients</w:t>
      </w:r>
      <w:r>
        <w:rPr>
          <w:bCs/>
        </w:rPr>
        <w:t xml:space="preserve"> </w:t>
      </w:r>
      <w:proofErr w:type="gramStart"/>
      <w:r w:rsidRPr="007460A9">
        <w:rPr>
          <w:bCs/>
        </w:rPr>
        <w:t>With</w:t>
      </w:r>
      <w:proofErr w:type="gramEnd"/>
      <w:r w:rsidRPr="007460A9">
        <w:rPr>
          <w:bCs/>
        </w:rPr>
        <w:t xml:space="preserve"> High-Grade Dysp</w:t>
      </w:r>
      <w:r>
        <w:rPr>
          <w:bCs/>
        </w:rPr>
        <w:t>lasia in Barrett</w:t>
      </w:r>
      <w:r w:rsidRPr="007460A9">
        <w:rPr>
          <w:bCs/>
        </w:rPr>
        <w:t xml:space="preserve">’s </w:t>
      </w:r>
      <w:proofErr w:type="spellStart"/>
      <w:r w:rsidRPr="007460A9">
        <w:rPr>
          <w:bCs/>
        </w:rPr>
        <w:t>Esophagus</w:t>
      </w:r>
      <w:proofErr w:type="spellEnd"/>
      <w:r w:rsidRPr="007460A9">
        <w:rPr>
          <w:bCs/>
        </w:rPr>
        <w:t>:</w:t>
      </w:r>
      <w:r>
        <w:rPr>
          <w:bCs/>
        </w:rPr>
        <w:t xml:space="preserve">  </w:t>
      </w:r>
      <w:r w:rsidRPr="007460A9">
        <w:rPr>
          <w:bCs/>
        </w:rPr>
        <w:t>A Dutch Population-Based Study</w:t>
      </w:r>
      <w:r>
        <w:rPr>
          <w:bCs/>
        </w:rPr>
        <w:t xml:space="preserve">.  </w:t>
      </w:r>
      <w:r w:rsidRPr="007460A9">
        <w:rPr>
          <w:bCs/>
        </w:rPr>
        <w:t>Am J Gastroenterol 2012; 107:534</w:t>
      </w:r>
      <w:r>
        <w:rPr>
          <w:bCs/>
        </w:rPr>
        <w:t xml:space="preserve">–542; </w:t>
      </w:r>
      <w:proofErr w:type="spellStart"/>
      <w:r>
        <w:rPr>
          <w:bCs/>
        </w:rPr>
        <w:t>doi</w:t>
      </w:r>
      <w:proofErr w:type="spellEnd"/>
      <w:r>
        <w:rPr>
          <w:bCs/>
        </w:rPr>
        <w:t>: 10.1038/ajg.2011.459.</w:t>
      </w:r>
    </w:p>
    <w:p w:rsidR="004500DC" w:rsidRDefault="004500DC" w:rsidP="00440920">
      <w:pPr>
        <w:rPr>
          <w:b/>
          <w:bCs/>
        </w:rPr>
      </w:pPr>
    </w:p>
    <w:p w:rsidR="00440920" w:rsidRPr="00851AF9" w:rsidRDefault="00440920" w:rsidP="00440920">
      <w:pPr>
        <w:rPr>
          <w:i/>
          <w:iCs/>
          <w:color w:val="808080" w:themeColor="background1" w:themeShade="80"/>
        </w:rPr>
      </w:pPr>
      <w:r w:rsidRPr="00851AF9">
        <w:rPr>
          <w:i/>
          <w:iCs/>
          <w:color w:val="808080" w:themeColor="background1" w:themeShade="80"/>
        </w:rPr>
        <w:t>Additional relevant references</w:t>
      </w:r>
    </w:p>
    <w:p w:rsidR="00794E16" w:rsidRDefault="00794E16" w:rsidP="00794E16">
      <w:pPr>
        <w:rPr>
          <w:bCs/>
        </w:rPr>
      </w:pPr>
      <w:proofErr w:type="spellStart"/>
      <w:r w:rsidRPr="00794E16">
        <w:rPr>
          <w:bCs/>
        </w:rPr>
        <w:t>Mukhula</w:t>
      </w:r>
      <w:proofErr w:type="spellEnd"/>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rsidR="00794E16" w:rsidRDefault="001C31D1" w:rsidP="00440920">
      <w:r>
        <w:t xml:space="preserve">Malawi Cancer Consortium  </w:t>
      </w:r>
      <w:hyperlink r:id="rId10" w:history="1">
        <w:r>
          <w:rPr>
            <w:rStyle w:val="Hyperlink"/>
          </w:rPr>
          <w:t>http://malawicancerconsortium.web.unc.edu/</w:t>
        </w:r>
      </w:hyperlink>
    </w:p>
    <w:p w:rsidR="001C31D1" w:rsidRDefault="00316D09" w:rsidP="00440920">
      <w:r>
        <w:t xml:space="preserve">Cancer treatment guidelines for SSA  </w:t>
      </w:r>
      <w:hyperlink r:id="rId11" w:history="1">
        <w:r w:rsidR="006C5EE7" w:rsidRPr="00640B5C">
          <w:rPr>
            <w:rStyle w:val="Hyperlink"/>
          </w:rPr>
          <w:t>https://www.nccn.org/harmonized/</w:t>
        </w:r>
      </w:hyperlink>
    </w:p>
    <w:p w:rsidR="003F6A36" w:rsidRDefault="003F6A36" w:rsidP="003F6A36">
      <w:pPr>
        <w:rPr>
          <w:bCs/>
        </w:rPr>
      </w:pPr>
      <w:r>
        <w:t>Parkin DM et al.  Cancer in Sub-Saharan Africa.  International Agency for Research on Cancer Lyon, France 2018</w:t>
      </w:r>
    </w:p>
    <w:p w:rsidR="003F6A36" w:rsidRDefault="003F6A36" w:rsidP="00440920"/>
    <w:p w:rsidR="00316D09" w:rsidRDefault="00316D09" w:rsidP="00440920"/>
    <w:p w:rsidR="00316D09" w:rsidRDefault="00316D09" w:rsidP="00440920"/>
    <w:p w:rsidR="001C31D1" w:rsidRPr="00440920" w:rsidRDefault="001C31D1" w:rsidP="00440920">
      <w:pPr>
        <w:rPr>
          <w:b/>
          <w:bCs/>
        </w:rPr>
      </w:pPr>
    </w:p>
    <w:sectPr w:rsidR="001C31D1" w:rsidRPr="00440920"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D0DD2" w:rsidRDefault="00CD0DD2" w:rsidP="00D11ED9">
      <w:pPr>
        <w:spacing w:after="0" w:line="240" w:lineRule="auto"/>
      </w:pPr>
      <w:r>
        <w:separator/>
      </w:r>
    </w:p>
  </w:endnote>
  <w:endnote w:type="continuationSeparator" w:id="0">
    <w:p w:rsidR="00CD0DD2" w:rsidRDefault="00CD0DD2" w:rsidP="00D1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D0DD2" w:rsidRDefault="00CD0DD2" w:rsidP="00D11ED9">
      <w:pPr>
        <w:spacing w:after="0" w:line="240" w:lineRule="auto"/>
      </w:pPr>
      <w:r>
        <w:separator/>
      </w:r>
    </w:p>
  </w:footnote>
  <w:footnote w:type="continuationSeparator" w:id="0">
    <w:p w:rsidR="00CD0DD2" w:rsidRDefault="00CD0DD2" w:rsidP="00D11ED9">
      <w:pPr>
        <w:spacing w:after="0" w:line="240" w:lineRule="auto"/>
      </w:pPr>
      <w:r>
        <w:continuationSeparator/>
      </w:r>
    </w:p>
  </w:footnote>
  <w:footnote w:id="1">
    <w:p w:rsidR="00D11ED9" w:rsidRDefault="00D11ED9">
      <w:pPr>
        <w:pStyle w:val="FootnoteText"/>
      </w:pPr>
      <w:r>
        <w:rPr>
          <w:rStyle w:val="FootnoteReference"/>
        </w:rPr>
        <w:footnoteRef/>
      </w:r>
      <w:r>
        <w:t xml:space="preserve"> </w:t>
      </w:r>
      <w:hyperlink r:id="rId1" w:history="1">
        <w:r w:rsidRPr="00F82A17">
          <w:rPr>
            <w:rStyle w:val="Hyperlink"/>
            <w:bCs/>
          </w:rPr>
          <w:t>https://www.cancer.org/cancer/esophagus-cancer/detection-diagnosis-staging/survival-rates.html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C39B3"/>
    <w:rsid w:val="000D6B9B"/>
    <w:rsid w:val="000E3F08"/>
    <w:rsid w:val="00106E8A"/>
    <w:rsid w:val="0011554A"/>
    <w:rsid w:val="00121B33"/>
    <w:rsid w:val="001325AF"/>
    <w:rsid w:val="00132D87"/>
    <w:rsid w:val="001352A6"/>
    <w:rsid w:val="0014680D"/>
    <w:rsid w:val="0015434F"/>
    <w:rsid w:val="001552F8"/>
    <w:rsid w:val="00182E40"/>
    <w:rsid w:val="001A0078"/>
    <w:rsid w:val="001B16B3"/>
    <w:rsid w:val="001B7D63"/>
    <w:rsid w:val="001C31D1"/>
    <w:rsid w:val="001C4AFC"/>
    <w:rsid w:val="001E4A16"/>
    <w:rsid w:val="001E6C44"/>
    <w:rsid w:val="00202D97"/>
    <w:rsid w:val="002056E5"/>
    <w:rsid w:val="00211BBB"/>
    <w:rsid w:val="00212707"/>
    <w:rsid w:val="00212D27"/>
    <w:rsid w:val="002221CA"/>
    <w:rsid w:val="00223183"/>
    <w:rsid w:val="00243086"/>
    <w:rsid w:val="002447D4"/>
    <w:rsid w:val="0025100E"/>
    <w:rsid w:val="002566A0"/>
    <w:rsid w:val="00266413"/>
    <w:rsid w:val="00267D28"/>
    <w:rsid w:val="00275836"/>
    <w:rsid w:val="00276E13"/>
    <w:rsid w:val="002812B0"/>
    <w:rsid w:val="00295DFF"/>
    <w:rsid w:val="002C73C0"/>
    <w:rsid w:val="002D6EE0"/>
    <w:rsid w:val="002E6AEB"/>
    <w:rsid w:val="002F197D"/>
    <w:rsid w:val="00310CDA"/>
    <w:rsid w:val="00315FCD"/>
    <w:rsid w:val="00316D09"/>
    <w:rsid w:val="003200B1"/>
    <w:rsid w:val="003315CB"/>
    <w:rsid w:val="00335E5E"/>
    <w:rsid w:val="00335F89"/>
    <w:rsid w:val="00341622"/>
    <w:rsid w:val="00355E99"/>
    <w:rsid w:val="00372BA9"/>
    <w:rsid w:val="00381B74"/>
    <w:rsid w:val="00392382"/>
    <w:rsid w:val="003B514F"/>
    <w:rsid w:val="003C1EB4"/>
    <w:rsid w:val="003D0F01"/>
    <w:rsid w:val="003E1F74"/>
    <w:rsid w:val="003E2BE5"/>
    <w:rsid w:val="003F6A36"/>
    <w:rsid w:val="00403DEF"/>
    <w:rsid w:val="0041778B"/>
    <w:rsid w:val="00440920"/>
    <w:rsid w:val="00441225"/>
    <w:rsid w:val="004500DC"/>
    <w:rsid w:val="00453699"/>
    <w:rsid w:val="00454B0A"/>
    <w:rsid w:val="00455105"/>
    <w:rsid w:val="00464E14"/>
    <w:rsid w:val="00484504"/>
    <w:rsid w:val="00484DEB"/>
    <w:rsid w:val="004D592A"/>
    <w:rsid w:val="004E646D"/>
    <w:rsid w:val="004F1E60"/>
    <w:rsid w:val="0051226C"/>
    <w:rsid w:val="00517C45"/>
    <w:rsid w:val="005220BA"/>
    <w:rsid w:val="00522BA5"/>
    <w:rsid w:val="0053780F"/>
    <w:rsid w:val="0054127E"/>
    <w:rsid w:val="005578E1"/>
    <w:rsid w:val="00562858"/>
    <w:rsid w:val="00572185"/>
    <w:rsid w:val="00572AD7"/>
    <w:rsid w:val="005809AB"/>
    <w:rsid w:val="00586831"/>
    <w:rsid w:val="00587D9A"/>
    <w:rsid w:val="005935C5"/>
    <w:rsid w:val="005A1D0E"/>
    <w:rsid w:val="005B6C6A"/>
    <w:rsid w:val="005E34F8"/>
    <w:rsid w:val="005F0ED1"/>
    <w:rsid w:val="005F5EDE"/>
    <w:rsid w:val="00600902"/>
    <w:rsid w:val="00602F9B"/>
    <w:rsid w:val="00607A9E"/>
    <w:rsid w:val="00614BA7"/>
    <w:rsid w:val="00623158"/>
    <w:rsid w:val="00623E1A"/>
    <w:rsid w:val="00634A79"/>
    <w:rsid w:val="00636D30"/>
    <w:rsid w:val="00667A51"/>
    <w:rsid w:val="00691675"/>
    <w:rsid w:val="00691C2B"/>
    <w:rsid w:val="006A1673"/>
    <w:rsid w:val="006C5EE7"/>
    <w:rsid w:val="007460A9"/>
    <w:rsid w:val="0075294F"/>
    <w:rsid w:val="007536A2"/>
    <w:rsid w:val="00794E16"/>
    <w:rsid w:val="007A0150"/>
    <w:rsid w:val="007B5264"/>
    <w:rsid w:val="007B6469"/>
    <w:rsid w:val="007D51C9"/>
    <w:rsid w:val="007F5AFF"/>
    <w:rsid w:val="00840FE4"/>
    <w:rsid w:val="00851AF9"/>
    <w:rsid w:val="00870CD3"/>
    <w:rsid w:val="00873002"/>
    <w:rsid w:val="00883564"/>
    <w:rsid w:val="008B5AA7"/>
    <w:rsid w:val="008C4BB0"/>
    <w:rsid w:val="008C7F55"/>
    <w:rsid w:val="00917457"/>
    <w:rsid w:val="0094598F"/>
    <w:rsid w:val="0095443D"/>
    <w:rsid w:val="009627EF"/>
    <w:rsid w:val="00964780"/>
    <w:rsid w:val="00965E36"/>
    <w:rsid w:val="00972D29"/>
    <w:rsid w:val="00975CBB"/>
    <w:rsid w:val="009A0452"/>
    <w:rsid w:val="009C405E"/>
    <w:rsid w:val="009F73D5"/>
    <w:rsid w:val="00A35B7B"/>
    <w:rsid w:val="00A4006B"/>
    <w:rsid w:val="00A62E20"/>
    <w:rsid w:val="00A71097"/>
    <w:rsid w:val="00A741A9"/>
    <w:rsid w:val="00A915AF"/>
    <w:rsid w:val="00AC61D8"/>
    <w:rsid w:val="00AC7C31"/>
    <w:rsid w:val="00AE1D14"/>
    <w:rsid w:val="00AE588F"/>
    <w:rsid w:val="00B123A9"/>
    <w:rsid w:val="00B2178A"/>
    <w:rsid w:val="00B52CD9"/>
    <w:rsid w:val="00B873BD"/>
    <w:rsid w:val="00B974E6"/>
    <w:rsid w:val="00BB5B1B"/>
    <w:rsid w:val="00BF57AB"/>
    <w:rsid w:val="00BF6259"/>
    <w:rsid w:val="00C25EE0"/>
    <w:rsid w:val="00C26212"/>
    <w:rsid w:val="00C302DB"/>
    <w:rsid w:val="00C3595A"/>
    <w:rsid w:val="00C40E95"/>
    <w:rsid w:val="00C670C1"/>
    <w:rsid w:val="00C75576"/>
    <w:rsid w:val="00C90923"/>
    <w:rsid w:val="00C96EF1"/>
    <w:rsid w:val="00CD0DD2"/>
    <w:rsid w:val="00CD5B7D"/>
    <w:rsid w:val="00CE764B"/>
    <w:rsid w:val="00D06695"/>
    <w:rsid w:val="00D06B2A"/>
    <w:rsid w:val="00D11ED9"/>
    <w:rsid w:val="00D12426"/>
    <w:rsid w:val="00D21DB5"/>
    <w:rsid w:val="00D21FB7"/>
    <w:rsid w:val="00D3113E"/>
    <w:rsid w:val="00D8692D"/>
    <w:rsid w:val="00DA74CE"/>
    <w:rsid w:val="00DD5BDC"/>
    <w:rsid w:val="00DE0076"/>
    <w:rsid w:val="00DF6185"/>
    <w:rsid w:val="00E22167"/>
    <w:rsid w:val="00E22982"/>
    <w:rsid w:val="00E31CF8"/>
    <w:rsid w:val="00E3240B"/>
    <w:rsid w:val="00E3508E"/>
    <w:rsid w:val="00E350C2"/>
    <w:rsid w:val="00E43103"/>
    <w:rsid w:val="00E717B7"/>
    <w:rsid w:val="00E723E7"/>
    <w:rsid w:val="00E76FEF"/>
    <w:rsid w:val="00EA7D93"/>
    <w:rsid w:val="00EC31A9"/>
    <w:rsid w:val="00ED260E"/>
    <w:rsid w:val="00F244BA"/>
    <w:rsid w:val="00F348FB"/>
    <w:rsid w:val="00F46263"/>
    <w:rsid w:val="00F51D22"/>
    <w:rsid w:val="00F63FD8"/>
    <w:rsid w:val="00F6629F"/>
    <w:rsid w:val="00F803FC"/>
    <w:rsid w:val="00FA03ED"/>
    <w:rsid w:val="00FB3E0E"/>
    <w:rsid w:val="00FB776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A9CE"/>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6C5EE7"/>
    <w:rPr>
      <w:color w:val="605E5C"/>
      <w:shd w:val="clear" w:color="auto" w:fill="E1DFDD"/>
    </w:rPr>
  </w:style>
  <w:style w:type="paragraph" w:styleId="BalloonText">
    <w:name w:val="Balloon Text"/>
    <w:basedOn w:val="Normal"/>
    <w:link w:val="BalloonTextChar"/>
    <w:uiPriority w:val="99"/>
    <w:semiHidden/>
    <w:unhideWhenUsed/>
    <w:rsid w:val="002C73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3C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2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6212"/>
    <w:rPr>
      <w:rFonts w:ascii="Courier New" w:eastAsia="Times New Roman" w:hAnsi="Courier New" w:cs="Courier New"/>
      <w:sz w:val="20"/>
      <w:szCs w:val="20"/>
      <w:lang w:eastAsia="en-GB"/>
    </w:rPr>
  </w:style>
  <w:style w:type="paragraph" w:styleId="ListParagraph">
    <w:name w:val="List Paragraph"/>
    <w:basedOn w:val="Normal"/>
    <w:uiPriority w:val="34"/>
    <w:qFormat/>
    <w:rsid w:val="00C26212"/>
    <w:pPr>
      <w:ind w:left="720"/>
      <w:contextualSpacing/>
    </w:pPr>
  </w:style>
  <w:style w:type="paragraph" w:styleId="FootnoteText">
    <w:name w:val="footnote text"/>
    <w:basedOn w:val="Normal"/>
    <w:link w:val="FootnoteTextChar"/>
    <w:uiPriority w:val="99"/>
    <w:semiHidden/>
    <w:unhideWhenUsed/>
    <w:rsid w:val="00D11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ED9"/>
    <w:rPr>
      <w:sz w:val="20"/>
      <w:szCs w:val="20"/>
    </w:rPr>
  </w:style>
  <w:style w:type="character" w:styleId="FootnoteReference">
    <w:name w:val="footnote reference"/>
    <w:basedOn w:val="DefaultParagraphFont"/>
    <w:uiPriority w:val="99"/>
    <w:semiHidden/>
    <w:unhideWhenUsed/>
    <w:rsid w:val="00D11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28922337">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32496084">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712968483">
      <w:bodyDiv w:val="1"/>
      <w:marLeft w:val="0"/>
      <w:marRight w:val="0"/>
      <w:marTop w:val="0"/>
      <w:marBottom w:val="0"/>
      <w:divBdr>
        <w:top w:val="none" w:sz="0" w:space="0" w:color="auto"/>
        <w:left w:val="none" w:sz="0" w:space="0" w:color="auto"/>
        <w:bottom w:val="none" w:sz="0" w:space="0" w:color="auto"/>
        <w:right w:val="none" w:sz="0" w:space="0" w:color="auto"/>
      </w:divBdr>
    </w:div>
    <w:div w:id="735394245">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868951162">
      <w:bodyDiv w:val="1"/>
      <w:marLeft w:val="0"/>
      <w:marRight w:val="0"/>
      <w:marTop w:val="0"/>
      <w:marBottom w:val="0"/>
      <w:divBdr>
        <w:top w:val="none" w:sz="0" w:space="0" w:color="auto"/>
        <w:left w:val="none" w:sz="0" w:space="0" w:color="auto"/>
        <w:bottom w:val="none" w:sz="0" w:space="0" w:color="auto"/>
        <w:right w:val="none" w:sz="0" w:space="0" w:color="auto"/>
      </w:divBdr>
    </w:div>
    <w:div w:id="953443657">
      <w:bodyDiv w:val="1"/>
      <w:marLeft w:val="0"/>
      <w:marRight w:val="0"/>
      <w:marTop w:val="0"/>
      <w:marBottom w:val="0"/>
      <w:divBdr>
        <w:top w:val="none" w:sz="0" w:space="0" w:color="auto"/>
        <w:left w:val="none" w:sz="0" w:space="0" w:color="auto"/>
        <w:bottom w:val="none" w:sz="0" w:space="0" w:color="auto"/>
        <w:right w:val="none" w:sz="0" w:space="0" w:color="auto"/>
      </w:divBdr>
    </w:div>
    <w:div w:id="1153643332">
      <w:bodyDiv w:val="1"/>
      <w:marLeft w:val="0"/>
      <w:marRight w:val="0"/>
      <w:marTop w:val="0"/>
      <w:marBottom w:val="0"/>
      <w:divBdr>
        <w:top w:val="none" w:sz="0" w:space="0" w:color="auto"/>
        <w:left w:val="none" w:sz="0" w:space="0" w:color="auto"/>
        <w:bottom w:val="none" w:sz="0" w:space="0" w:color="auto"/>
        <w:right w:val="none" w:sz="0" w:space="0" w:color="auto"/>
      </w:divBdr>
    </w:div>
    <w:div w:id="1307973741">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626737204">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0686953">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36265816">
      <w:bodyDiv w:val="1"/>
      <w:marLeft w:val="0"/>
      <w:marRight w:val="0"/>
      <w:marTop w:val="0"/>
      <w:marBottom w:val="0"/>
      <w:divBdr>
        <w:top w:val="none" w:sz="0" w:space="0" w:color="auto"/>
        <w:left w:val="none" w:sz="0" w:space="0" w:color="auto"/>
        <w:bottom w:val="none" w:sz="0" w:space="0" w:color="auto"/>
        <w:right w:val="none" w:sz="0" w:space="0" w:color="auto"/>
      </w:divBdr>
    </w:div>
    <w:div w:id="1925337371">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22661377">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cn.org/harmonized/" TargetMode="External"/><Relationship Id="rId5" Type="http://schemas.openxmlformats.org/officeDocument/2006/relationships/footnotes" Target="footnotes.xml"/><Relationship Id="rId10" Type="http://schemas.openxmlformats.org/officeDocument/2006/relationships/hyperlink" Target="http://malawicancerconsortium.web.unc.edu/"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ancer.org/cancer/esophagus-cancer/detection-diagnosis-staging/survival-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10</Pages>
  <Words>2764</Words>
  <Characters>16035</Characters>
  <Application>Microsoft Office Word</Application>
  <DocSecurity>0</DocSecurity>
  <Lines>763</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Hallett, Timothy B</cp:lastModifiedBy>
  <cp:revision>41</cp:revision>
  <cp:lastPrinted>2020-05-21T08:45:00Z</cp:lastPrinted>
  <dcterms:created xsi:type="dcterms:W3CDTF">2020-03-07T09:31:00Z</dcterms:created>
  <dcterms:modified xsi:type="dcterms:W3CDTF">2020-05-22T11:00:00Z</dcterms:modified>
</cp:coreProperties>
</file>