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6.png" ContentType="image/png"/>
  <Override PartName="/word/media/rId48.png" ContentType="image/png"/>
  <Override PartName="/word/media/rId129.png" ContentType="image/png"/>
  <Override PartName="/word/media/rId132.png" ContentType="image/png"/>
  <Override PartName="/word/media/rId37.png" ContentType="image/png"/>
  <Override PartName="/word/media/rId101.png" ContentType="image/png"/>
  <Override PartName="/word/media/rId104.png" ContentType="image/png"/>
  <Override PartName="/word/media/rId108.png" ContentType="image/png"/>
  <Override PartName="/word/media/rId111.png" ContentType="image/png"/>
  <Override PartName="/word/media/rId30.png" ContentType="image/png"/>
  <Override PartName="/word/media/rId33.png" ContentType="image/png"/>
  <Override PartName="/word/media/rId94.png" ContentType="image/png"/>
  <Override PartName="/word/media/rId97.png" ContentType="image/png"/>
  <Override PartName="/word/media/rId164.png" ContentType="image/png"/>
  <Override PartName="/word/media/rId167.png" ContentType="image/png"/>
  <Override PartName="/word/media/rId170.png" ContentType="image/png"/>
  <Override PartName="/word/media/rId173.png" ContentType="image/png"/>
  <Override PartName="/word/media/rId176.png" ContentType="image/png"/>
  <Override PartName="/word/media/rId179.png" ContentType="image/png"/>
  <Override PartName="/word/media/rId182.png" ContentType="image/png"/>
  <Override PartName="/word/media/rId136.png" ContentType="image/png"/>
  <Override PartName="/word/media/rId26.png" ContentType="image/png"/>
  <Override PartName="/word/media/rId139.png" ContentType="image/png"/>
  <Override PartName="/word/media/rId23.png" ContentType="image/png"/>
  <Override PartName="/word/media/rId41.png" ContentType="image/png"/>
  <Override PartName="/word/media/rId115.png" ContentType="image/png"/>
  <Override PartName="/word/media/rId118.png" ContentType="image/png"/>
  <Override PartName="/word/media/rId44.png" ContentType="image/png"/>
  <Override PartName="/word/media/rId121.png" ContentType="image/png"/>
  <Override PartName="/word/media/rId190.png" ContentType="image/png"/>
  <Override PartName="/word/media/rId193.png" ContentType="image/png"/>
  <Override PartName="/word/media/rId196.png" ContentType="image/png"/>
  <Override PartName="/word/media/rId53.png" ContentType="image/png"/>
  <Override PartName="/word/media/rId56.png" ContentType="image/png"/>
  <Override PartName="/word/media/rId60.png" ContentType="image/png"/>
  <Override PartName="/word/media/rId63.png" ContentType="image/png"/>
  <Override PartName="/word/media/rId67.png" ContentType="image/png"/>
  <Override PartName="/word/media/rId70.png" ContentType="image/png"/>
  <Override PartName="/word/media/rId75.png" ContentType="image/png"/>
  <Override PartName="/word/media/rId78.png" ContentType="image/png"/>
  <Override PartName="/word/media/rId83.png" ContentType="image/png"/>
  <Override PartName="/word/media/rId86.png" ContentType="image/png"/>
  <Override PartName="/word/media/rId89.png" ContentType="image/png"/>
  <Override PartName="/word/media/rId124.png" ContentType="image/png"/>
  <Override PartName="/word/media/rId143.png" ContentType="image/png"/>
  <Override PartName="/word/media/rId146.png" ContentType="image/png"/>
  <Override PartName="/word/media/rId149.png" ContentType="image/png"/>
  <Override PartName="/word/media/rId153.png" ContentType="image/png"/>
  <Override PartName="/word/media/rId156.png" ContentType="image/png"/>
  <Override PartName="/word/media/rId1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SEARCH</w:t>
      </w:r>
      <w:r>
        <w:t xml:space="preserve"> </w:t>
      </w:r>
      <w:r>
        <w:t xml:space="preserve">Hypertension</w:t>
      </w:r>
      <w:r>
        <w:t xml:space="preserve"> </w:t>
      </w:r>
      <w:r>
        <w:t xml:space="preserve">Modelling</w:t>
      </w:r>
      <w:r>
        <w:t xml:space="preserve"> </w:t>
      </w:r>
      <w:r>
        <w:t xml:space="preserve">with</w:t>
      </w:r>
      <w:r>
        <w:t xml:space="preserve"> </w:t>
      </w:r>
      <w:r>
        <w:t xml:space="preserve">HIV</w:t>
      </w:r>
      <w:r>
        <w:t xml:space="preserve"> </w:t>
      </w:r>
      <w:r>
        <w:t xml:space="preserve">Synthesis</w:t>
      </w:r>
    </w:p>
    <w:p>
      <w:pPr>
        <w:pStyle w:val="Author"/>
      </w:pPr>
      <w:r>
        <w:t xml:space="preserve">Matt</w:t>
      </w:r>
      <w:r>
        <w:t xml:space="preserve"> </w:t>
      </w:r>
      <w:r>
        <w:t xml:space="preserve">Hickey</w:t>
      </w:r>
    </w:p>
    <w:p>
      <w:pPr>
        <w:pStyle w:val="Date"/>
      </w:pPr>
      <w:r>
        <w:t xml:space="preserve">23</w:t>
      </w:r>
      <w:r>
        <w:t xml:space="preserve"> </w:t>
      </w:r>
      <w:r>
        <w:t xml:space="preserve">August,</w:t>
      </w:r>
      <w:r>
        <w:t xml:space="preserve"> </w:t>
      </w:r>
      <w:r>
        <w:t xml:space="preserve">2023</w:t>
      </w:r>
    </w:p>
    <w:bookmarkStart w:id="93" w:name="X845cdeb10f8f038f3b8f523b506d0b3242a2f80"/>
    <w:p>
      <w:pPr>
        <w:pStyle w:val="Heading1"/>
      </w:pPr>
      <w:r>
        <w:t xml:space="preserve">Comparison of model output in 2015 to data from the literature</w:t>
      </w:r>
    </w:p>
    <w:p>
      <w:pPr>
        <w:pStyle w:val="FirstParagraph"/>
      </w:pPr>
      <w:r>
        <w:t xml:space="preserve">Based on 3000 model runs</w:t>
      </w:r>
    </w:p>
    <w:bookmarkStart w:id="20" w:name="definitions"/>
    <w:p>
      <w:pPr>
        <w:pStyle w:val="Heading2"/>
      </w:pPr>
      <w:r>
        <w:t xml:space="preserve">Definitions</w:t>
      </w:r>
    </w:p>
    <w:p>
      <w:pPr>
        <w:pStyle w:val="FirstParagraph"/>
      </w:pPr>
      <w:r>
        <w:t xml:space="preserve">SOC = Standard of Care (Synthesis model output)</w:t>
      </w:r>
      <w:r>
        <w:br/>
      </w:r>
      <w:r>
        <w:t xml:space="preserve">GBD = Global Burden of Disease data</w:t>
      </w:r>
    </w:p>
    <w:bookmarkEnd w:id="20"/>
    <w:bookmarkStart w:id="22" w:name="data-sources"/>
    <w:p>
      <w:pPr>
        <w:pStyle w:val="Heading2"/>
      </w:pPr>
      <w:r>
        <w:t xml:space="preserve">Data Sources</w:t>
      </w:r>
    </w:p>
    <w:p>
      <w:pPr>
        <w:pStyle w:val="FirstParagraph"/>
      </w:pPr>
      <w:r>
        <w:t xml:space="preserve">Hypertension prevalence, diagnosis, treatment, and control using STEPS survey data from 15 countries in sub-Saharan Africa (2005-2015; Geldsetzer Lancet 2019)</w:t>
      </w:r>
    </w:p>
    <w:p>
      <w:pPr>
        <w:pStyle w:val="BodyText"/>
      </w:pPr>
      <w:r>
        <w:t xml:space="preserve">Systolic blood pressure for men and women based on 2015 Global Burden of Disease survey data as published in Forouzanfar MH, Liu P, Roth GA, et al. Global Burden of Hypertension and Systolic Blood Pressure of at Least 110 to 115 mm Hg, 1990-2015. JAMA. 2017;317(2):165-182.</w:t>
      </w:r>
      <w:r>
        <w:t xml:space="preserve"> </w:t>
      </w:r>
      <w:hyperlink r:id="rId21">
        <w:r>
          <w:rPr>
            <w:rStyle w:val="Hyperlink"/>
          </w:rPr>
          <w:t xml:space="preserve">doi:10.1001/jama.2016.19043</w:t>
        </w:r>
      </w:hyperlink>
    </w:p>
    <w:bookmarkEnd w:id="22"/>
    <w:bookmarkStart w:id="29" w:name="sbp-increase-with-age"/>
    <w:p>
      <w:pPr>
        <w:pStyle w:val="Heading2"/>
      </w:pPr>
      <w:r>
        <w:t xml:space="preserve">SBP Increase with Age</w:t>
      </w:r>
    </w:p>
    <w:p>
      <w:pPr>
        <w:pStyle w:val="FirstParagraph"/>
      </w:pPr>
      <w:r>
        <w:drawing>
          <wp:inline>
            <wp:extent cx="5334000" cy="3556000"/>
            <wp:effectExtent b="0" l="0" r="0" t="0"/>
            <wp:docPr descr="" title="" id="24" name="Picture"/>
            <a:graphic>
              <a:graphicData uri="http://schemas.openxmlformats.org/drawingml/2006/picture">
                <pic:pic>
                  <pic:nvPicPr>
                    <pic:cNvPr descr="supplement_files/figure-docx/graph_sbp_w-1.png" id="25" name="Picture"/>
                    <pic:cNvPicPr>
                      <a:picLocks noChangeArrowheads="1" noChangeAspect="1"/>
                    </pic:cNvPicPr>
                  </pic:nvPicPr>
                  <pic:blipFill>
                    <a:blip r:embed="rId23"/>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27" name="Picture"/>
            <a:graphic>
              <a:graphicData uri="http://schemas.openxmlformats.org/drawingml/2006/picture">
                <pic:pic>
                  <pic:nvPicPr>
                    <pic:cNvPr descr="supplement_files/figure-docx/graph_sbp_m-1.png" id="28" name="Picture"/>
                    <pic:cNvPicPr>
                      <a:picLocks noChangeArrowheads="1" noChangeAspect="1"/>
                    </pic:cNvPicPr>
                  </pic:nvPicPr>
                  <pic:blipFill>
                    <a:blip r:embed="rId26"/>
                    <a:stretch>
                      <a:fillRect/>
                    </a:stretch>
                  </pic:blipFill>
                  <pic:spPr bwMode="auto">
                    <a:xfrm>
                      <a:off x="0" y="0"/>
                      <a:ext cx="5334000" cy="3556000"/>
                    </a:xfrm>
                    <a:prstGeom prst="rect">
                      <a:avLst/>
                    </a:prstGeom>
                    <a:noFill/>
                    <a:ln w="9525">
                      <a:noFill/>
                      <a:headEnd/>
                      <a:tailEnd/>
                    </a:ln>
                  </pic:spPr>
                </pic:pic>
              </a:graphicData>
            </a:graphic>
          </wp:inline>
        </w:drawing>
      </w:r>
    </w:p>
    <w:bookmarkEnd w:id="29"/>
    <w:bookmarkStart w:id="36" w:name="hypertension-prevalence"/>
    <w:p>
      <w:pPr>
        <w:pStyle w:val="Heading2"/>
      </w:pPr>
      <w:r>
        <w:t xml:space="preserve">Hypertension Prevalence</w:t>
      </w:r>
    </w:p>
    <w:p>
      <w:pPr>
        <w:pStyle w:val="FirstParagraph"/>
      </w:pPr>
      <w:r>
        <w:t xml:space="preserve">Hypertension defined as true SBP &gt;=140 mmHg, regardless of whether measured.</w:t>
      </w:r>
    </w:p>
    <w:p>
      <w:pPr>
        <w:pStyle w:val="BodyText"/>
      </w:pPr>
      <w:r>
        <w:drawing>
          <wp:inline>
            <wp:extent cx="5334000" cy="3556000"/>
            <wp:effectExtent b="0" l="0" r="0" t="0"/>
            <wp:docPr descr="" title="" id="31" name="Picture"/>
            <a:graphic>
              <a:graphicData uri="http://schemas.openxmlformats.org/drawingml/2006/picture">
                <pic:pic>
                  <pic:nvPicPr>
                    <pic:cNvPr descr="supplement_files/figure-docx/graph_htn-1.png" id="32" name="Picture"/>
                    <pic:cNvPicPr>
                      <a:picLocks noChangeArrowheads="1" noChangeAspect="1"/>
                    </pic:cNvPicPr>
                  </pic:nvPicPr>
                  <pic:blipFill>
                    <a:blip r:embed="rId30"/>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34" name="Picture"/>
            <a:graphic>
              <a:graphicData uri="http://schemas.openxmlformats.org/drawingml/2006/picture">
                <pic:pic>
                  <pic:nvPicPr>
                    <pic:cNvPr descr="supplement_files/figure-docx/graph_htn-2.png" id="35"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6"/>
    <w:bookmarkStart w:id="40" w:name="hypertension-diagnosis"/>
    <w:p>
      <w:pPr>
        <w:pStyle w:val="Heading2"/>
      </w:pPr>
      <w:r>
        <w:t xml:space="preserve">Hypertension Diagnosis</w:t>
      </w:r>
    </w:p>
    <w:p>
      <w:pPr>
        <w:numPr>
          <w:ilvl w:val="0"/>
          <w:numId w:val="1001"/>
        </w:numPr>
      </w:pPr>
      <w:r>
        <w:t xml:space="preserve">Measured SBP value if measured: true SBP + random error with SD 10 mmHg</w:t>
      </w:r>
    </w:p>
    <w:p>
      <w:pPr>
        <w:numPr>
          <w:ilvl w:val="0"/>
          <w:numId w:val="1001"/>
        </w:numPr>
      </w:pPr>
      <w:r>
        <w:t xml:space="preserve">Hypertension diagnosis made if any of the following:</w:t>
      </w:r>
    </w:p>
    <w:p>
      <w:pPr>
        <w:numPr>
          <w:ilvl w:val="1"/>
          <w:numId w:val="1002"/>
        </w:numPr>
        <w:pStyle w:val="Compact"/>
      </w:pPr>
      <w:r>
        <w:t xml:space="preserve">measured SBP &gt;=140 mmHg on two consecutive clinic visits</w:t>
      </w:r>
    </w:p>
    <w:p>
      <w:pPr>
        <w:numPr>
          <w:ilvl w:val="1"/>
          <w:numId w:val="1002"/>
        </w:numPr>
        <w:pStyle w:val="Compact"/>
      </w:pPr>
      <w:r>
        <w:t xml:space="preserve">measured SBP &gt;=160 mmHg once</w:t>
      </w:r>
    </w:p>
    <w:p>
      <w:pPr>
        <w:numPr>
          <w:ilvl w:val="1"/>
          <w:numId w:val="1002"/>
        </w:numPr>
        <w:pStyle w:val="Compact"/>
      </w:pPr>
      <w:r>
        <w:t xml:space="preserve">started on antihypertensive medication (see Hypertension Treatment section below)</w:t>
      </w:r>
    </w:p>
    <w:p>
      <w:pPr>
        <w:pStyle w:val="FirstParagraph"/>
      </w:pPr>
      <w:r>
        <w:drawing>
          <wp:inline>
            <wp:extent cx="5334000" cy="3556000"/>
            <wp:effectExtent b="0" l="0" r="0" t="0"/>
            <wp:docPr descr="" title="" id="38" name="Picture"/>
            <a:graphic>
              <a:graphicData uri="http://schemas.openxmlformats.org/drawingml/2006/picture">
                <pic:pic>
                  <pic:nvPicPr>
                    <pic:cNvPr descr="supplement_files/figure-docx/graph_dx-1.png" id="39" name="Picture"/>
                    <pic:cNvPicPr>
                      <a:picLocks noChangeArrowheads="1" noChangeAspect="1"/>
                    </pic:cNvPicPr>
                  </pic:nvPicPr>
                  <pic:blipFill>
                    <a:blip r:embed="rId37"/>
                    <a:stretch>
                      <a:fillRect/>
                    </a:stretch>
                  </pic:blipFill>
                  <pic:spPr bwMode="auto">
                    <a:xfrm>
                      <a:off x="0" y="0"/>
                      <a:ext cx="5334000" cy="3556000"/>
                    </a:xfrm>
                    <a:prstGeom prst="rect">
                      <a:avLst/>
                    </a:prstGeom>
                    <a:noFill/>
                    <a:ln w="9525">
                      <a:noFill/>
                      <a:headEnd/>
                      <a:tailEnd/>
                    </a:ln>
                  </pic:spPr>
                </pic:pic>
              </a:graphicData>
            </a:graphic>
          </wp:inline>
        </w:drawing>
      </w:r>
    </w:p>
    <w:bookmarkEnd w:id="40"/>
    <w:bookmarkStart w:id="47" w:name="hypertension-treatment"/>
    <w:p>
      <w:pPr>
        <w:pStyle w:val="Heading2"/>
      </w:pPr>
      <w:r>
        <w:t xml:space="preserve">Hypertension Treatment</w:t>
      </w:r>
    </w:p>
    <w:p>
      <w:pPr>
        <w:pStyle w:val="FirstParagraph"/>
      </w:pPr>
      <w:r>
        <w:t xml:space="preserve">Defined as currently taking antihypertensive medications.</w:t>
      </w:r>
      <w:r>
        <w:t xml:space="preserve"> </w:t>
      </w:r>
      <w:r>
        <w:drawing>
          <wp:inline>
            <wp:extent cx="5334000" cy="3556000"/>
            <wp:effectExtent b="0" l="0" r="0" t="0"/>
            <wp:docPr descr="" title="" id="42" name="Picture"/>
            <a:graphic>
              <a:graphicData uri="http://schemas.openxmlformats.org/drawingml/2006/picture">
                <pic:pic>
                  <pic:nvPicPr>
                    <pic:cNvPr descr="supplement_files/figure-docx/graph_tx_curr-1.png" id="43" name="Picture"/>
                    <pic:cNvPicPr>
                      <a:picLocks noChangeArrowheads="1" noChangeAspect="1"/>
                    </pic:cNvPicPr>
                  </pic:nvPicPr>
                  <pic:blipFill>
                    <a:blip r:embed="rId41"/>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 </w:t>
      </w:r>
      <w:r>
        <w:rPr>
          <w:bCs/>
          <w:b/>
        </w:rPr>
        <w:t xml:space="preserve">Note:</w:t>
      </w:r>
      <w:r>
        <w:t xml:space="preserve"> </w:t>
      </w:r>
      <w:r>
        <w:t xml:space="preserve">The model considers treatment to be on medications and adherent to those medications. Real-world data is based on self-report of treatment and may include some who report taking medications but are non-adherent.</w:t>
      </w:r>
      <w:r>
        <w:t xml:space="preserve"> </w:t>
      </w:r>
    </w:p>
    <w:p>
      <w:pPr>
        <w:pStyle w:val="BodyText"/>
      </w:pPr>
      <w:r>
        <w:t xml:space="preserve">Geldsetzer Lancet 2019 includes country-specific data on 13 countries in SSA with data on medication treatment and reports an overall prevalence of pharmacologic hypertension treatment of 13.0% (95% CI 12.0-14.2%) when weighting countries by population size.</w:t>
      </w:r>
    </w:p>
    <w:p>
      <w:pPr>
        <w:pStyle w:val="BodyText"/>
      </w:pPr>
      <w:r>
        <w:t xml:space="preserve">country</w:t>
      </w:r>
    </w:p>
    <w:p>
      <w:pPr>
        <w:pStyle w:val="BodyText"/>
      </w:pPr>
      <w:r>
        <w:t xml:space="preserve">tx</w:t>
      </w:r>
    </w:p>
    <w:p>
      <w:pPr>
        <w:pStyle w:val="BodyText"/>
      </w:pPr>
      <w:r>
        <w:t xml:space="preserve">tx_95ci</w:t>
      </w:r>
    </w:p>
    <w:p>
      <w:pPr>
        <w:pStyle w:val="BodyText"/>
      </w:pPr>
      <w:r>
        <w:t xml:space="preserve">Tanzania</w:t>
      </w:r>
    </w:p>
    <w:p>
      <w:pPr>
        <w:pStyle w:val="BodyText"/>
      </w:pPr>
      <w:r>
        <w:t xml:space="preserve">6%</w:t>
      </w:r>
    </w:p>
    <w:p>
      <w:pPr>
        <w:pStyle w:val="BodyText"/>
      </w:pPr>
      <w:r>
        <w:t xml:space="preserve">(4.9-8.4)</w:t>
      </w:r>
    </w:p>
    <w:p>
      <w:pPr>
        <w:pStyle w:val="BodyText"/>
      </w:pPr>
      <w:r>
        <w:t xml:space="preserve">Mozambique</w:t>
      </w:r>
    </w:p>
    <w:p>
      <w:pPr>
        <w:pStyle w:val="BodyText"/>
      </w:pPr>
      <w:r>
        <w:t xml:space="preserve">7%</w:t>
      </w:r>
    </w:p>
    <w:p>
      <w:pPr>
        <w:pStyle w:val="BodyText"/>
      </w:pPr>
      <w:r>
        <w:t xml:space="preserve">(4.4-9.6)</w:t>
      </w:r>
    </w:p>
    <w:p>
      <w:pPr>
        <w:pStyle w:val="BodyText"/>
      </w:pPr>
      <w:r>
        <w:t xml:space="preserve">Uganda</w:t>
      </w:r>
    </w:p>
    <w:p>
      <w:pPr>
        <w:pStyle w:val="BodyText"/>
      </w:pPr>
      <w:r>
        <w:t xml:space="preserve">8%</w:t>
      </w:r>
    </w:p>
    <w:p>
      <w:pPr>
        <w:pStyle w:val="BodyText"/>
      </w:pPr>
      <w:r>
        <w:t xml:space="preserve">(5.8-9.5)</w:t>
      </w:r>
    </w:p>
    <w:p>
      <w:pPr>
        <w:pStyle w:val="BodyText"/>
      </w:pPr>
      <w:r>
        <w:t xml:space="preserve">Kenya</w:t>
      </w:r>
    </w:p>
    <w:p>
      <w:pPr>
        <w:pStyle w:val="BodyText"/>
      </w:pPr>
      <w:r>
        <w:t xml:space="preserve">8%</w:t>
      </w:r>
    </w:p>
    <w:p>
      <w:pPr>
        <w:pStyle w:val="BodyText"/>
      </w:pPr>
      <w:r>
        <w:t xml:space="preserve">(5.8-10.1)</w:t>
      </w:r>
    </w:p>
    <w:p>
      <w:pPr>
        <w:pStyle w:val="BodyText"/>
      </w:pPr>
      <w:r>
        <w:t xml:space="preserve">Togo</w:t>
      </w:r>
    </w:p>
    <w:p>
      <w:pPr>
        <w:pStyle w:val="BodyText"/>
      </w:pPr>
      <w:r>
        <w:t xml:space="preserve">8%</w:t>
      </w:r>
    </w:p>
    <w:p>
      <w:pPr>
        <w:pStyle w:val="BodyText"/>
      </w:pPr>
      <w:r>
        <w:t xml:space="preserve">(5.7-11.1)</w:t>
      </w:r>
    </w:p>
    <w:p>
      <w:pPr>
        <w:pStyle w:val="BodyText"/>
      </w:pPr>
      <w:r>
        <w:t xml:space="preserve">BurkinaFaso</w:t>
      </w:r>
    </w:p>
    <w:p>
      <w:pPr>
        <w:pStyle w:val="BodyText"/>
      </w:pPr>
      <w:r>
        <w:t xml:space="preserve">9%</w:t>
      </w:r>
    </w:p>
    <w:p>
      <w:pPr>
        <w:pStyle w:val="BodyText"/>
      </w:pPr>
      <w:r>
        <w:t xml:space="preserve">(6.9-11.9)</w:t>
      </w:r>
    </w:p>
    <w:p>
      <w:pPr>
        <w:pStyle w:val="BodyText"/>
      </w:pPr>
      <w:r>
        <w:t xml:space="preserve">Ghana</w:t>
      </w:r>
    </w:p>
    <w:p>
      <w:pPr>
        <w:pStyle w:val="BodyText"/>
      </w:pPr>
      <w:r>
        <w:t xml:space="preserve">10%</w:t>
      </w:r>
    </w:p>
    <w:p>
      <w:pPr>
        <w:pStyle w:val="BodyText"/>
      </w:pPr>
      <w:r>
        <w:t xml:space="preserve">(7.3-13.4)</w:t>
      </w:r>
    </w:p>
    <w:p>
      <w:pPr>
        <w:pStyle w:val="BodyText"/>
      </w:pPr>
      <w:r>
        <w:t xml:space="preserve">Benin</w:t>
      </w:r>
    </w:p>
    <w:p>
      <w:pPr>
        <w:pStyle w:val="BodyText"/>
      </w:pPr>
      <w:r>
        <w:t xml:space="preserve">15%</w:t>
      </w:r>
    </w:p>
    <w:p>
      <w:pPr>
        <w:pStyle w:val="BodyText"/>
      </w:pPr>
      <w:r>
        <w:t xml:space="preserve">(12.6-17.6)</w:t>
      </w:r>
    </w:p>
    <w:p>
      <w:pPr>
        <w:pStyle w:val="BodyText"/>
      </w:pPr>
      <w:r>
        <w:t xml:space="preserve">Liberia</w:t>
      </w:r>
    </w:p>
    <w:p>
      <w:pPr>
        <w:pStyle w:val="BodyText"/>
      </w:pPr>
      <w:r>
        <w:t xml:space="preserve">16%</w:t>
      </w:r>
    </w:p>
    <w:p>
      <w:pPr>
        <w:pStyle w:val="BodyText"/>
      </w:pPr>
      <w:r>
        <w:t xml:space="preserve">(12.6-19.4)</w:t>
      </w:r>
    </w:p>
    <w:p>
      <w:pPr>
        <w:pStyle w:val="BodyText"/>
      </w:pPr>
      <w:r>
        <w:t xml:space="preserve">Swaziland</w:t>
      </w:r>
    </w:p>
    <w:p>
      <w:pPr>
        <w:pStyle w:val="BodyText"/>
      </w:pPr>
      <w:r>
        <w:t xml:space="preserve">21%</w:t>
      </w:r>
    </w:p>
    <w:p>
      <w:pPr>
        <w:pStyle w:val="BodyText"/>
      </w:pPr>
      <w:r>
        <w:t xml:space="preserve">(17.5-24.8)</w:t>
      </w:r>
    </w:p>
    <w:p>
      <w:pPr>
        <w:pStyle w:val="BodyText"/>
      </w:pPr>
      <w:r>
        <w:t xml:space="preserve">SouthAfrica</w:t>
      </w:r>
    </w:p>
    <w:p>
      <w:pPr>
        <w:pStyle w:val="BodyText"/>
      </w:pPr>
      <w:r>
        <w:t xml:space="preserve">28%</w:t>
      </w:r>
    </w:p>
    <w:p>
      <w:pPr>
        <w:pStyle w:val="BodyText"/>
      </w:pPr>
      <w:r>
        <w:t xml:space="preserve">(24.4-30.7)</w:t>
      </w:r>
    </w:p>
    <w:p>
      <w:pPr>
        <w:pStyle w:val="BodyText"/>
      </w:pPr>
      <w:r>
        <w:t xml:space="preserve">Lesotho</w:t>
      </w:r>
    </w:p>
    <w:p>
      <w:pPr>
        <w:pStyle w:val="BodyText"/>
      </w:pPr>
      <w:r>
        <w:t xml:space="preserve">37%</w:t>
      </w:r>
    </w:p>
    <w:p>
      <w:pPr>
        <w:pStyle w:val="BodyText"/>
      </w:pPr>
      <w:r>
        <w:t xml:space="preserve">(33.6-40.9)</w:t>
      </w:r>
    </w:p>
    <w:p>
      <w:pPr>
        <w:pStyle w:val="BodyText"/>
      </w:pPr>
      <w:r>
        <w:t xml:space="preserve">Namibia</w:t>
      </w:r>
    </w:p>
    <w:p>
      <w:pPr>
        <w:pStyle w:val="BodyText"/>
      </w:pPr>
      <w:r>
        <w:t xml:space="preserve">39%</w:t>
      </w:r>
    </w:p>
    <w:p>
      <w:pPr>
        <w:pStyle w:val="BodyText"/>
      </w:pPr>
      <w:r>
        <w:t xml:space="preserve">(35.9-42.1)</w:t>
      </w:r>
    </w:p>
    <w:p>
      <w:pPr>
        <w:pStyle w:val="BodyText"/>
      </w:pPr>
      <w:r>
        <w:t xml:space="preserve">Proportion on treatment in SSA from other literature:</w:t>
      </w:r>
    </w:p>
    <w:p>
      <w:pPr>
        <w:numPr>
          <w:ilvl w:val="0"/>
          <w:numId w:val="1003"/>
        </w:numPr>
        <w:pStyle w:val="Compact"/>
      </w:pPr>
      <w:r>
        <w:t xml:space="preserve">18% (2005; Ataklte Hypertens 2015)</w:t>
      </w:r>
    </w:p>
    <w:p>
      <w:pPr>
        <w:numPr>
          <w:ilvl w:val="0"/>
          <w:numId w:val="1003"/>
        </w:numPr>
        <w:pStyle w:val="Compact"/>
      </w:pPr>
      <w:r>
        <w:t xml:space="preserve">8% (2015; Kenya STEPS)</w:t>
      </w:r>
    </w:p>
    <w:p>
      <w:pPr>
        <w:pStyle w:val="FirstParagraph"/>
      </w:pPr>
      <w:r>
        <w:t xml:space="preserve">Defined as ever taking antihypertensive medications.</w:t>
      </w:r>
      <w:r>
        <w:t xml:space="preserve"> </w:t>
      </w:r>
      <w:r>
        <w:drawing>
          <wp:inline>
            <wp:extent cx="5334000" cy="3556000"/>
            <wp:effectExtent b="0" l="0" r="0" t="0"/>
            <wp:docPr descr="" title="" id="45" name="Picture"/>
            <a:graphic>
              <a:graphicData uri="http://schemas.openxmlformats.org/drawingml/2006/picture">
                <pic:pic>
                  <pic:nvPicPr>
                    <pic:cNvPr descr="supplement_files/figure-docx/graph_tx_ever-1.png" id="46"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bookmarkEnd w:id="47"/>
    <w:bookmarkStart w:id="51" w:name="hypertension-control"/>
    <w:p>
      <w:pPr>
        <w:pStyle w:val="Heading2"/>
      </w:pPr>
      <w:r>
        <w:t xml:space="preserve">Hypertension Control</w:t>
      </w:r>
    </w:p>
    <w:p>
      <w:pPr>
        <w:numPr>
          <w:ilvl w:val="0"/>
          <w:numId w:val="1004"/>
        </w:numPr>
        <w:pStyle w:val="Compact"/>
      </w:pPr>
      <w:r>
        <w:t xml:space="preserve">Control defined as current true SBP &lt;140 among persons with maximum SBP &gt;=140 (pre-treatment)</w:t>
      </w:r>
    </w:p>
    <w:p>
      <w:pPr>
        <w:pStyle w:val="FirstParagraph"/>
      </w:pPr>
      <w:r>
        <w:drawing>
          <wp:inline>
            <wp:extent cx="5334000" cy="3556000"/>
            <wp:effectExtent b="0" l="0" r="0" t="0"/>
            <wp:docPr descr="" title="" id="49" name="Picture"/>
            <a:graphic>
              <a:graphicData uri="http://schemas.openxmlformats.org/drawingml/2006/picture">
                <pic:pic>
                  <pic:nvPicPr>
                    <pic:cNvPr descr="supplement_files/figure-docx/graph_ctrl-1.png" id="50" name="Picture"/>
                    <pic:cNvPicPr>
                      <a:picLocks noChangeArrowheads="1" noChangeAspect="1"/>
                    </pic:cNvPicPr>
                  </pic:nvPicPr>
                  <pic:blipFill>
                    <a:blip r:embed="rId4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Geldsetzer Lancet 2019 includes country-specific data on 13 countries in SSA with data on hypertension control and reports an overall prevalence of hypertension control (&lt;140/90 mmHg) of 4.3% (95% CI 3.6- 4.9%).</w:t>
      </w:r>
    </w:p>
    <w:p>
      <w:pPr>
        <w:pStyle w:val="BodyText"/>
      </w:pPr>
      <w:r>
        <w:t xml:space="preserve">country</w:t>
      </w:r>
    </w:p>
    <w:p>
      <w:pPr>
        <w:pStyle w:val="BodyText"/>
      </w:pPr>
      <w:r>
        <w:t xml:space="preserve">control</w:t>
      </w:r>
    </w:p>
    <w:p>
      <w:pPr>
        <w:pStyle w:val="BodyText"/>
      </w:pPr>
      <w:r>
        <w:t xml:space="preserve">control_95ci</w:t>
      </w:r>
    </w:p>
    <w:p>
      <w:pPr>
        <w:pStyle w:val="BodyText"/>
      </w:pPr>
      <w:r>
        <w:t xml:space="preserve">Ghana</w:t>
      </w:r>
    </w:p>
    <w:p>
      <w:pPr>
        <w:pStyle w:val="BodyText"/>
      </w:pPr>
      <w:r>
        <w:t xml:space="preserve">2%</w:t>
      </w:r>
    </w:p>
    <w:p>
      <w:pPr>
        <w:pStyle w:val="BodyText"/>
      </w:pPr>
      <w:r>
        <w:t xml:space="preserve">(1.2-3.5)</w:t>
      </w:r>
    </w:p>
    <w:p>
      <w:pPr>
        <w:pStyle w:val="BodyText"/>
      </w:pPr>
      <w:r>
        <w:t xml:space="preserve">Tanzania</w:t>
      </w:r>
    </w:p>
    <w:p>
      <w:pPr>
        <w:pStyle w:val="BodyText"/>
      </w:pPr>
      <w:r>
        <w:t xml:space="preserve">2%</w:t>
      </w:r>
    </w:p>
    <w:p>
      <w:pPr>
        <w:pStyle w:val="BodyText"/>
      </w:pPr>
      <w:r>
        <w:t xml:space="preserve">(1.4-3.1)</w:t>
      </w:r>
    </w:p>
    <w:p>
      <w:pPr>
        <w:pStyle w:val="BodyText"/>
      </w:pPr>
      <w:r>
        <w:t xml:space="preserve">Uganda</w:t>
      </w:r>
    </w:p>
    <w:p>
      <w:pPr>
        <w:pStyle w:val="BodyText"/>
      </w:pPr>
      <w:r>
        <w:t xml:space="preserve">2%</w:t>
      </w:r>
    </w:p>
    <w:p>
      <w:pPr>
        <w:pStyle w:val="BodyText"/>
      </w:pPr>
      <w:r>
        <w:t xml:space="preserve">(1.5-3.4)</w:t>
      </w:r>
    </w:p>
    <w:p>
      <w:pPr>
        <w:pStyle w:val="BodyText"/>
      </w:pPr>
      <w:r>
        <w:t xml:space="preserve">Mozambique</w:t>
      </w:r>
    </w:p>
    <w:p>
      <w:pPr>
        <w:pStyle w:val="BodyText"/>
      </w:pPr>
      <w:r>
        <w:t xml:space="preserve">2%</w:t>
      </w:r>
    </w:p>
    <w:p>
      <w:pPr>
        <w:pStyle w:val="BodyText"/>
      </w:pPr>
      <w:r>
        <w:t xml:space="preserve">(1.4-3.7)</w:t>
      </w:r>
    </w:p>
    <w:p>
      <w:pPr>
        <w:pStyle w:val="BodyText"/>
      </w:pPr>
      <w:r>
        <w:t xml:space="preserve">Kenya</w:t>
      </w:r>
    </w:p>
    <w:p>
      <w:pPr>
        <w:pStyle w:val="BodyText"/>
      </w:pPr>
      <w:r>
        <w:t xml:space="preserve">3%</w:t>
      </w:r>
    </w:p>
    <w:p>
      <w:pPr>
        <w:pStyle w:val="BodyText"/>
      </w:pPr>
      <w:r>
        <w:t xml:space="preserve">(1.3-5.0)</w:t>
      </w:r>
    </w:p>
    <w:p>
      <w:pPr>
        <w:pStyle w:val="BodyText"/>
      </w:pPr>
      <w:r>
        <w:t xml:space="preserve">Togo</w:t>
      </w:r>
    </w:p>
    <w:p>
      <w:pPr>
        <w:pStyle w:val="BodyText"/>
      </w:pPr>
      <w:r>
        <w:t xml:space="preserve">3%</w:t>
      </w:r>
    </w:p>
    <w:p>
      <w:pPr>
        <w:pStyle w:val="BodyText"/>
      </w:pPr>
      <w:r>
        <w:t xml:space="preserve">(1.9-5.4)</w:t>
      </w:r>
    </w:p>
    <w:p>
      <w:pPr>
        <w:pStyle w:val="BodyText"/>
      </w:pPr>
      <w:r>
        <w:t xml:space="preserve">BurkinaFaso</w:t>
      </w:r>
    </w:p>
    <w:p>
      <w:pPr>
        <w:pStyle w:val="BodyText"/>
      </w:pPr>
      <w:r>
        <w:t xml:space="preserve">4%</w:t>
      </w:r>
    </w:p>
    <w:p>
      <w:pPr>
        <w:pStyle w:val="BodyText"/>
      </w:pPr>
      <w:r>
        <w:t xml:space="preserve">(2.2-5.8)</w:t>
      </w:r>
    </w:p>
    <w:p>
      <w:pPr>
        <w:pStyle w:val="BodyText"/>
      </w:pPr>
      <w:r>
        <w:t xml:space="preserve">Benin</w:t>
      </w:r>
    </w:p>
    <w:p>
      <w:pPr>
        <w:pStyle w:val="BodyText"/>
      </w:pPr>
      <w:r>
        <w:t xml:space="preserve">4%</w:t>
      </w:r>
    </w:p>
    <w:p>
      <w:pPr>
        <w:pStyle w:val="BodyText"/>
      </w:pPr>
      <w:r>
        <w:t xml:space="preserve">(2.7-5.9)</w:t>
      </w:r>
    </w:p>
    <w:p>
      <w:pPr>
        <w:pStyle w:val="BodyText"/>
      </w:pPr>
      <w:r>
        <w:t xml:space="preserve">Liberia</w:t>
      </w:r>
    </w:p>
    <w:p>
      <w:pPr>
        <w:pStyle w:val="BodyText"/>
      </w:pPr>
      <w:r>
        <w:t xml:space="preserve">4%</w:t>
      </w:r>
    </w:p>
    <w:p>
      <w:pPr>
        <w:pStyle w:val="BodyText"/>
      </w:pPr>
      <w:r>
        <w:t xml:space="preserve">(2.7-6.0)</w:t>
      </w:r>
    </w:p>
    <w:p>
      <w:pPr>
        <w:pStyle w:val="BodyText"/>
      </w:pPr>
      <w:r>
        <w:t xml:space="preserve">Swaziland</w:t>
      </w:r>
    </w:p>
    <w:p>
      <w:pPr>
        <w:pStyle w:val="BodyText"/>
      </w:pPr>
      <w:r>
        <w:t xml:space="preserve">7%</w:t>
      </w:r>
    </w:p>
    <w:p>
      <w:pPr>
        <w:pStyle w:val="BodyText"/>
      </w:pPr>
      <w:r>
        <w:t xml:space="preserve">(4.1-9.7)</w:t>
      </w:r>
    </w:p>
    <w:p>
      <w:pPr>
        <w:pStyle w:val="BodyText"/>
      </w:pPr>
      <w:r>
        <w:t xml:space="preserve">SouthAfrica</w:t>
      </w:r>
    </w:p>
    <w:p>
      <w:pPr>
        <w:pStyle w:val="BodyText"/>
      </w:pPr>
      <w:r>
        <w:t xml:space="preserve">9%</w:t>
      </w:r>
    </w:p>
    <w:p>
      <w:pPr>
        <w:pStyle w:val="BodyText"/>
      </w:pPr>
      <w:r>
        <w:t xml:space="preserve">(6.9-11.5)</w:t>
      </w:r>
    </w:p>
    <w:p>
      <w:pPr>
        <w:pStyle w:val="BodyText"/>
      </w:pPr>
      <w:r>
        <w:t xml:space="preserve">Namibia</w:t>
      </w:r>
    </w:p>
    <w:p>
      <w:pPr>
        <w:pStyle w:val="BodyText"/>
      </w:pPr>
      <w:r>
        <w:t xml:space="preserve">17%</w:t>
      </w:r>
    </w:p>
    <w:p>
      <w:pPr>
        <w:pStyle w:val="BodyText"/>
      </w:pPr>
      <w:r>
        <w:t xml:space="preserve">(14.4-19.1)</w:t>
      </w:r>
    </w:p>
    <w:p>
      <w:pPr>
        <w:pStyle w:val="BodyText"/>
      </w:pPr>
      <w:r>
        <w:t xml:space="preserve">Lesotho</w:t>
      </w:r>
    </w:p>
    <w:p>
      <w:pPr>
        <w:pStyle w:val="BodyText"/>
      </w:pPr>
      <w:r>
        <w:t xml:space="preserve">19%</w:t>
      </w:r>
    </w:p>
    <w:p>
      <w:pPr>
        <w:pStyle w:val="BodyText"/>
      </w:pPr>
      <w:r>
        <w:t xml:space="preserve">(16.4-22.3)</w:t>
      </w:r>
    </w:p>
    <w:p>
      <w:pPr>
        <w:pStyle w:val="BodyText"/>
      </w:pPr>
      <w:r>
        <w:t xml:space="preserve">Proportion with controlled hypertension in SSA from other literature:</w:t>
      </w:r>
    </w:p>
    <w:p>
      <w:pPr>
        <w:numPr>
          <w:ilvl w:val="0"/>
          <w:numId w:val="1005"/>
        </w:numPr>
        <w:pStyle w:val="Compact"/>
      </w:pPr>
      <w:r>
        <w:t xml:space="preserve">7% (Ataklte Hypertens 2015)</w:t>
      </w:r>
    </w:p>
    <w:p>
      <w:pPr>
        <w:numPr>
          <w:ilvl w:val="0"/>
          <w:numId w:val="1005"/>
        </w:numPr>
        <w:pStyle w:val="Compact"/>
      </w:pPr>
      <w:r>
        <w:t xml:space="preserve">3% (Kenya STEPS)</w:t>
      </w:r>
    </w:p>
    <w:bookmarkEnd w:id="51"/>
    <w:bookmarkStart w:id="82" w:name="cvd-events"/>
    <w:p>
      <w:pPr>
        <w:pStyle w:val="Heading2"/>
      </w:pPr>
      <w:r>
        <w:t xml:space="preserve">CVD Events</w:t>
      </w:r>
    </w:p>
    <w:p>
      <w:pPr>
        <w:pStyle w:val="FirstParagraph"/>
      </w:pPr>
      <w:r>
        <w:rPr>
          <w:bCs/>
          <w:b/>
        </w:rPr>
        <w:t xml:space="preserve">Data source:</w:t>
      </w:r>
      <w:r>
        <w:t xml:space="preserve"> </w:t>
      </w:r>
      <w:r>
        <w:t xml:space="preserve">Global Burden of Disease Collaborative Network.</w:t>
      </w:r>
      <w:r>
        <w:t xml:space="preserve"> </w:t>
      </w:r>
      <w:r>
        <w:t xml:space="preserve">Global Burden of Disease Study 2019 (GBD 2019) Results.</w:t>
      </w:r>
      <w:r>
        <w:t xml:space="preserve"> </w:t>
      </w:r>
      <w:r>
        <w:t xml:space="preserve">Seattle, United States: Institute for Health Metrics and Evaluation (IHME), 2020.</w:t>
      </w:r>
      <w:r>
        <w:t xml:space="preserve"> </w:t>
      </w:r>
      <w:r>
        <w:t xml:space="preserve">Available from</w:t>
      </w:r>
      <w:r>
        <w:t xml:space="preserve"> </w:t>
      </w:r>
      <w:hyperlink r:id="rId52">
        <w:r>
          <w:rPr>
            <w:rStyle w:val="Hyperlink"/>
          </w:rPr>
          <w:t xml:space="preserve">https://vizhub.healthdata.org/gbd-results/</w:t>
        </w:r>
      </w:hyperlink>
      <w:r>
        <w:t xml:space="preserve">.</w:t>
      </w:r>
    </w:p>
    <w:bookmarkStart w:id="59" w:name="Xd24fce35d6448c8162c4731444233b79f66d1a7"/>
    <w:p>
      <w:pPr>
        <w:pStyle w:val="Heading3"/>
      </w:pPr>
      <w:r>
        <w:t xml:space="preserve">Incidence of Ischemic Heart Disease (moderate/severe events only)</w:t>
      </w:r>
    </w:p>
    <w:p>
      <w:pPr>
        <w:pStyle w:val="FirstParagraph"/>
      </w:pPr>
      <w:r>
        <w:t xml:space="preserve">Incidence of ischemic heart disease (angina and myocardial infarction(MI)) based on Global Burden of Disease data, assuming that angina/silent MI are under-ascertained, thus we compare incidence only of moderate/severe MI to available incidence data.</w:t>
      </w:r>
    </w:p>
    <w:p>
      <w:pPr>
        <w:pStyle w:val="BodyText"/>
      </w:pPr>
      <w:r>
        <w:drawing>
          <wp:inline>
            <wp:extent cx="5334000" cy="3556000"/>
            <wp:effectExtent b="0" l="0" r="0" t="0"/>
            <wp:docPr descr="" title="" id="54" name="Picture"/>
            <a:graphic>
              <a:graphicData uri="http://schemas.openxmlformats.org/drawingml/2006/picture">
                <pic:pic>
                  <pic:nvPicPr>
                    <pic:cNvPr descr="supplement_files/figure-docx/unnamed-chunk-1-1.png" id="55" name="Picture"/>
                    <pic:cNvPicPr>
                      <a:picLocks noChangeArrowheads="1" noChangeAspect="1"/>
                    </pic:cNvPicPr>
                  </pic:nvPicPr>
                  <pic:blipFill>
                    <a:blip r:embed="rId53"/>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57" name="Picture"/>
            <a:graphic>
              <a:graphicData uri="http://schemas.openxmlformats.org/drawingml/2006/picture">
                <pic:pic>
                  <pic:nvPicPr>
                    <pic:cNvPr descr="supplement_files/figure-docx/unnamed-chunk-1-2.png" id="58" name="Picture"/>
                    <pic:cNvPicPr>
                      <a:picLocks noChangeArrowheads="1" noChangeAspect="1"/>
                    </pic:cNvPicPr>
                  </pic:nvPicPr>
                  <pic:blipFill>
                    <a:blip r:embed="rId56"/>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VerbatimChar"/>
        </w:rPr>
        <w:t xml:space="preserve">## `summarise()` has grouped output by 'source', 'sex'. You can override using the</w:t>
      </w:r>
      <w:r>
        <w:br/>
      </w:r>
      <w:r>
        <w:rPr>
          <w:rStyle w:val="VerbatimChar"/>
        </w:rPr>
        <w:t xml:space="preserve">## `.groups` argument.</w:t>
      </w:r>
    </w:p>
    <w:p>
      <w:pPr>
        <w:pStyle w:val="FirstParagraph"/>
      </w:pPr>
      <w:r>
        <w:t xml:space="preserve">source</w:t>
      </w:r>
    </w:p>
    <w:p>
      <w:pPr>
        <w:pStyle w:val="BodyText"/>
      </w:pPr>
      <w:r>
        <w:t xml:space="preserve">sex</w:t>
      </w:r>
    </w:p>
    <w:p>
      <w:pPr>
        <w:pStyle w:val="BodyText"/>
      </w:pPr>
      <w:r>
        <w:t xml:space="preserve">age</w:t>
      </w:r>
    </w:p>
    <w:p>
      <w:pPr>
        <w:pStyle w:val="BodyText"/>
      </w:pPr>
      <w:r>
        <w:t xml:space="preserve">Incidence</w:t>
      </w:r>
    </w:p>
    <w:p>
      <w:pPr>
        <w:pStyle w:val="BodyText"/>
      </w:pPr>
      <w:r>
        <w:t xml:space="preserve">min</w:t>
      </w:r>
    </w:p>
    <w:p>
      <w:pPr>
        <w:pStyle w:val="BodyText"/>
      </w:pPr>
      <w:r>
        <w:t xml:space="preserve">Q1</w:t>
      </w:r>
    </w:p>
    <w:p>
      <w:pPr>
        <w:pStyle w:val="BodyText"/>
      </w:pPr>
      <w:r>
        <w:t xml:space="preserve">median</w:t>
      </w:r>
    </w:p>
    <w:p>
      <w:pPr>
        <w:pStyle w:val="BodyText"/>
      </w:pPr>
      <w:r>
        <w:t xml:space="preserve">Q3</w:t>
      </w:r>
    </w:p>
    <w:p>
      <w:pPr>
        <w:pStyle w:val="BodyText"/>
      </w:pPr>
      <w:r>
        <w:t xml:space="preserve">max</w:t>
      </w:r>
    </w:p>
    <w:p>
      <w:pPr>
        <w:pStyle w:val="BodyText"/>
      </w:pPr>
      <w:r>
        <w:t xml:space="preserve">SOC</w:t>
      </w:r>
    </w:p>
    <w:p>
      <w:pPr>
        <w:pStyle w:val="BodyText"/>
      </w:pPr>
      <w:r>
        <w:t xml:space="preserve">All</w:t>
      </w:r>
    </w:p>
    <w:p>
      <w:pPr>
        <w:pStyle w:val="BodyText"/>
      </w:pPr>
      <w:r>
        <w:t xml:space="preserve">18+</w:t>
      </w:r>
    </w:p>
    <w:p>
      <w:pPr>
        <w:pStyle w:val="BodyText"/>
      </w:pPr>
      <w:r>
        <w:t xml:space="preserve">0.20</w:t>
      </w:r>
    </w:p>
    <w:p>
      <w:pPr>
        <w:pStyle w:val="BodyText"/>
      </w:pPr>
      <w:r>
        <w:t xml:space="preserve">0.05</w:t>
      </w:r>
    </w:p>
    <w:p>
      <w:pPr>
        <w:pStyle w:val="BodyText"/>
      </w:pPr>
      <w:r>
        <w:t xml:space="preserve">0.15</w:t>
      </w:r>
    </w:p>
    <w:p>
      <w:pPr>
        <w:pStyle w:val="BodyText"/>
      </w:pPr>
      <w:r>
        <w:t xml:space="preserve">0.20</w:t>
      </w:r>
    </w:p>
    <w:p>
      <w:pPr>
        <w:pStyle w:val="BodyText"/>
      </w:pPr>
      <w:r>
        <w:t xml:space="preserve">0.24</w:t>
      </w:r>
    </w:p>
    <w:p>
      <w:pPr>
        <w:pStyle w:val="BodyText"/>
      </w:pPr>
      <w:r>
        <w:t xml:space="preserve">0.41</w:t>
      </w:r>
    </w:p>
    <w:p>
      <w:pPr>
        <w:pStyle w:val="BodyText"/>
      </w:pPr>
      <w:r>
        <w:t xml:space="preserve">SOC</w:t>
      </w:r>
    </w:p>
    <w:p>
      <w:pPr>
        <w:pStyle w:val="BodyText"/>
      </w:pPr>
      <w:r>
        <w:t xml:space="preserve">Female</w:t>
      </w:r>
    </w:p>
    <w:p>
      <w:pPr>
        <w:pStyle w:val="BodyText"/>
      </w:pPr>
      <w:r>
        <w:t xml:space="preserve">40-49</w:t>
      </w:r>
    </w:p>
    <w:p>
      <w:pPr>
        <w:pStyle w:val="BodyText"/>
      </w:pPr>
      <w:r>
        <w:t xml:space="preserve">0.09</w:t>
      </w:r>
    </w:p>
    <w:p>
      <w:pPr>
        <w:pStyle w:val="BodyText"/>
      </w:pPr>
      <w:r>
        <w:t xml:space="preserve">0.00</w:t>
      </w:r>
    </w:p>
    <w:p>
      <w:pPr>
        <w:pStyle w:val="BodyText"/>
      </w:pPr>
      <w:r>
        <w:t xml:space="preserve">0.04</w:t>
      </w:r>
    </w:p>
    <w:p>
      <w:pPr>
        <w:pStyle w:val="BodyText"/>
      </w:pPr>
      <w:r>
        <w:t xml:space="preserve">0.07</w:t>
      </w:r>
    </w:p>
    <w:p>
      <w:pPr>
        <w:pStyle w:val="BodyText"/>
      </w:pPr>
      <w:r>
        <w:t xml:space="preserve">0.13</w:t>
      </w:r>
    </w:p>
    <w:p>
      <w:pPr>
        <w:pStyle w:val="BodyText"/>
      </w:pPr>
      <w:r>
        <w:t xml:space="preserve">0.54</w:t>
      </w:r>
    </w:p>
    <w:p>
      <w:pPr>
        <w:pStyle w:val="BodyText"/>
      </w:pPr>
      <w:r>
        <w:t xml:space="preserve">SOC</w:t>
      </w:r>
    </w:p>
    <w:p>
      <w:pPr>
        <w:pStyle w:val="BodyText"/>
      </w:pPr>
      <w:r>
        <w:t xml:space="preserve">Female</w:t>
      </w:r>
    </w:p>
    <w:p>
      <w:pPr>
        <w:pStyle w:val="BodyText"/>
      </w:pPr>
      <w:r>
        <w:t xml:space="preserve">50-59</w:t>
      </w:r>
    </w:p>
    <w:p>
      <w:pPr>
        <w:pStyle w:val="BodyText"/>
      </w:pPr>
      <w:r>
        <w:t xml:space="preserve">0.22</w:t>
      </w:r>
    </w:p>
    <w:p>
      <w:pPr>
        <w:pStyle w:val="BodyText"/>
      </w:pPr>
      <w:r>
        <w:t xml:space="preserve">0.00</w:t>
      </w:r>
    </w:p>
    <w:p>
      <w:pPr>
        <w:pStyle w:val="BodyText"/>
      </w:pPr>
      <w:r>
        <w:t xml:space="preserve">0.11</w:t>
      </w:r>
    </w:p>
    <w:p>
      <w:pPr>
        <w:pStyle w:val="BodyText"/>
      </w:pPr>
      <w:r>
        <w:t xml:space="preserve">0.20</w:t>
      </w:r>
    </w:p>
    <w:p>
      <w:pPr>
        <w:pStyle w:val="BodyText"/>
      </w:pPr>
      <w:r>
        <w:t xml:space="preserve">0.30</w:t>
      </w:r>
    </w:p>
    <w:p>
      <w:pPr>
        <w:pStyle w:val="BodyText"/>
      </w:pPr>
      <w:r>
        <w:t xml:space="preserve">1.05</w:t>
      </w:r>
    </w:p>
    <w:p>
      <w:pPr>
        <w:pStyle w:val="BodyText"/>
      </w:pPr>
      <w:r>
        <w:t xml:space="preserve">SOC</w:t>
      </w:r>
    </w:p>
    <w:p>
      <w:pPr>
        <w:pStyle w:val="BodyText"/>
      </w:pPr>
      <w:r>
        <w:t xml:space="preserve">Female</w:t>
      </w:r>
    </w:p>
    <w:p>
      <w:pPr>
        <w:pStyle w:val="BodyText"/>
      </w:pPr>
      <w:r>
        <w:t xml:space="preserve">60-69</w:t>
      </w:r>
    </w:p>
    <w:p>
      <w:pPr>
        <w:pStyle w:val="BodyText"/>
      </w:pPr>
      <w:r>
        <w:t xml:space="preserve">0.51</w:t>
      </w:r>
    </w:p>
    <w:p>
      <w:pPr>
        <w:pStyle w:val="BodyText"/>
      </w:pPr>
      <w:r>
        <w:t xml:space="preserve">0.00</w:t>
      </w:r>
    </w:p>
    <w:p>
      <w:pPr>
        <w:pStyle w:val="BodyText"/>
      </w:pPr>
      <w:r>
        <w:t xml:space="preserve">0.29</w:t>
      </w:r>
    </w:p>
    <w:p>
      <w:pPr>
        <w:pStyle w:val="BodyText"/>
      </w:pPr>
      <w:r>
        <w:t xml:space="preserve">0.46</w:t>
      </w:r>
    </w:p>
    <w:p>
      <w:pPr>
        <w:pStyle w:val="BodyText"/>
      </w:pPr>
      <w:r>
        <w:t xml:space="preserve">0.68</w:t>
      </w:r>
    </w:p>
    <w:p>
      <w:pPr>
        <w:pStyle w:val="BodyText"/>
      </w:pPr>
      <w:r>
        <w:t xml:space="preserve">2.55</w:t>
      </w:r>
    </w:p>
    <w:p>
      <w:pPr>
        <w:pStyle w:val="BodyText"/>
      </w:pPr>
      <w:r>
        <w:t xml:space="preserve">SOC</w:t>
      </w:r>
    </w:p>
    <w:p>
      <w:pPr>
        <w:pStyle w:val="BodyText"/>
      </w:pPr>
      <w:r>
        <w:t xml:space="preserve">Female</w:t>
      </w:r>
    </w:p>
    <w:p>
      <w:pPr>
        <w:pStyle w:val="BodyText"/>
      </w:pPr>
      <w:r>
        <w:t xml:space="preserve">70-79</w:t>
      </w:r>
    </w:p>
    <w:p>
      <w:pPr>
        <w:pStyle w:val="BodyText"/>
      </w:pPr>
      <w:r>
        <w:t xml:space="preserve">1.22</w:t>
      </w:r>
    </w:p>
    <w:p>
      <w:pPr>
        <w:pStyle w:val="BodyText"/>
      </w:pPr>
      <w:r>
        <w:t xml:space="preserve">0.00</w:t>
      </w:r>
    </w:p>
    <w:p>
      <w:pPr>
        <w:pStyle w:val="BodyText"/>
      </w:pPr>
      <w:r>
        <w:t xml:space="preserve">0.75</w:t>
      </w:r>
    </w:p>
    <w:p>
      <w:pPr>
        <w:pStyle w:val="BodyText"/>
      </w:pPr>
      <w:r>
        <w:t xml:space="preserve">1.14</w:t>
      </w:r>
    </w:p>
    <w:p>
      <w:pPr>
        <w:pStyle w:val="BodyText"/>
      </w:pPr>
      <w:r>
        <w:t xml:space="preserve">1.59</w:t>
      </w:r>
    </w:p>
    <w:p>
      <w:pPr>
        <w:pStyle w:val="BodyText"/>
      </w:pPr>
      <w:r>
        <w:t xml:space="preserve">4.18</w:t>
      </w:r>
    </w:p>
    <w:p>
      <w:pPr>
        <w:pStyle w:val="BodyText"/>
      </w:pPr>
      <w:r>
        <w:t xml:space="preserve">SOC</w:t>
      </w:r>
    </w:p>
    <w:p>
      <w:pPr>
        <w:pStyle w:val="BodyText"/>
      </w:pPr>
      <w:r>
        <w:t xml:space="preserve">Female</w:t>
      </w:r>
    </w:p>
    <w:p>
      <w:pPr>
        <w:pStyle w:val="BodyText"/>
      </w:pPr>
      <w:r>
        <w:t xml:space="preserve">80+</w:t>
      </w:r>
    </w:p>
    <w:p>
      <w:pPr>
        <w:pStyle w:val="BodyText"/>
      </w:pPr>
      <w:r>
        <w:t xml:space="preserve">2.07</w:t>
      </w:r>
    </w:p>
    <w:p>
      <w:pPr>
        <w:pStyle w:val="BodyText"/>
      </w:pPr>
      <w:r>
        <w:t xml:space="preserve">0.00</w:t>
      </w:r>
    </w:p>
    <w:p>
      <w:pPr>
        <w:pStyle w:val="BodyText"/>
      </w:pPr>
      <w:r>
        <w:t xml:space="preserve">1.26</w:t>
      </w:r>
    </w:p>
    <w:p>
      <w:pPr>
        <w:pStyle w:val="BodyText"/>
      </w:pPr>
      <w:r>
        <w:t xml:space="preserve">1.92</w:t>
      </w:r>
    </w:p>
    <w:p>
      <w:pPr>
        <w:pStyle w:val="BodyText"/>
      </w:pPr>
      <w:r>
        <w:t xml:space="preserve">2.71</w:t>
      </w:r>
    </w:p>
    <w:p>
      <w:pPr>
        <w:pStyle w:val="BodyText"/>
      </w:pPr>
      <w:r>
        <w:t xml:space="preserve">9.55</w:t>
      </w:r>
    </w:p>
    <w:p>
      <w:pPr>
        <w:pStyle w:val="BodyText"/>
      </w:pPr>
      <w:r>
        <w:t xml:space="preserve">SOC</w:t>
      </w:r>
    </w:p>
    <w:p>
      <w:pPr>
        <w:pStyle w:val="BodyText"/>
      </w:pPr>
      <w:r>
        <w:t xml:space="preserve">Male</w:t>
      </w:r>
    </w:p>
    <w:p>
      <w:pPr>
        <w:pStyle w:val="BodyText"/>
      </w:pPr>
      <w:r>
        <w:t xml:space="preserve">40-49</w:t>
      </w:r>
    </w:p>
    <w:p>
      <w:pPr>
        <w:pStyle w:val="BodyText"/>
      </w:pPr>
      <w:r>
        <w:t xml:space="preserve">0.13</w:t>
      </w:r>
    </w:p>
    <w:p>
      <w:pPr>
        <w:pStyle w:val="BodyText"/>
      </w:pPr>
      <w:r>
        <w:t xml:space="preserve">0.00</w:t>
      </w:r>
    </w:p>
    <w:p>
      <w:pPr>
        <w:pStyle w:val="BodyText"/>
      </w:pPr>
      <w:r>
        <w:t xml:space="preserve">0.06</w:t>
      </w:r>
    </w:p>
    <w:p>
      <w:pPr>
        <w:pStyle w:val="BodyText"/>
      </w:pPr>
      <w:r>
        <w:t xml:space="preserve">0.12</w:t>
      </w:r>
    </w:p>
    <w:p>
      <w:pPr>
        <w:pStyle w:val="BodyText"/>
      </w:pPr>
      <w:r>
        <w:t xml:space="preserve">0.19</w:t>
      </w:r>
    </w:p>
    <w:p>
      <w:pPr>
        <w:pStyle w:val="BodyText"/>
      </w:pPr>
      <w:r>
        <w:t xml:space="preserve">0.57</w:t>
      </w:r>
    </w:p>
    <w:p>
      <w:pPr>
        <w:pStyle w:val="BodyText"/>
      </w:pPr>
      <w:r>
        <w:t xml:space="preserve">SOC</w:t>
      </w:r>
    </w:p>
    <w:p>
      <w:pPr>
        <w:pStyle w:val="BodyText"/>
      </w:pPr>
      <w:r>
        <w:t xml:space="preserve">Male</w:t>
      </w:r>
    </w:p>
    <w:p>
      <w:pPr>
        <w:pStyle w:val="BodyText"/>
      </w:pPr>
      <w:r>
        <w:t xml:space="preserve">50-59</w:t>
      </w:r>
    </w:p>
    <w:p>
      <w:pPr>
        <w:pStyle w:val="BodyText"/>
      </w:pPr>
      <w:r>
        <w:t xml:space="preserve">0.35</w:t>
      </w:r>
    </w:p>
    <w:p>
      <w:pPr>
        <w:pStyle w:val="BodyText"/>
      </w:pPr>
      <w:r>
        <w:t xml:space="preserve">0.00</w:t>
      </w:r>
    </w:p>
    <w:p>
      <w:pPr>
        <w:pStyle w:val="BodyText"/>
      </w:pPr>
      <w:r>
        <w:t xml:space="preserve">0.19</w:t>
      </w:r>
    </w:p>
    <w:p>
      <w:pPr>
        <w:pStyle w:val="BodyText"/>
      </w:pPr>
      <w:r>
        <w:t xml:space="preserve">0.31</w:t>
      </w:r>
    </w:p>
    <w:p>
      <w:pPr>
        <w:pStyle w:val="BodyText"/>
      </w:pPr>
      <w:r>
        <w:t xml:space="preserve">0.46</w:t>
      </w:r>
    </w:p>
    <w:p>
      <w:pPr>
        <w:pStyle w:val="BodyText"/>
      </w:pPr>
      <w:r>
        <w:t xml:space="preserve">1.52</w:t>
      </w:r>
    </w:p>
    <w:p>
      <w:pPr>
        <w:pStyle w:val="BodyText"/>
      </w:pPr>
      <w:r>
        <w:t xml:space="preserve">SOC</w:t>
      </w:r>
    </w:p>
    <w:p>
      <w:pPr>
        <w:pStyle w:val="BodyText"/>
      </w:pPr>
      <w:r>
        <w:t xml:space="preserve">Male</w:t>
      </w:r>
    </w:p>
    <w:p>
      <w:pPr>
        <w:pStyle w:val="BodyText"/>
      </w:pPr>
      <w:r>
        <w:t xml:space="preserve">60-69</w:t>
      </w:r>
    </w:p>
    <w:p>
      <w:pPr>
        <w:pStyle w:val="BodyText"/>
      </w:pPr>
      <w:r>
        <w:t xml:space="preserve">0.78</w:t>
      </w:r>
    </w:p>
    <w:p>
      <w:pPr>
        <w:pStyle w:val="BodyText"/>
      </w:pPr>
      <w:r>
        <w:t xml:space="preserve">0.00</w:t>
      </w:r>
    </w:p>
    <w:p>
      <w:pPr>
        <w:pStyle w:val="BodyText"/>
      </w:pPr>
      <w:r>
        <w:t xml:space="preserve">0.48</w:t>
      </w:r>
    </w:p>
    <w:p>
      <w:pPr>
        <w:pStyle w:val="BodyText"/>
      </w:pPr>
      <w:r>
        <w:t xml:space="preserve">0.72</w:t>
      </w:r>
    </w:p>
    <w:p>
      <w:pPr>
        <w:pStyle w:val="BodyText"/>
      </w:pPr>
      <w:r>
        <w:t xml:space="preserve">1.02</w:t>
      </w:r>
    </w:p>
    <w:p>
      <w:pPr>
        <w:pStyle w:val="BodyText"/>
      </w:pPr>
      <w:r>
        <w:t xml:space="preserve">2.91</w:t>
      </w:r>
    </w:p>
    <w:p>
      <w:pPr>
        <w:pStyle w:val="BodyText"/>
      </w:pPr>
      <w:r>
        <w:t xml:space="preserve">SOC</w:t>
      </w:r>
    </w:p>
    <w:p>
      <w:pPr>
        <w:pStyle w:val="BodyText"/>
      </w:pPr>
      <w:r>
        <w:t xml:space="preserve">Male</w:t>
      </w:r>
    </w:p>
    <w:p>
      <w:pPr>
        <w:pStyle w:val="BodyText"/>
      </w:pPr>
      <w:r>
        <w:t xml:space="preserve">70-79</w:t>
      </w:r>
    </w:p>
    <w:p>
      <w:pPr>
        <w:pStyle w:val="BodyText"/>
      </w:pPr>
      <w:r>
        <w:t xml:space="preserve">1.90</w:t>
      </w:r>
    </w:p>
    <w:p>
      <w:pPr>
        <w:pStyle w:val="BodyText"/>
      </w:pPr>
      <w:r>
        <w:t xml:space="preserve">0.00</w:t>
      </w:r>
    </w:p>
    <w:p>
      <w:pPr>
        <w:pStyle w:val="BodyText"/>
      </w:pPr>
      <w:r>
        <w:t xml:space="preserve">1.21</w:t>
      </w:r>
    </w:p>
    <w:p>
      <w:pPr>
        <w:pStyle w:val="BodyText"/>
      </w:pPr>
      <w:r>
        <w:t xml:space="preserve">1.77</w:t>
      </w:r>
    </w:p>
    <w:p>
      <w:pPr>
        <w:pStyle w:val="BodyText"/>
      </w:pPr>
      <w:r>
        <w:t xml:space="preserve">2.49</w:t>
      </w:r>
    </w:p>
    <w:p>
      <w:pPr>
        <w:pStyle w:val="BodyText"/>
      </w:pPr>
      <w:r>
        <w:t xml:space="preserve">6.95</w:t>
      </w:r>
    </w:p>
    <w:p>
      <w:pPr>
        <w:pStyle w:val="BodyText"/>
      </w:pPr>
      <w:r>
        <w:t xml:space="preserve">SOC</w:t>
      </w:r>
    </w:p>
    <w:p>
      <w:pPr>
        <w:pStyle w:val="BodyText"/>
      </w:pPr>
      <w:r>
        <w:t xml:space="preserve">Male</w:t>
      </w:r>
    </w:p>
    <w:p>
      <w:pPr>
        <w:pStyle w:val="BodyText"/>
      </w:pPr>
      <w:r>
        <w:t xml:space="preserve">80+</w:t>
      </w:r>
    </w:p>
    <w:p>
      <w:pPr>
        <w:pStyle w:val="BodyText"/>
      </w:pPr>
      <w:r>
        <w:t xml:space="preserve">3.18</w:t>
      </w:r>
    </w:p>
    <w:p>
      <w:pPr>
        <w:pStyle w:val="BodyText"/>
      </w:pPr>
      <w:r>
        <w:t xml:space="preserve">0.00</w:t>
      </w:r>
    </w:p>
    <w:p>
      <w:pPr>
        <w:pStyle w:val="BodyText"/>
      </w:pPr>
      <w:r>
        <w:t xml:space="preserve">1.79</w:t>
      </w:r>
    </w:p>
    <w:p>
      <w:pPr>
        <w:pStyle w:val="BodyText"/>
      </w:pPr>
      <w:r>
        <w:t xml:space="preserve">2.96</w:t>
      </w:r>
    </w:p>
    <w:p>
      <w:pPr>
        <w:pStyle w:val="BodyText"/>
      </w:pPr>
      <w:r>
        <w:t xml:space="preserve">4.31</w:t>
      </w:r>
    </w:p>
    <w:p>
      <w:pPr>
        <w:pStyle w:val="BodyText"/>
      </w:pPr>
      <w:r>
        <w:t xml:space="preserve">15.01</w:t>
      </w:r>
    </w:p>
    <w:p>
      <w:pPr>
        <w:pStyle w:val="BodyText"/>
      </w:pPr>
      <w:r>
        <w:t xml:space="preserve">SSA</w:t>
      </w:r>
    </w:p>
    <w:p>
      <w:pPr>
        <w:pStyle w:val="BodyText"/>
      </w:pPr>
      <w:r>
        <w:t xml:space="preserve">Female</w:t>
      </w:r>
    </w:p>
    <w:p>
      <w:pPr>
        <w:pStyle w:val="BodyText"/>
      </w:pPr>
      <w:r>
        <w:t xml:space="preserve">20+</w:t>
      </w:r>
    </w:p>
    <w:p>
      <w:pPr>
        <w:pStyle w:val="BodyText"/>
      </w:pPr>
      <w:r>
        <w:t xml:space="preserve">0.17</w:t>
      </w:r>
    </w:p>
    <w:p>
      <w:pPr>
        <w:pStyle w:val="BodyText"/>
      </w:pPr>
      <w:r>
        <w:t xml:space="preserve">0.12</w:t>
      </w:r>
    </w:p>
    <w:p>
      <w:pPr>
        <w:pStyle w:val="BodyText"/>
      </w:pPr>
      <w:r>
        <w:t xml:space="preserve">0.14</w:t>
      </w:r>
    </w:p>
    <w:p>
      <w:pPr>
        <w:pStyle w:val="BodyText"/>
      </w:pPr>
      <w:r>
        <w:t xml:space="preserve">0.16</w:t>
      </w:r>
    </w:p>
    <w:p>
      <w:pPr>
        <w:pStyle w:val="BodyText"/>
      </w:pPr>
      <w:r>
        <w:t xml:space="preserve">0.19</w:t>
      </w:r>
    </w:p>
    <w:p>
      <w:pPr>
        <w:pStyle w:val="BodyText"/>
      </w:pPr>
      <w:r>
        <w:t xml:space="preserve">0.27</w:t>
      </w:r>
    </w:p>
    <w:p>
      <w:pPr>
        <w:pStyle w:val="BodyText"/>
      </w:pPr>
      <w:r>
        <w:t xml:space="preserve">SSA</w:t>
      </w:r>
    </w:p>
    <w:p>
      <w:pPr>
        <w:pStyle w:val="BodyText"/>
      </w:pPr>
      <w:r>
        <w:t xml:space="preserve">Female</w:t>
      </w:r>
    </w:p>
    <w:p>
      <w:pPr>
        <w:pStyle w:val="BodyText"/>
      </w:pPr>
      <w:r>
        <w:t xml:space="preserve">40-49</w:t>
      </w:r>
    </w:p>
    <w:p>
      <w:pPr>
        <w:pStyle w:val="BodyText"/>
      </w:pPr>
      <w:r>
        <w:t xml:space="preserve">0.10</w:t>
      </w:r>
    </w:p>
    <w:p>
      <w:pPr>
        <w:pStyle w:val="BodyText"/>
      </w:pPr>
      <w:r>
        <w:t xml:space="preserve">0.09</w:t>
      </w:r>
    </w:p>
    <w:p>
      <w:pPr>
        <w:pStyle w:val="BodyText"/>
      </w:pPr>
      <w:r>
        <w:t xml:space="preserve">0.10</w:t>
      </w:r>
    </w:p>
    <w:p>
      <w:pPr>
        <w:pStyle w:val="BodyText"/>
      </w:pPr>
      <w:r>
        <w:t xml:space="preserve">0.11</w:t>
      </w:r>
    </w:p>
    <w:p>
      <w:pPr>
        <w:pStyle w:val="BodyText"/>
      </w:pPr>
      <w:r>
        <w:t xml:space="preserve">0.11</w:t>
      </w:r>
    </w:p>
    <w:p>
      <w:pPr>
        <w:pStyle w:val="BodyText"/>
      </w:pPr>
      <w:r>
        <w:t xml:space="preserve">0.12</w:t>
      </w:r>
    </w:p>
    <w:p>
      <w:pPr>
        <w:pStyle w:val="BodyText"/>
      </w:pPr>
      <w:r>
        <w:t xml:space="preserve">SSA</w:t>
      </w:r>
    </w:p>
    <w:p>
      <w:pPr>
        <w:pStyle w:val="BodyText"/>
      </w:pPr>
      <w:r>
        <w:t xml:space="preserve">Female</w:t>
      </w:r>
    </w:p>
    <w:p>
      <w:pPr>
        <w:pStyle w:val="BodyText"/>
      </w:pPr>
      <w:r>
        <w:t xml:space="preserve">50-59</w:t>
      </w:r>
    </w:p>
    <w:p>
      <w:pPr>
        <w:pStyle w:val="BodyText"/>
      </w:pPr>
      <w:r>
        <w:t xml:space="preserve">0.29</w:t>
      </w:r>
    </w:p>
    <w:p>
      <w:pPr>
        <w:pStyle w:val="BodyText"/>
      </w:pPr>
      <w:r>
        <w:t xml:space="preserve">0.24</w:t>
      </w:r>
    </w:p>
    <w:p>
      <w:pPr>
        <w:pStyle w:val="BodyText"/>
      </w:pPr>
      <w:r>
        <w:t xml:space="preserve">0.28</w:t>
      </w:r>
    </w:p>
    <w:p>
      <w:pPr>
        <w:pStyle w:val="BodyText"/>
      </w:pPr>
      <w:r>
        <w:t xml:space="preserve">0.29</w:t>
      </w:r>
    </w:p>
    <w:p>
      <w:pPr>
        <w:pStyle w:val="BodyText"/>
      </w:pPr>
      <w:r>
        <w:t xml:space="preserve">0.31</w:t>
      </w:r>
    </w:p>
    <w:p>
      <w:pPr>
        <w:pStyle w:val="BodyText"/>
      </w:pPr>
      <w:r>
        <w:t xml:space="preserve">0.34</w:t>
      </w:r>
    </w:p>
    <w:p>
      <w:pPr>
        <w:pStyle w:val="BodyText"/>
      </w:pPr>
      <w:r>
        <w:t xml:space="preserve">SSA</w:t>
      </w:r>
    </w:p>
    <w:p>
      <w:pPr>
        <w:pStyle w:val="BodyText"/>
      </w:pPr>
      <w:r>
        <w:t xml:space="preserve">Female</w:t>
      </w:r>
    </w:p>
    <w:p>
      <w:pPr>
        <w:pStyle w:val="BodyText"/>
      </w:pPr>
      <w:r>
        <w:t xml:space="preserve">60-69</w:t>
      </w:r>
    </w:p>
    <w:p>
      <w:pPr>
        <w:pStyle w:val="BodyText"/>
      </w:pPr>
      <w:r>
        <w:t xml:space="preserve">0.65</w:t>
      </w:r>
    </w:p>
    <w:p>
      <w:pPr>
        <w:pStyle w:val="BodyText"/>
      </w:pPr>
      <w:r>
        <w:t xml:space="preserve">0.52</w:t>
      </w:r>
    </w:p>
    <w:p>
      <w:pPr>
        <w:pStyle w:val="BodyText"/>
      </w:pPr>
      <w:r>
        <w:t xml:space="preserve">0.61</w:t>
      </w:r>
    </w:p>
    <w:p>
      <w:pPr>
        <w:pStyle w:val="BodyText"/>
      </w:pPr>
      <w:r>
        <w:t xml:space="preserve">0.65</w:t>
      </w:r>
    </w:p>
    <w:p>
      <w:pPr>
        <w:pStyle w:val="BodyText"/>
      </w:pPr>
      <w:r>
        <w:t xml:space="preserve">0.70</w:t>
      </w:r>
    </w:p>
    <w:p>
      <w:pPr>
        <w:pStyle w:val="BodyText"/>
      </w:pPr>
      <w:r>
        <w:t xml:space="preserve">0.78</w:t>
      </w:r>
    </w:p>
    <w:p>
      <w:pPr>
        <w:pStyle w:val="BodyText"/>
      </w:pPr>
      <w:r>
        <w:t xml:space="preserve">SSA</w:t>
      </w:r>
    </w:p>
    <w:p>
      <w:pPr>
        <w:pStyle w:val="BodyText"/>
      </w:pPr>
      <w:r>
        <w:t xml:space="preserve">Female</w:t>
      </w:r>
    </w:p>
    <w:p>
      <w:pPr>
        <w:pStyle w:val="BodyText"/>
      </w:pPr>
      <w:r>
        <w:t xml:space="preserve">70-79</w:t>
      </w:r>
    </w:p>
    <w:p>
      <w:pPr>
        <w:pStyle w:val="BodyText"/>
      </w:pPr>
      <w:r>
        <w:t xml:space="preserve">1.33</w:t>
      </w:r>
    </w:p>
    <w:p>
      <w:pPr>
        <w:pStyle w:val="BodyText"/>
      </w:pPr>
      <w:r>
        <w:t xml:space="preserve">1.03</w:t>
      </w:r>
    </w:p>
    <w:p>
      <w:pPr>
        <w:pStyle w:val="BodyText"/>
      </w:pPr>
      <w:r>
        <w:t xml:space="preserve">1.24</w:t>
      </w:r>
    </w:p>
    <w:p>
      <w:pPr>
        <w:pStyle w:val="BodyText"/>
      </w:pPr>
      <w:r>
        <w:t xml:space="preserve">1.33</w:t>
      </w:r>
    </w:p>
    <w:p>
      <w:pPr>
        <w:pStyle w:val="BodyText"/>
      </w:pPr>
      <w:r>
        <w:t xml:space="preserve">1.43</w:t>
      </w:r>
    </w:p>
    <w:p>
      <w:pPr>
        <w:pStyle w:val="BodyText"/>
      </w:pPr>
      <w:r>
        <w:t xml:space="preserve">1.63</w:t>
      </w:r>
    </w:p>
    <w:p>
      <w:pPr>
        <w:pStyle w:val="BodyText"/>
      </w:pPr>
      <w:r>
        <w:t xml:space="preserve">SSA</w:t>
      </w:r>
    </w:p>
    <w:p>
      <w:pPr>
        <w:pStyle w:val="BodyText"/>
      </w:pPr>
      <w:r>
        <w:t xml:space="preserve">Female</w:t>
      </w:r>
    </w:p>
    <w:p>
      <w:pPr>
        <w:pStyle w:val="BodyText"/>
      </w:pPr>
      <w:r>
        <w:t xml:space="preserve">80+</w:t>
      </w:r>
    </w:p>
    <w:p>
      <w:pPr>
        <w:pStyle w:val="BodyText"/>
      </w:pPr>
      <w:r>
        <w:t xml:space="preserve">2.15</w:t>
      </w:r>
    </w:p>
    <w:p>
      <w:pPr>
        <w:pStyle w:val="BodyText"/>
      </w:pPr>
      <w:r>
        <w:t xml:space="preserve">1.65</w:t>
      </w:r>
    </w:p>
    <w:p>
      <w:pPr>
        <w:pStyle w:val="BodyText"/>
      </w:pPr>
      <w:r>
        <w:t xml:space="preserve">1.98</w:t>
      </w:r>
    </w:p>
    <w:p>
      <w:pPr>
        <w:pStyle w:val="BodyText"/>
      </w:pPr>
      <w:r>
        <w:t xml:space="preserve">2.18</w:t>
      </w:r>
    </w:p>
    <w:p>
      <w:pPr>
        <w:pStyle w:val="BodyText"/>
      </w:pPr>
      <w:r>
        <w:t xml:space="preserve">2.35</w:t>
      </w:r>
    </w:p>
    <w:p>
      <w:pPr>
        <w:pStyle w:val="BodyText"/>
      </w:pPr>
      <w:r>
        <w:t xml:space="preserve">2.60</w:t>
      </w:r>
    </w:p>
    <w:p>
      <w:pPr>
        <w:pStyle w:val="BodyText"/>
      </w:pPr>
      <w:r>
        <w:t xml:space="preserve">SSA</w:t>
      </w:r>
    </w:p>
    <w:p>
      <w:pPr>
        <w:pStyle w:val="BodyText"/>
      </w:pPr>
      <w:r>
        <w:t xml:space="preserve">Male</w:t>
      </w:r>
    </w:p>
    <w:p>
      <w:pPr>
        <w:pStyle w:val="BodyText"/>
      </w:pPr>
      <w:r>
        <w:t xml:space="preserve">20+</w:t>
      </w:r>
    </w:p>
    <w:p>
      <w:pPr>
        <w:pStyle w:val="BodyText"/>
      </w:pPr>
      <w:r>
        <w:t xml:space="preserve">0.23</w:t>
      </w:r>
    </w:p>
    <w:p>
      <w:pPr>
        <w:pStyle w:val="BodyText"/>
      </w:pPr>
      <w:r>
        <w:t xml:space="preserve">0.15</w:t>
      </w:r>
    </w:p>
    <w:p>
      <w:pPr>
        <w:pStyle w:val="BodyText"/>
      </w:pPr>
      <w:r>
        <w:t xml:space="preserve">0.21</w:t>
      </w:r>
    </w:p>
    <w:p>
      <w:pPr>
        <w:pStyle w:val="BodyText"/>
      </w:pPr>
      <w:r>
        <w:t xml:space="preserve">0.23</w:t>
      </w:r>
    </w:p>
    <w:p>
      <w:pPr>
        <w:pStyle w:val="BodyText"/>
      </w:pPr>
      <w:r>
        <w:t xml:space="preserve">0.25</w:t>
      </w:r>
    </w:p>
    <w:p>
      <w:pPr>
        <w:pStyle w:val="BodyText"/>
      </w:pPr>
      <w:r>
        <w:t xml:space="preserve">0.32</w:t>
      </w:r>
    </w:p>
    <w:p>
      <w:pPr>
        <w:pStyle w:val="BodyText"/>
      </w:pPr>
      <w:r>
        <w:t xml:space="preserve">SSA</w:t>
      </w:r>
    </w:p>
    <w:p>
      <w:pPr>
        <w:pStyle w:val="BodyText"/>
      </w:pPr>
      <w:r>
        <w:t xml:space="preserve">Male</w:t>
      </w:r>
    </w:p>
    <w:p>
      <w:pPr>
        <w:pStyle w:val="BodyText"/>
      </w:pPr>
      <w:r>
        <w:t xml:space="preserve">40-49</w:t>
      </w:r>
    </w:p>
    <w:p>
      <w:pPr>
        <w:pStyle w:val="BodyText"/>
      </w:pPr>
      <w:r>
        <w:t xml:space="preserve">0.16</w:t>
      </w:r>
    </w:p>
    <w:p>
      <w:pPr>
        <w:pStyle w:val="BodyText"/>
      </w:pPr>
      <w:r>
        <w:t xml:space="preserve">0.14</w:t>
      </w:r>
    </w:p>
    <w:p>
      <w:pPr>
        <w:pStyle w:val="BodyText"/>
      </w:pPr>
      <w:r>
        <w:t xml:space="preserve">0.16</w:t>
      </w:r>
    </w:p>
    <w:p>
      <w:pPr>
        <w:pStyle w:val="BodyText"/>
      </w:pPr>
      <w:r>
        <w:t xml:space="preserve">0.16</w:t>
      </w:r>
    </w:p>
    <w:p>
      <w:pPr>
        <w:pStyle w:val="BodyText"/>
      </w:pPr>
      <w:r>
        <w:t xml:space="preserve">0.17</w:t>
      </w:r>
    </w:p>
    <w:p>
      <w:pPr>
        <w:pStyle w:val="BodyText"/>
      </w:pPr>
      <w:r>
        <w:t xml:space="preserve">0.20</w:t>
      </w:r>
    </w:p>
    <w:p>
      <w:pPr>
        <w:pStyle w:val="BodyText"/>
      </w:pPr>
      <w:r>
        <w:t xml:space="preserve">SSA</w:t>
      </w:r>
    </w:p>
    <w:p>
      <w:pPr>
        <w:pStyle w:val="BodyText"/>
      </w:pPr>
      <w:r>
        <w:t xml:space="preserve">Male</w:t>
      </w:r>
    </w:p>
    <w:p>
      <w:pPr>
        <w:pStyle w:val="BodyText"/>
      </w:pPr>
      <w:r>
        <w:t xml:space="preserve">50-59</w:t>
      </w:r>
    </w:p>
    <w:p>
      <w:pPr>
        <w:pStyle w:val="BodyText"/>
      </w:pPr>
      <w:r>
        <w:t xml:space="preserve">0.46</w:t>
      </w:r>
    </w:p>
    <w:p>
      <w:pPr>
        <w:pStyle w:val="BodyText"/>
      </w:pPr>
      <w:r>
        <w:t xml:space="preserve">0.38</w:t>
      </w:r>
    </w:p>
    <w:p>
      <w:pPr>
        <w:pStyle w:val="BodyText"/>
      </w:pPr>
      <w:r>
        <w:t xml:space="preserve">0.44</w:t>
      </w:r>
    </w:p>
    <w:p>
      <w:pPr>
        <w:pStyle w:val="BodyText"/>
      </w:pPr>
      <w:r>
        <w:t xml:space="preserve">0.46</w:t>
      </w:r>
    </w:p>
    <w:p>
      <w:pPr>
        <w:pStyle w:val="BodyText"/>
      </w:pPr>
      <w:r>
        <w:t xml:space="preserve">0.49</w:t>
      </w:r>
    </w:p>
    <w:p>
      <w:pPr>
        <w:pStyle w:val="BodyText"/>
      </w:pPr>
      <w:r>
        <w:t xml:space="preserve">0.55</w:t>
      </w:r>
    </w:p>
    <w:p>
      <w:pPr>
        <w:pStyle w:val="BodyText"/>
      </w:pPr>
      <w:r>
        <w:t xml:space="preserve">SSA</w:t>
      </w:r>
    </w:p>
    <w:p>
      <w:pPr>
        <w:pStyle w:val="BodyText"/>
      </w:pPr>
      <w:r>
        <w:t xml:space="preserve">Male</w:t>
      </w:r>
    </w:p>
    <w:p>
      <w:pPr>
        <w:pStyle w:val="BodyText"/>
      </w:pPr>
      <w:r>
        <w:t xml:space="preserve">60-69</w:t>
      </w:r>
    </w:p>
    <w:p>
      <w:pPr>
        <w:pStyle w:val="BodyText"/>
      </w:pPr>
      <w:r>
        <w:t xml:space="preserve">1.00</w:t>
      </w:r>
    </w:p>
    <w:p>
      <w:pPr>
        <w:pStyle w:val="BodyText"/>
      </w:pPr>
      <w:r>
        <w:t xml:space="preserve">0.83</w:t>
      </w:r>
    </w:p>
    <w:p>
      <w:pPr>
        <w:pStyle w:val="BodyText"/>
      </w:pPr>
      <w:r>
        <w:t xml:space="preserve">0.95</w:t>
      </w:r>
    </w:p>
    <w:p>
      <w:pPr>
        <w:pStyle w:val="BodyText"/>
      </w:pPr>
      <w:r>
        <w:t xml:space="preserve">1.00</w:t>
      </w:r>
    </w:p>
    <w:p>
      <w:pPr>
        <w:pStyle w:val="BodyText"/>
      </w:pPr>
      <w:r>
        <w:t xml:space="preserve">1.06</w:t>
      </w:r>
    </w:p>
    <w:p>
      <w:pPr>
        <w:pStyle w:val="BodyText"/>
      </w:pPr>
      <w:r>
        <w:t xml:space="preserve">1.15</w:t>
      </w:r>
    </w:p>
    <w:p>
      <w:pPr>
        <w:pStyle w:val="BodyText"/>
      </w:pPr>
      <w:r>
        <w:t xml:space="preserve">SSA</w:t>
      </w:r>
    </w:p>
    <w:p>
      <w:pPr>
        <w:pStyle w:val="BodyText"/>
      </w:pPr>
      <w:r>
        <w:t xml:space="preserve">Male</w:t>
      </w:r>
    </w:p>
    <w:p>
      <w:pPr>
        <w:pStyle w:val="BodyText"/>
      </w:pPr>
      <w:r>
        <w:t xml:space="preserve">70-79</w:t>
      </w:r>
    </w:p>
    <w:p>
      <w:pPr>
        <w:pStyle w:val="BodyText"/>
      </w:pPr>
      <w:r>
        <w:t xml:space="preserve">1.83</w:t>
      </w:r>
    </w:p>
    <w:p>
      <w:pPr>
        <w:pStyle w:val="BodyText"/>
      </w:pPr>
      <w:r>
        <w:t xml:space="preserve">1.51</w:t>
      </w:r>
    </w:p>
    <w:p>
      <w:pPr>
        <w:pStyle w:val="BodyText"/>
      </w:pPr>
      <w:r>
        <w:t xml:space="preserve">1.74</w:t>
      </w:r>
    </w:p>
    <w:p>
      <w:pPr>
        <w:pStyle w:val="BodyText"/>
      </w:pPr>
      <w:r>
        <w:t xml:space="preserve">1.83</w:t>
      </w:r>
    </w:p>
    <w:p>
      <w:pPr>
        <w:pStyle w:val="BodyText"/>
      </w:pPr>
      <w:r>
        <w:t xml:space="preserve">1.92</w:t>
      </w:r>
    </w:p>
    <w:p>
      <w:pPr>
        <w:pStyle w:val="BodyText"/>
      </w:pPr>
      <w:r>
        <w:t xml:space="preserve">2.12</w:t>
      </w:r>
    </w:p>
    <w:p>
      <w:pPr>
        <w:pStyle w:val="BodyText"/>
      </w:pPr>
      <w:r>
        <w:t xml:space="preserve">SSA</w:t>
      </w:r>
    </w:p>
    <w:p>
      <w:pPr>
        <w:pStyle w:val="BodyText"/>
      </w:pPr>
      <w:r>
        <w:t xml:space="preserve">Male</w:t>
      </w:r>
    </w:p>
    <w:p>
      <w:pPr>
        <w:pStyle w:val="BodyText"/>
      </w:pPr>
      <w:r>
        <w:t xml:space="preserve">80+</w:t>
      </w:r>
    </w:p>
    <w:p>
      <w:pPr>
        <w:pStyle w:val="BodyText"/>
      </w:pPr>
      <w:r>
        <w:t xml:space="preserve">2.80</w:t>
      </w:r>
    </w:p>
    <w:p>
      <w:pPr>
        <w:pStyle w:val="BodyText"/>
      </w:pPr>
      <w:r>
        <w:t xml:space="preserve">2.27</w:t>
      </w:r>
    </w:p>
    <w:p>
      <w:pPr>
        <w:pStyle w:val="BodyText"/>
      </w:pPr>
      <w:r>
        <w:t xml:space="preserve">2.72</w:t>
      </w:r>
    </w:p>
    <w:p>
      <w:pPr>
        <w:pStyle w:val="BodyText"/>
      </w:pPr>
      <w:r>
        <w:t xml:space="preserve">2.80</w:t>
      </w:r>
    </w:p>
    <w:p>
      <w:pPr>
        <w:pStyle w:val="BodyText"/>
      </w:pPr>
      <w:r>
        <w:t xml:space="preserve">2.96</w:t>
      </w:r>
    </w:p>
    <w:p>
      <w:pPr>
        <w:pStyle w:val="BodyText"/>
      </w:pPr>
      <w:r>
        <w:t xml:space="preserve">3.25</w:t>
      </w:r>
    </w:p>
    <w:bookmarkEnd w:id="59"/>
    <w:bookmarkStart w:id="66" w:name="prevalence-of-ischemic-heart-disease"/>
    <w:p>
      <w:pPr>
        <w:pStyle w:val="Heading3"/>
      </w:pPr>
      <w:r>
        <w:t xml:space="preserve">Prevalence of Ischemic Heart Disease</w:t>
      </w:r>
    </w:p>
    <w:p>
      <w:pPr>
        <w:pStyle w:val="FirstParagraph"/>
      </w:pPr>
      <w:r>
        <w:drawing>
          <wp:inline>
            <wp:extent cx="5334000" cy="3556000"/>
            <wp:effectExtent b="0" l="0" r="0" t="0"/>
            <wp:docPr descr="" title="" id="61" name="Picture"/>
            <a:graphic>
              <a:graphicData uri="http://schemas.openxmlformats.org/drawingml/2006/picture">
                <pic:pic>
                  <pic:nvPicPr>
                    <pic:cNvPr descr="supplement_files/figure-docx/unnamed-chunk-2-1.png" id="62" name="Picture"/>
                    <pic:cNvPicPr>
                      <a:picLocks noChangeArrowheads="1" noChangeAspect="1"/>
                    </pic:cNvPicPr>
                  </pic:nvPicPr>
                  <pic:blipFill>
                    <a:blip r:embed="rId60"/>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64" name="Picture"/>
            <a:graphic>
              <a:graphicData uri="http://schemas.openxmlformats.org/drawingml/2006/picture">
                <pic:pic>
                  <pic:nvPicPr>
                    <pic:cNvPr descr="supplement_files/figure-docx/unnamed-chunk-2-2.png" id="65" name="Picture"/>
                    <pic:cNvPicPr>
                      <a:picLocks noChangeArrowheads="1" noChangeAspect="1"/>
                    </pic:cNvPicPr>
                  </pic:nvPicPr>
                  <pic:blipFill>
                    <a:blip r:embed="rId63"/>
                    <a:stretch>
                      <a:fillRect/>
                    </a:stretch>
                  </pic:blipFill>
                  <pic:spPr bwMode="auto">
                    <a:xfrm>
                      <a:off x="0" y="0"/>
                      <a:ext cx="5334000" cy="3556000"/>
                    </a:xfrm>
                    <a:prstGeom prst="rect">
                      <a:avLst/>
                    </a:prstGeom>
                    <a:noFill/>
                    <a:ln w="9525">
                      <a:noFill/>
                      <a:headEnd/>
                      <a:tailEnd/>
                    </a:ln>
                  </pic:spPr>
                </pic:pic>
              </a:graphicData>
            </a:graphic>
          </wp:inline>
        </w:drawing>
      </w:r>
    </w:p>
    <w:bookmarkEnd w:id="66"/>
    <w:bookmarkStart w:id="74" w:name="incidence-of-stroke"/>
    <w:p>
      <w:pPr>
        <w:pStyle w:val="Heading3"/>
      </w:pPr>
      <w:r>
        <w:t xml:space="preserve">Incidence of Stroke</w:t>
      </w:r>
    </w:p>
    <w:p>
      <w:pPr>
        <w:pStyle w:val="FirstParagraph"/>
      </w:pPr>
      <w:r>
        <w:t xml:space="preserve">Incidence of stroke based on Global Burden of Disease data, assuming that mild strokes under-ascertained, thus we compare incidence only of moderate/severe stroke to available incidence data.</w:t>
      </w:r>
    </w:p>
    <w:bookmarkStart w:id="73" w:name="any-stroke-moderatesevere-only"/>
    <w:p>
      <w:pPr>
        <w:pStyle w:val="Heading4"/>
      </w:pPr>
      <w:r>
        <w:t xml:space="preserve">Any Stroke (moderate/severe only)</w:t>
      </w:r>
    </w:p>
    <w:p>
      <w:pPr>
        <w:pStyle w:val="FirstParagraph"/>
      </w:pPr>
      <w:r>
        <w:drawing>
          <wp:inline>
            <wp:extent cx="5334000" cy="3556000"/>
            <wp:effectExtent b="0" l="0" r="0" t="0"/>
            <wp:docPr descr="" title="" id="68" name="Picture"/>
            <a:graphic>
              <a:graphicData uri="http://schemas.openxmlformats.org/drawingml/2006/picture">
                <pic:pic>
                  <pic:nvPicPr>
                    <pic:cNvPr descr="supplement_files/figure-docx/unnamed-chunk-3-1.png" id="69" name="Picture"/>
                    <pic:cNvPicPr>
                      <a:picLocks noChangeArrowheads="1" noChangeAspect="1"/>
                    </pic:cNvPicPr>
                  </pic:nvPicPr>
                  <pic:blipFill>
                    <a:blip r:embed="rId67"/>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71" name="Picture"/>
            <a:graphic>
              <a:graphicData uri="http://schemas.openxmlformats.org/drawingml/2006/picture">
                <pic:pic>
                  <pic:nvPicPr>
                    <pic:cNvPr descr="supplement_files/figure-docx/unnamed-chunk-3-2.png" id="72" name="Picture"/>
                    <pic:cNvPicPr>
                      <a:picLocks noChangeArrowheads="1" noChangeAspect="1"/>
                    </pic:cNvPicPr>
                  </pic:nvPicPr>
                  <pic:blipFill>
                    <a:blip r:embed="rId70"/>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VerbatimChar"/>
        </w:rPr>
        <w:t xml:space="preserve">## `summarise()` has grouped output by 'source', 'sex'. You can override using the</w:t>
      </w:r>
      <w:r>
        <w:br/>
      </w:r>
      <w:r>
        <w:rPr>
          <w:rStyle w:val="VerbatimChar"/>
        </w:rPr>
        <w:t xml:space="preserve">## `.groups` argument.</w:t>
      </w:r>
    </w:p>
    <w:p>
      <w:pPr>
        <w:pStyle w:val="FirstParagraph"/>
      </w:pPr>
      <w:r>
        <w:t xml:space="preserve">source</w:t>
      </w:r>
    </w:p>
    <w:p>
      <w:pPr>
        <w:pStyle w:val="BodyText"/>
      </w:pPr>
      <w:r>
        <w:t xml:space="preserve">sex</w:t>
      </w:r>
    </w:p>
    <w:p>
      <w:pPr>
        <w:pStyle w:val="BodyText"/>
      </w:pPr>
      <w:r>
        <w:t xml:space="preserve">age</w:t>
      </w:r>
    </w:p>
    <w:p>
      <w:pPr>
        <w:pStyle w:val="BodyText"/>
      </w:pPr>
      <w:r>
        <w:t xml:space="preserve">Incidence</w:t>
      </w:r>
    </w:p>
    <w:p>
      <w:pPr>
        <w:pStyle w:val="BodyText"/>
      </w:pPr>
      <w:r>
        <w:t xml:space="preserve">min</w:t>
      </w:r>
    </w:p>
    <w:p>
      <w:pPr>
        <w:pStyle w:val="BodyText"/>
      </w:pPr>
      <w:r>
        <w:t xml:space="preserve">Q1</w:t>
      </w:r>
    </w:p>
    <w:p>
      <w:pPr>
        <w:pStyle w:val="BodyText"/>
      </w:pPr>
      <w:r>
        <w:t xml:space="preserve">median</w:t>
      </w:r>
    </w:p>
    <w:p>
      <w:pPr>
        <w:pStyle w:val="BodyText"/>
      </w:pPr>
      <w:r>
        <w:t xml:space="preserve">Q3</w:t>
      </w:r>
    </w:p>
    <w:p>
      <w:pPr>
        <w:pStyle w:val="BodyText"/>
      </w:pPr>
      <w:r>
        <w:t xml:space="preserve">max</w:t>
      </w:r>
    </w:p>
    <w:p>
      <w:pPr>
        <w:pStyle w:val="BodyText"/>
      </w:pPr>
      <w:r>
        <w:t xml:space="preserve">SOC</w:t>
      </w:r>
    </w:p>
    <w:p>
      <w:pPr>
        <w:pStyle w:val="BodyText"/>
      </w:pPr>
      <w:r>
        <w:t xml:space="preserve">All</w:t>
      </w:r>
    </w:p>
    <w:p>
      <w:pPr>
        <w:pStyle w:val="BodyText"/>
      </w:pPr>
      <w:r>
        <w:t xml:space="preserve">18+</w:t>
      </w:r>
    </w:p>
    <w:p>
      <w:pPr>
        <w:pStyle w:val="BodyText"/>
      </w:pPr>
      <w:r>
        <w:t xml:space="preserve">0.18</w:t>
      </w:r>
    </w:p>
    <w:p>
      <w:pPr>
        <w:pStyle w:val="BodyText"/>
      </w:pPr>
      <w:r>
        <w:t xml:space="preserve">0.04</w:t>
      </w:r>
    </w:p>
    <w:p>
      <w:pPr>
        <w:pStyle w:val="BodyText"/>
      </w:pPr>
      <w:r>
        <w:t xml:space="preserve">0.13</w:t>
      </w:r>
    </w:p>
    <w:p>
      <w:pPr>
        <w:pStyle w:val="BodyText"/>
      </w:pPr>
      <w:r>
        <w:t xml:space="preserve">0.17</w:t>
      </w:r>
    </w:p>
    <w:p>
      <w:pPr>
        <w:pStyle w:val="BodyText"/>
      </w:pPr>
      <w:r>
        <w:t xml:space="preserve">0.22</w:t>
      </w:r>
    </w:p>
    <w:p>
      <w:pPr>
        <w:pStyle w:val="BodyText"/>
      </w:pPr>
      <w:r>
        <w:t xml:space="preserve">0.43</w:t>
      </w:r>
    </w:p>
    <w:p>
      <w:pPr>
        <w:pStyle w:val="BodyText"/>
      </w:pPr>
      <w:r>
        <w:t xml:space="preserve">SOC</w:t>
      </w:r>
    </w:p>
    <w:p>
      <w:pPr>
        <w:pStyle w:val="BodyText"/>
      </w:pPr>
      <w:r>
        <w:t xml:space="preserve">Female</w:t>
      </w:r>
    </w:p>
    <w:p>
      <w:pPr>
        <w:pStyle w:val="BodyText"/>
      </w:pPr>
      <w:r>
        <w:t xml:space="preserve">40-49</w:t>
      </w:r>
    </w:p>
    <w:p>
      <w:pPr>
        <w:pStyle w:val="BodyText"/>
      </w:pPr>
      <w:r>
        <w:t xml:space="preserve">0.07</w:t>
      </w:r>
    </w:p>
    <w:p>
      <w:pPr>
        <w:pStyle w:val="BodyText"/>
      </w:pPr>
      <w:r>
        <w:t xml:space="preserve">0.00</w:t>
      </w:r>
    </w:p>
    <w:p>
      <w:pPr>
        <w:pStyle w:val="BodyText"/>
      </w:pPr>
      <w:r>
        <w:t xml:space="preserve">0.00</w:t>
      </w:r>
    </w:p>
    <w:p>
      <w:pPr>
        <w:pStyle w:val="BodyText"/>
      </w:pPr>
      <w:r>
        <w:t xml:space="preserve">0.06</w:t>
      </w:r>
    </w:p>
    <w:p>
      <w:pPr>
        <w:pStyle w:val="BodyText"/>
      </w:pPr>
      <w:r>
        <w:t xml:space="preserve">0.10</w:t>
      </w:r>
    </w:p>
    <w:p>
      <w:pPr>
        <w:pStyle w:val="BodyText"/>
      </w:pPr>
      <w:r>
        <w:t xml:space="preserve">0.48</w:t>
      </w:r>
    </w:p>
    <w:p>
      <w:pPr>
        <w:pStyle w:val="BodyText"/>
      </w:pPr>
      <w:r>
        <w:t xml:space="preserve">SOC</w:t>
      </w:r>
    </w:p>
    <w:p>
      <w:pPr>
        <w:pStyle w:val="BodyText"/>
      </w:pPr>
      <w:r>
        <w:t xml:space="preserve">Female</w:t>
      </w:r>
    </w:p>
    <w:p>
      <w:pPr>
        <w:pStyle w:val="BodyText"/>
      </w:pPr>
      <w:r>
        <w:t xml:space="preserve">50-59</w:t>
      </w:r>
    </w:p>
    <w:p>
      <w:pPr>
        <w:pStyle w:val="BodyText"/>
      </w:pPr>
      <w:r>
        <w:t xml:space="preserve">0.24</w:t>
      </w:r>
    </w:p>
    <w:p>
      <w:pPr>
        <w:pStyle w:val="BodyText"/>
      </w:pPr>
      <w:r>
        <w:t xml:space="preserve">0.00</w:t>
      </w:r>
    </w:p>
    <w:p>
      <w:pPr>
        <w:pStyle w:val="BodyText"/>
      </w:pPr>
      <w:r>
        <w:t xml:space="preserve">0.11</w:t>
      </w:r>
    </w:p>
    <w:p>
      <w:pPr>
        <w:pStyle w:val="BodyText"/>
      </w:pPr>
      <w:r>
        <w:t xml:space="preserve">0.20</w:t>
      </w:r>
    </w:p>
    <w:p>
      <w:pPr>
        <w:pStyle w:val="BodyText"/>
      </w:pPr>
      <w:r>
        <w:t xml:space="preserve">0.33</w:t>
      </w:r>
    </w:p>
    <w:p>
      <w:pPr>
        <w:pStyle w:val="BodyText"/>
      </w:pPr>
      <w:r>
        <w:t xml:space="preserve">1.33</w:t>
      </w:r>
    </w:p>
    <w:p>
      <w:pPr>
        <w:pStyle w:val="BodyText"/>
      </w:pPr>
      <w:r>
        <w:t xml:space="preserve">SOC</w:t>
      </w:r>
    </w:p>
    <w:p>
      <w:pPr>
        <w:pStyle w:val="BodyText"/>
      </w:pPr>
      <w:r>
        <w:t xml:space="preserve">Female</w:t>
      </w:r>
    </w:p>
    <w:p>
      <w:pPr>
        <w:pStyle w:val="BodyText"/>
      </w:pPr>
      <w:r>
        <w:t xml:space="preserve">60-69</w:t>
      </w:r>
    </w:p>
    <w:p>
      <w:pPr>
        <w:pStyle w:val="BodyText"/>
      </w:pPr>
      <w:r>
        <w:t xml:space="preserve">0.54</w:t>
      </w:r>
    </w:p>
    <w:p>
      <w:pPr>
        <w:pStyle w:val="BodyText"/>
      </w:pPr>
      <w:r>
        <w:t xml:space="preserve">0.00</w:t>
      </w:r>
    </w:p>
    <w:p>
      <w:pPr>
        <w:pStyle w:val="BodyText"/>
      </w:pPr>
      <w:r>
        <w:t xml:space="preserve">0.30</w:t>
      </w:r>
    </w:p>
    <w:p>
      <w:pPr>
        <w:pStyle w:val="BodyText"/>
      </w:pPr>
      <w:r>
        <w:t xml:space="preserve">0.49</w:t>
      </w:r>
    </w:p>
    <w:p>
      <w:pPr>
        <w:pStyle w:val="BodyText"/>
      </w:pPr>
      <w:r>
        <w:t xml:space="preserve">0.73</w:t>
      </w:r>
    </w:p>
    <w:p>
      <w:pPr>
        <w:pStyle w:val="BodyText"/>
      </w:pPr>
      <w:r>
        <w:t xml:space="preserve">2.51</w:t>
      </w:r>
    </w:p>
    <w:p>
      <w:pPr>
        <w:pStyle w:val="BodyText"/>
      </w:pPr>
      <w:r>
        <w:t xml:space="preserve">SOC</w:t>
      </w:r>
    </w:p>
    <w:p>
      <w:pPr>
        <w:pStyle w:val="BodyText"/>
      </w:pPr>
      <w:r>
        <w:t xml:space="preserve">Female</w:t>
      </w:r>
    </w:p>
    <w:p>
      <w:pPr>
        <w:pStyle w:val="BodyText"/>
      </w:pPr>
      <w:r>
        <w:t xml:space="preserve">70-79</w:t>
      </w:r>
    </w:p>
    <w:p>
      <w:pPr>
        <w:pStyle w:val="BodyText"/>
      </w:pPr>
      <w:r>
        <w:t xml:space="preserve">1.61</w:t>
      </w:r>
    </w:p>
    <w:p>
      <w:pPr>
        <w:pStyle w:val="BodyText"/>
      </w:pPr>
      <w:r>
        <w:t xml:space="preserve">0.00</w:t>
      </w:r>
    </w:p>
    <w:p>
      <w:pPr>
        <w:pStyle w:val="BodyText"/>
      </w:pPr>
      <w:r>
        <w:t xml:space="preserve">1.01</w:t>
      </w:r>
    </w:p>
    <w:p>
      <w:pPr>
        <w:pStyle w:val="BodyText"/>
      </w:pPr>
      <w:r>
        <w:t xml:space="preserve">1.48</w:t>
      </w:r>
    </w:p>
    <w:p>
      <w:pPr>
        <w:pStyle w:val="BodyText"/>
      </w:pPr>
      <w:r>
        <w:t xml:space="preserve">2.09</w:t>
      </w:r>
    </w:p>
    <w:p>
      <w:pPr>
        <w:pStyle w:val="BodyText"/>
      </w:pPr>
      <w:r>
        <w:t xml:space="preserve">5.63</w:t>
      </w:r>
    </w:p>
    <w:p>
      <w:pPr>
        <w:pStyle w:val="BodyText"/>
      </w:pPr>
      <w:r>
        <w:t xml:space="preserve">SOC</w:t>
      </w:r>
    </w:p>
    <w:p>
      <w:pPr>
        <w:pStyle w:val="BodyText"/>
      </w:pPr>
      <w:r>
        <w:t xml:space="preserve">Female</w:t>
      </w:r>
    </w:p>
    <w:p>
      <w:pPr>
        <w:pStyle w:val="BodyText"/>
      </w:pPr>
      <w:r>
        <w:t xml:space="preserve">80+</w:t>
      </w:r>
    </w:p>
    <w:p>
      <w:pPr>
        <w:pStyle w:val="BodyText"/>
      </w:pPr>
      <w:r>
        <w:t xml:space="preserve">2.09</w:t>
      </w:r>
    </w:p>
    <w:p>
      <w:pPr>
        <w:pStyle w:val="BodyText"/>
      </w:pPr>
      <w:r>
        <w:t xml:space="preserve">0.00</w:t>
      </w:r>
    </w:p>
    <w:p>
      <w:pPr>
        <w:pStyle w:val="BodyText"/>
      </w:pPr>
      <w:r>
        <w:t xml:space="preserve">1.19</w:t>
      </w:r>
    </w:p>
    <w:p>
      <w:pPr>
        <w:pStyle w:val="BodyText"/>
      </w:pPr>
      <w:r>
        <w:t xml:space="preserve">1.95</w:t>
      </w:r>
    </w:p>
    <w:p>
      <w:pPr>
        <w:pStyle w:val="BodyText"/>
      </w:pPr>
      <w:r>
        <w:t xml:space="preserve">2.81</w:t>
      </w:r>
    </w:p>
    <w:p>
      <w:pPr>
        <w:pStyle w:val="BodyText"/>
      </w:pPr>
      <w:r>
        <w:t xml:space="preserve">8.54</w:t>
      </w:r>
    </w:p>
    <w:p>
      <w:pPr>
        <w:pStyle w:val="BodyText"/>
      </w:pPr>
      <w:r>
        <w:t xml:space="preserve">SOC</w:t>
      </w:r>
    </w:p>
    <w:p>
      <w:pPr>
        <w:pStyle w:val="BodyText"/>
      </w:pPr>
      <w:r>
        <w:t xml:space="preserve">Male</w:t>
      </w:r>
    </w:p>
    <w:p>
      <w:pPr>
        <w:pStyle w:val="BodyText"/>
      </w:pPr>
      <w:r>
        <w:t xml:space="preserve">40-49</w:t>
      </w:r>
    </w:p>
    <w:p>
      <w:pPr>
        <w:pStyle w:val="BodyText"/>
      </w:pPr>
      <w:r>
        <w:t xml:space="preserve">0.07</w:t>
      </w:r>
    </w:p>
    <w:p>
      <w:pPr>
        <w:pStyle w:val="BodyText"/>
      </w:pPr>
      <w:r>
        <w:t xml:space="preserve">0.00</w:t>
      </w:r>
    </w:p>
    <w:p>
      <w:pPr>
        <w:pStyle w:val="BodyText"/>
      </w:pPr>
      <w:r>
        <w:t xml:space="preserve">0.00</w:t>
      </w:r>
    </w:p>
    <w:p>
      <w:pPr>
        <w:pStyle w:val="BodyText"/>
      </w:pPr>
      <w:r>
        <w:t xml:space="preserve">0.05</w:t>
      </w:r>
    </w:p>
    <w:p>
      <w:pPr>
        <w:pStyle w:val="BodyText"/>
      </w:pPr>
      <w:r>
        <w:t xml:space="preserve">0.10</w:t>
      </w:r>
    </w:p>
    <w:p>
      <w:pPr>
        <w:pStyle w:val="BodyText"/>
      </w:pPr>
      <w:r>
        <w:t xml:space="preserve">0.57</w:t>
      </w:r>
    </w:p>
    <w:p>
      <w:pPr>
        <w:pStyle w:val="BodyText"/>
      </w:pPr>
      <w:r>
        <w:t xml:space="preserve">SOC</w:t>
      </w:r>
    </w:p>
    <w:p>
      <w:pPr>
        <w:pStyle w:val="BodyText"/>
      </w:pPr>
      <w:r>
        <w:t xml:space="preserve">Male</w:t>
      </w:r>
    </w:p>
    <w:p>
      <w:pPr>
        <w:pStyle w:val="BodyText"/>
      </w:pPr>
      <w:r>
        <w:t xml:space="preserve">50-59</w:t>
      </w:r>
    </w:p>
    <w:p>
      <w:pPr>
        <w:pStyle w:val="BodyText"/>
      </w:pPr>
      <w:r>
        <w:t xml:space="preserve">0.25</w:t>
      </w:r>
    </w:p>
    <w:p>
      <w:pPr>
        <w:pStyle w:val="BodyText"/>
      </w:pPr>
      <w:r>
        <w:t xml:space="preserve">0.00</w:t>
      </w:r>
    </w:p>
    <w:p>
      <w:pPr>
        <w:pStyle w:val="BodyText"/>
      </w:pPr>
      <w:r>
        <w:t xml:space="preserve">0.11</w:t>
      </w:r>
    </w:p>
    <w:p>
      <w:pPr>
        <w:pStyle w:val="BodyText"/>
      </w:pPr>
      <w:r>
        <w:t xml:space="preserve">0.22</w:t>
      </w:r>
    </w:p>
    <w:p>
      <w:pPr>
        <w:pStyle w:val="BodyText"/>
      </w:pPr>
      <w:r>
        <w:t xml:space="preserve">0.35</w:t>
      </w:r>
    </w:p>
    <w:p>
      <w:pPr>
        <w:pStyle w:val="BodyText"/>
      </w:pPr>
      <w:r>
        <w:t xml:space="preserve">1.42</w:t>
      </w:r>
    </w:p>
    <w:p>
      <w:pPr>
        <w:pStyle w:val="BodyText"/>
      </w:pPr>
      <w:r>
        <w:t xml:space="preserve">SOC</w:t>
      </w:r>
    </w:p>
    <w:p>
      <w:pPr>
        <w:pStyle w:val="BodyText"/>
      </w:pPr>
      <w:r>
        <w:t xml:space="preserve">Male</w:t>
      </w:r>
    </w:p>
    <w:p>
      <w:pPr>
        <w:pStyle w:val="BodyText"/>
      </w:pPr>
      <w:r>
        <w:t xml:space="preserve">60-69</w:t>
      </w:r>
    </w:p>
    <w:p>
      <w:pPr>
        <w:pStyle w:val="BodyText"/>
      </w:pPr>
      <w:r>
        <w:t xml:space="preserve">0.57</w:t>
      </w:r>
    </w:p>
    <w:p>
      <w:pPr>
        <w:pStyle w:val="BodyText"/>
      </w:pPr>
      <w:r>
        <w:t xml:space="preserve">0.00</w:t>
      </w:r>
    </w:p>
    <w:p>
      <w:pPr>
        <w:pStyle w:val="BodyText"/>
      </w:pPr>
      <w:r>
        <w:t xml:space="preserve">0.31</w:t>
      </w:r>
    </w:p>
    <w:p>
      <w:pPr>
        <w:pStyle w:val="BodyText"/>
      </w:pPr>
      <w:r>
        <w:t xml:space="preserve">0.51</w:t>
      </w:r>
    </w:p>
    <w:p>
      <w:pPr>
        <w:pStyle w:val="BodyText"/>
      </w:pPr>
      <w:r>
        <w:t xml:space="preserve">0.76</w:t>
      </w:r>
    </w:p>
    <w:p>
      <w:pPr>
        <w:pStyle w:val="BodyText"/>
      </w:pPr>
      <w:r>
        <w:t xml:space="preserve">2.78</w:t>
      </w:r>
    </w:p>
    <w:p>
      <w:pPr>
        <w:pStyle w:val="BodyText"/>
      </w:pPr>
      <w:r>
        <w:t xml:space="preserve">SOC</w:t>
      </w:r>
    </w:p>
    <w:p>
      <w:pPr>
        <w:pStyle w:val="BodyText"/>
      </w:pPr>
      <w:r>
        <w:t xml:space="preserve">Male</w:t>
      </w:r>
    </w:p>
    <w:p>
      <w:pPr>
        <w:pStyle w:val="BodyText"/>
      </w:pPr>
      <w:r>
        <w:t xml:space="preserve">70-79</w:t>
      </w:r>
    </w:p>
    <w:p>
      <w:pPr>
        <w:pStyle w:val="BodyText"/>
      </w:pPr>
      <w:r>
        <w:t xml:space="preserve">1.64</w:t>
      </w:r>
    </w:p>
    <w:p>
      <w:pPr>
        <w:pStyle w:val="BodyText"/>
      </w:pPr>
      <w:r>
        <w:t xml:space="preserve">0.00</w:t>
      </w:r>
    </w:p>
    <w:p>
      <w:pPr>
        <w:pStyle w:val="BodyText"/>
      </w:pPr>
      <w:r>
        <w:t xml:space="preserve">0.98</w:t>
      </w:r>
    </w:p>
    <w:p>
      <w:pPr>
        <w:pStyle w:val="BodyText"/>
      </w:pPr>
      <w:r>
        <w:t xml:space="preserve">1.52</w:t>
      </w:r>
    </w:p>
    <w:p>
      <w:pPr>
        <w:pStyle w:val="BodyText"/>
      </w:pPr>
      <w:r>
        <w:t xml:space="preserve">2.18</w:t>
      </w:r>
    </w:p>
    <w:p>
      <w:pPr>
        <w:pStyle w:val="BodyText"/>
      </w:pPr>
      <w:r>
        <w:t xml:space="preserve">6.36</w:t>
      </w:r>
    </w:p>
    <w:p>
      <w:pPr>
        <w:pStyle w:val="BodyText"/>
      </w:pPr>
      <w:r>
        <w:t xml:space="preserve">SOC</w:t>
      </w:r>
    </w:p>
    <w:p>
      <w:pPr>
        <w:pStyle w:val="BodyText"/>
      </w:pPr>
      <w:r>
        <w:t xml:space="preserve">Male</w:t>
      </w:r>
    </w:p>
    <w:p>
      <w:pPr>
        <w:pStyle w:val="BodyText"/>
      </w:pPr>
      <w:r>
        <w:t xml:space="preserve">80+</w:t>
      </w:r>
    </w:p>
    <w:p>
      <w:pPr>
        <w:pStyle w:val="BodyText"/>
      </w:pPr>
      <w:r>
        <w:t xml:space="preserve">2.12</w:t>
      </w:r>
    </w:p>
    <w:p>
      <w:pPr>
        <w:pStyle w:val="BodyText"/>
      </w:pPr>
      <w:r>
        <w:t xml:space="preserve">0.00</w:t>
      </w:r>
    </w:p>
    <w:p>
      <w:pPr>
        <w:pStyle w:val="BodyText"/>
      </w:pPr>
      <w:r>
        <w:t xml:space="preserve">1.03</w:t>
      </w:r>
    </w:p>
    <w:p>
      <w:pPr>
        <w:pStyle w:val="BodyText"/>
      </w:pPr>
      <w:r>
        <w:t xml:space="preserve">1.88</w:t>
      </w:r>
    </w:p>
    <w:p>
      <w:pPr>
        <w:pStyle w:val="BodyText"/>
      </w:pPr>
      <w:r>
        <w:t xml:space="preserve">2.95</w:t>
      </w:r>
    </w:p>
    <w:p>
      <w:pPr>
        <w:pStyle w:val="BodyText"/>
      </w:pPr>
      <w:r>
        <w:t xml:space="preserve">12.27</w:t>
      </w:r>
    </w:p>
    <w:p>
      <w:pPr>
        <w:pStyle w:val="BodyText"/>
      </w:pPr>
      <w:r>
        <w:t xml:space="preserve">SSA</w:t>
      </w:r>
    </w:p>
    <w:p>
      <w:pPr>
        <w:pStyle w:val="BodyText"/>
      </w:pPr>
      <w:r>
        <w:t xml:space="preserve">Female</w:t>
      </w:r>
    </w:p>
    <w:p>
      <w:pPr>
        <w:pStyle w:val="BodyText"/>
      </w:pPr>
      <w:r>
        <w:t xml:space="preserve">20+</w:t>
      </w:r>
    </w:p>
    <w:p>
      <w:pPr>
        <w:pStyle w:val="BodyText"/>
      </w:pPr>
      <w:r>
        <w:t xml:space="preserve">0.16</w:t>
      </w:r>
    </w:p>
    <w:p>
      <w:pPr>
        <w:pStyle w:val="BodyText"/>
      </w:pPr>
      <w:r>
        <w:t xml:space="preserve">0.08</w:t>
      </w:r>
    </w:p>
    <w:p>
      <w:pPr>
        <w:pStyle w:val="BodyText"/>
      </w:pPr>
      <w:r>
        <w:t xml:space="preserve">0.14</w:t>
      </w:r>
    </w:p>
    <w:p>
      <w:pPr>
        <w:pStyle w:val="BodyText"/>
      </w:pPr>
      <w:r>
        <w:t xml:space="preserve">0.16</w:t>
      </w:r>
    </w:p>
    <w:p>
      <w:pPr>
        <w:pStyle w:val="BodyText"/>
      </w:pPr>
      <w:r>
        <w:t xml:space="preserve">0.18</w:t>
      </w:r>
    </w:p>
    <w:p>
      <w:pPr>
        <w:pStyle w:val="BodyText"/>
      </w:pPr>
      <w:r>
        <w:t xml:space="preserve">0.28</w:t>
      </w:r>
    </w:p>
    <w:p>
      <w:pPr>
        <w:pStyle w:val="BodyText"/>
      </w:pPr>
      <w:r>
        <w:t xml:space="preserve">SSA</w:t>
      </w:r>
    </w:p>
    <w:p>
      <w:pPr>
        <w:pStyle w:val="BodyText"/>
      </w:pPr>
      <w:r>
        <w:t xml:space="preserve">Female</w:t>
      </w:r>
    </w:p>
    <w:p>
      <w:pPr>
        <w:pStyle w:val="BodyText"/>
      </w:pPr>
      <w:r>
        <w:t xml:space="preserve">40-49</w:t>
      </w:r>
    </w:p>
    <w:p>
      <w:pPr>
        <w:pStyle w:val="BodyText"/>
      </w:pPr>
      <w:r>
        <w:t xml:space="preserve">0.14</w:t>
      </w:r>
    </w:p>
    <w:p>
      <w:pPr>
        <w:pStyle w:val="BodyText"/>
      </w:pPr>
      <w:r>
        <w:t xml:space="preserve">0.08</w:t>
      </w:r>
    </w:p>
    <w:p>
      <w:pPr>
        <w:pStyle w:val="BodyText"/>
      </w:pPr>
      <w:r>
        <w:t xml:space="preserve">0.11</w:t>
      </w:r>
    </w:p>
    <w:p>
      <w:pPr>
        <w:pStyle w:val="BodyText"/>
      </w:pPr>
      <w:r>
        <w:t xml:space="preserve">0.14</w:t>
      </w:r>
    </w:p>
    <w:p>
      <w:pPr>
        <w:pStyle w:val="BodyText"/>
      </w:pPr>
      <w:r>
        <w:t xml:space="preserve">0.16</w:t>
      </w:r>
    </w:p>
    <w:p>
      <w:pPr>
        <w:pStyle w:val="BodyText"/>
      </w:pPr>
      <w:r>
        <w:t xml:space="preserve">0.28</w:t>
      </w:r>
    </w:p>
    <w:p>
      <w:pPr>
        <w:pStyle w:val="BodyText"/>
      </w:pPr>
      <w:r>
        <w:t xml:space="preserve">SSA</w:t>
      </w:r>
    </w:p>
    <w:p>
      <w:pPr>
        <w:pStyle w:val="BodyText"/>
      </w:pPr>
      <w:r>
        <w:t xml:space="preserve">Female</w:t>
      </w:r>
    </w:p>
    <w:p>
      <w:pPr>
        <w:pStyle w:val="BodyText"/>
      </w:pPr>
      <w:r>
        <w:t xml:space="preserve">50-59</w:t>
      </w:r>
    </w:p>
    <w:p>
      <w:pPr>
        <w:pStyle w:val="BodyText"/>
      </w:pPr>
      <w:r>
        <w:t xml:space="preserve">0.33</w:t>
      </w:r>
    </w:p>
    <w:p>
      <w:pPr>
        <w:pStyle w:val="BodyText"/>
      </w:pPr>
      <w:r>
        <w:t xml:space="preserve">0.18</w:t>
      </w:r>
    </w:p>
    <w:p>
      <w:pPr>
        <w:pStyle w:val="BodyText"/>
      </w:pPr>
      <w:r>
        <w:t xml:space="preserve">0.27</w:t>
      </w:r>
    </w:p>
    <w:p>
      <w:pPr>
        <w:pStyle w:val="BodyText"/>
      </w:pPr>
      <w:r>
        <w:t xml:space="preserve">0.32</w:t>
      </w:r>
    </w:p>
    <w:p>
      <w:pPr>
        <w:pStyle w:val="BodyText"/>
      </w:pPr>
      <w:r>
        <w:t xml:space="preserve">0.38</w:t>
      </w:r>
    </w:p>
    <w:p>
      <w:pPr>
        <w:pStyle w:val="BodyText"/>
      </w:pPr>
      <w:r>
        <w:t xml:space="preserve">0.57</w:t>
      </w:r>
    </w:p>
    <w:p>
      <w:pPr>
        <w:pStyle w:val="BodyText"/>
      </w:pPr>
      <w:r>
        <w:t xml:space="preserve">SSA</w:t>
      </w:r>
    </w:p>
    <w:p>
      <w:pPr>
        <w:pStyle w:val="BodyText"/>
      </w:pPr>
      <w:r>
        <w:t xml:space="preserve">Female</w:t>
      </w:r>
    </w:p>
    <w:p>
      <w:pPr>
        <w:pStyle w:val="BodyText"/>
      </w:pPr>
      <w:r>
        <w:t xml:space="preserve">60-69</w:t>
      </w:r>
    </w:p>
    <w:p>
      <w:pPr>
        <w:pStyle w:val="BodyText"/>
      </w:pPr>
      <w:r>
        <w:t xml:space="preserve">0.60</w:t>
      </w:r>
    </w:p>
    <w:p>
      <w:pPr>
        <w:pStyle w:val="BodyText"/>
      </w:pPr>
      <w:r>
        <w:t xml:space="preserve">0.34</w:t>
      </w:r>
    </w:p>
    <w:p>
      <w:pPr>
        <w:pStyle w:val="BodyText"/>
      </w:pPr>
      <w:r>
        <w:t xml:space="preserve">0.53</w:t>
      </w:r>
    </w:p>
    <w:p>
      <w:pPr>
        <w:pStyle w:val="BodyText"/>
      </w:pPr>
      <w:r>
        <w:t xml:space="preserve">0.57</w:t>
      </w:r>
    </w:p>
    <w:p>
      <w:pPr>
        <w:pStyle w:val="BodyText"/>
      </w:pPr>
      <w:r>
        <w:t xml:space="preserve">0.66</w:t>
      </w:r>
    </w:p>
    <w:p>
      <w:pPr>
        <w:pStyle w:val="BodyText"/>
      </w:pPr>
      <w:r>
        <w:t xml:space="preserve">0.96</w:t>
      </w:r>
    </w:p>
    <w:p>
      <w:pPr>
        <w:pStyle w:val="BodyText"/>
      </w:pPr>
      <w:r>
        <w:t xml:space="preserve">SSA</w:t>
      </w:r>
    </w:p>
    <w:p>
      <w:pPr>
        <w:pStyle w:val="BodyText"/>
      </w:pPr>
      <w:r>
        <w:t xml:space="preserve">Female</w:t>
      </w:r>
    </w:p>
    <w:p>
      <w:pPr>
        <w:pStyle w:val="BodyText"/>
      </w:pPr>
      <w:r>
        <w:t xml:space="preserve">70-79</w:t>
      </w:r>
    </w:p>
    <w:p>
      <w:pPr>
        <w:pStyle w:val="BodyText"/>
      </w:pPr>
      <w:r>
        <w:t xml:space="preserve">0.95</w:t>
      </w:r>
    </w:p>
    <w:p>
      <w:pPr>
        <w:pStyle w:val="BodyText"/>
      </w:pPr>
      <w:r>
        <w:t xml:space="preserve">0.58</w:t>
      </w:r>
    </w:p>
    <w:p>
      <w:pPr>
        <w:pStyle w:val="BodyText"/>
      </w:pPr>
      <w:r>
        <w:t xml:space="preserve">0.85</w:t>
      </w:r>
    </w:p>
    <w:p>
      <w:pPr>
        <w:pStyle w:val="BodyText"/>
      </w:pPr>
      <w:r>
        <w:t xml:space="preserve">0.92</w:t>
      </w:r>
    </w:p>
    <w:p>
      <w:pPr>
        <w:pStyle w:val="BodyText"/>
      </w:pPr>
      <w:r>
        <w:t xml:space="preserve">1.05</w:t>
      </w:r>
    </w:p>
    <w:p>
      <w:pPr>
        <w:pStyle w:val="BodyText"/>
      </w:pPr>
      <w:r>
        <w:t xml:space="preserve">1.36</w:t>
      </w:r>
    </w:p>
    <w:p>
      <w:pPr>
        <w:pStyle w:val="BodyText"/>
      </w:pPr>
      <w:r>
        <w:t xml:space="preserve">SSA</w:t>
      </w:r>
    </w:p>
    <w:p>
      <w:pPr>
        <w:pStyle w:val="BodyText"/>
      </w:pPr>
      <w:r>
        <w:t xml:space="preserve">Female</w:t>
      </w:r>
    </w:p>
    <w:p>
      <w:pPr>
        <w:pStyle w:val="BodyText"/>
      </w:pPr>
      <w:r>
        <w:t xml:space="preserve">80+</w:t>
      </w:r>
    </w:p>
    <w:p>
      <w:pPr>
        <w:pStyle w:val="BodyText"/>
      </w:pPr>
      <w:r>
        <w:t xml:space="preserve">1.61</w:t>
      </w:r>
    </w:p>
    <w:p>
      <w:pPr>
        <w:pStyle w:val="BodyText"/>
      </w:pPr>
      <w:r>
        <w:t xml:space="preserve">1.01</w:t>
      </w:r>
    </w:p>
    <w:p>
      <w:pPr>
        <w:pStyle w:val="BodyText"/>
      </w:pPr>
      <w:r>
        <w:t xml:space="preserve">1.45</w:t>
      </w:r>
    </w:p>
    <w:p>
      <w:pPr>
        <w:pStyle w:val="BodyText"/>
      </w:pPr>
      <w:r>
        <w:t xml:space="preserve">1.63</w:t>
      </w:r>
    </w:p>
    <w:p>
      <w:pPr>
        <w:pStyle w:val="BodyText"/>
      </w:pPr>
      <w:r>
        <w:t xml:space="preserve">1.74</w:t>
      </w:r>
    </w:p>
    <w:p>
      <w:pPr>
        <w:pStyle w:val="BodyText"/>
      </w:pPr>
      <w:r>
        <w:t xml:space="preserve">2.47</w:t>
      </w:r>
    </w:p>
    <w:p>
      <w:pPr>
        <w:pStyle w:val="BodyText"/>
      </w:pPr>
      <w:r>
        <w:t xml:space="preserve">SSA</w:t>
      </w:r>
    </w:p>
    <w:p>
      <w:pPr>
        <w:pStyle w:val="BodyText"/>
      </w:pPr>
      <w:r>
        <w:t xml:space="preserve">Male</w:t>
      </w:r>
    </w:p>
    <w:p>
      <w:pPr>
        <w:pStyle w:val="BodyText"/>
      </w:pPr>
      <w:r>
        <w:t xml:space="preserve">20+</w:t>
      </w:r>
    </w:p>
    <w:p>
      <w:pPr>
        <w:pStyle w:val="BodyText"/>
      </w:pPr>
      <w:r>
        <w:t xml:space="preserve">0.15</w:t>
      </w:r>
    </w:p>
    <w:p>
      <w:pPr>
        <w:pStyle w:val="BodyText"/>
      </w:pPr>
      <w:r>
        <w:t xml:space="preserve">0.09</w:t>
      </w:r>
    </w:p>
    <w:p>
      <w:pPr>
        <w:pStyle w:val="BodyText"/>
      </w:pPr>
      <w:r>
        <w:t xml:space="preserve">0.13</w:t>
      </w:r>
    </w:p>
    <w:p>
      <w:pPr>
        <w:pStyle w:val="BodyText"/>
      </w:pPr>
      <w:r>
        <w:t xml:space="preserve">0.15</w:t>
      </w:r>
    </w:p>
    <w:p>
      <w:pPr>
        <w:pStyle w:val="BodyText"/>
      </w:pPr>
      <w:r>
        <w:t xml:space="preserve">0.16</w:t>
      </w:r>
    </w:p>
    <w:p>
      <w:pPr>
        <w:pStyle w:val="BodyText"/>
      </w:pPr>
      <w:r>
        <w:t xml:space="preserve">0.26</w:t>
      </w:r>
    </w:p>
    <w:p>
      <w:pPr>
        <w:pStyle w:val="BodyText"/>
      </w:pPr>
      <w:r>
        <w:t xml:space="preserve">SSA</w:t>
      </w:r>
    </w:p>
    <w:p>
      <w:pPr>
        <w:pStyle w:val="BodyText"/>
      </w:pPr>
      <w:r>
        <w:t xml:space="preserve">Male</w:t>
      </w:r>
    </w:p>
    <w:p>
      <w:pPr>
        <w:pStyle w:val="BodyText"/>
      </w:pPr>
      <w:r>
        <w:t xml:space="preserve">40-49</w:t>
      </w:r>
    </w:p>
    <w:p>
      <w:pPr>
        <w:pStyle w:val="BodyText"/>
      </w:pPr>
      <w:r>
        <w:t xml:space="preserve">0.16</w:t>
      </w:r>
    </w:p>
    <w:p>
      <w:pPr>
        <w:pStyle w:val="BodyText"/>
      </w:pPr>
      <w:r>
        <w:t xml:space="preserve">0.09</w:t>
      </w:r>
    </w:p>
    <w:p>
      <w:pPr>
        <w:pStyle w:val="BodyText"/>
      </w:pPr>
      <w:r>
        <w:t xml:space="preserve">0.13</w:t>
      </w:r>
    </w:p>
    <w:p>
      <w:pPr>
        <w:pStyle w:val="BodyText"/>
      </w:pPr>
      <w:r>
        <w:t xml:space="preserve">0.14</w:t>
      </w:r>
    </w:p>
    <w:p>
      <w:pPr>
        <w:pStyle w:val="BodyText"/>
      </w:pPr>
      <w:r>
        <w:t xml:space="preserve">0.19</w:t>
      </w:r>
    </w:p>
    <w:p>
      <w:pPr>
        <w:pStyle w:val="BodyText"/>
      </w:pPr>
      <w:r>
        <w:t xml:space="preserve">0.31</w:t>
      </w:r>
    </w:p>
    <w:p>
      <w:pPr>
        <w:pStyle w:val="BodyText"/>
      </w:pPr>
      <w:r>
        <w:t xml:space="preserve">SSA</w:t>
      </w:r>
    </w:p>
    <w:p>
      <w:pPr>
        <w:pStyle w:val="BodyText"/>
      </w:pPr>
      <w:r>
        <w:t xml:space="preserve">Male</w:t>
      </w:r>
    </w:p>
    <w:p>
      <w:pPr>
        <w:pStyle w:val="BodyText"/>
      </w:pPr>
      <w:r>
        <w:t xml:space="preserve">50-59</w:t>
      </w:r>
    </w:p>
    <w:p>
      <w:pPr>
        <w:pStyle w:val="BodyText"/>
      </w:pPr>
      <w:r>
        <w:t xml:space="preserve">0.33</w:t>
      </w:r>
    </w:p>
    <w:p>
      <w:pPr>
        <w:pStyle w:val="BodyText"/>
      </w:pPr>
      <w:r>
        <w:t xml:space="preserve">0.18</w:t>
      </w:r>
    </w:p>
    <w:p>
      <w:pPr>
        <w:pStyle w:val="BodyText"/>
      </w:pPr>
      <w:r>
        <w:t xml:space="preserve">0.28</w:t>
      </w:r>
    </w:p>
    <w:p>
      <w:pPr>
        <w:pStyle w:val="BodyText"/>
      </w:pPr>
      <w:r>
        <w:t xml:space="preserve">0.31</w:t>
      </w:r>
    </w:p>
    <w:p>
      <w:pPr>
        <w:pStyle w:val="BodyText"/>
      </w:pPr>
      <w:r>
        <w:t xml:space="preserve">0.37</w:t>
      </w:r>
    </w:p>
    <w:p>
      <w:pPr>
        <w:pStyle w:val="BodyText"/>
      </w:pPr>
      <w:r>
        <w:t xml:space="preserve">0.67</w:t>
      </w:r>
    </w:p>
    <w:p>
      <w:pPr>
        <w:pStyle w:val="BodyText"/>
      </w:pPr>
      <w:r>
        <w:t xml:space="preserve">SSA</w:t>
      </w:r>
    </w:p>
    <w:p>
      <w:pPr>
        <w:pStyle w:val="BodyText"/>
      </w:pPr>
      <w:r>
        <w:t xml:space="preserve">Male</w:t>
      </w:r>
    </w:p>
    <w:p>
      <w:pPr>
        <w:pStyle w:val="BodyText"/>
      </w:pPr>
      <w:r>
        <w:t xml:space="preserve">60-69</w:t>
      </w:r>
    </w:p>
    <w:p>
      <w:pPr>
        <w:pStyle w:val="BodyText"/>
      </w:pPr>
      <w:r>
        <w:t xml:space="preserve">0.58</w:t>
      </w:r>
    </w:p>
    <w:p>
      <w:pPr>
        <w:pStyle w:val="BodyText"/>
      </w:pPr>
      <w:r>
        <w:t xml:space="preserve">0.34</w:t>
      </w:r>
    </w:p>
    <w:p>
      <w:pPr>
        <w:pStyle w:val="BodyText"/>
      </w:pPr>
      <w:r>
        <w:t xml:space="preserve">0.51</w:t>
      </w:r>
    </w:p>
    <w:p>
      <w:pPr>
        <w:pStyle w:val="BodyText"/>
      </w:pPr>
      <w:r>
        <w:t xml:space="preserve">0.56</w:t>
      </w:r>
    </w:p>
    <w:p>
      <w:pPr>
        <w:pStyle w:val="BodyText"/>
      </w:pPr>
      <w:r>
        <w:t xml:space="preserve">0.63</w:t>
      </w:r>
    </w:p>
    <w:p>
      <w:pPr>
        <w:pStyle w:val="BodyText"/>
      </w:pPr>
      <w:r>
        <w:t xml:space="preserve">1.08</w:t>
      </w:r>
    </w:p>
    <w:p>
      <w:pPr>
        <w:pStyle w:val="BodyText"/>
      </w:pPr>
      <w:r>
        <w:t xml:space="preserve">SSA</w:t>
      </w:r>
    </w:p>
    <w:p>
      <w:pPr>
        <w:pStyle w:val="BodyText"/>
      </w:pPr>
      <w:r>
        <w:t xml:space="preserve">Male</w:t>
      </w:r>
    </w:p>
    <w:p>
      <w:pPr>
        <w:pStyle w:val="BodyText"/>
      </w:pPr>
      <w:r>
        <w:t xml:space="preserve">70-79</w:t>
      </w:r>
    </w:p>
    <w:p>
      <w:pPr>
        <w:pStyle w:val="BodyText"/>
      </w:pPr>
      <w:r>
        <w:t xml:space="preserve">0.87</w:t>
      </w:r>
    </w:p>
    <w:p>
      <w:pPr>
        <w:pStyle w:val="BodyText"/>
      </w:pPr>
      <w:r>
        <w:t xml:space="preserve">0.54</w:t>
      </w:r>
    </w:p>
    <w:p>
      <w:pPr>
        <w:pStyle w:val="BodyText"/>
      </w:pPr>
      <w:r>
        <w:t xml:space="preserve">0.72</w:t>
      </w:r>
    </w:p>
    <w:p>
      <w:pPr>
        <w:pStyle w:val="BodyText"/>
      </w:pPr>
      <w:r>
        <w:t xml:space="preserve">0.87</w:t>
      </w:r>
    </w:p>
    <w:p>
      <w:pPr>
        <w:pStyle w:val="BodyText"/>
      </w:pPr>
      <w:r>
        <w:t xml:space="preserve">0.97</w:t>
      </w:r>
    </w:p>
    <w:p>
      <w:pPr>
        <w:pStyle w:val="BodyText"/>
      </w:pPr>
      <w:r>
        <w:t xml:space="preserve">1.41</w:t>
      </w:r>
    </w:p>
    <w:p>
      <w:pPr>
        <w:pStyle w:val="BodyText"/>
      </w:pPr>
      <w:r>
        <w:t xml:space="preserve">SSA</w:t>
      </w:r>
    </w:p>
    <w:p>
      <w:pPr>
        <w:pStyle w:val="BodyText"/>
      </w:pPr>
      <w:r>
        <w:t xml:space="preserve">Male</w:t>
      </w:r>
    </w:p>
    <w:p>
      <w:pPr>
        <w:pStyle w:val="BodyText"/>
      </w:pPr>
      <w:r>
        <w:t xml:space="preserve">80+</w:t>
      </w:r>
    </w:p>
    <w:p>
      <w:pPr>
        <w:pStyle w:val="BodyText"/>
      </w:pPr>
      <w:r>
        <w:t xml:space="preserve">1.34</w:t>
      </w:r>
    </w:p>
    <w:p>
      <w:pPr>
        <w:pStyle w:val="BodyText"/>
      </w:pPr>
      <w:r>
        <w:t xml:space="preserve">0.98</w:t>
      </w:r>
    </w:p>
    <w:p>
      <w:pPr>
        <w:pStyle w:val="BodyText"/>
      </w:pPr>
      <w:r>
        <w:t xml:space="preserve">1.25</w:t>
      </w:r>
    </w:p>
    <w:p>
      <w:pPr>
        <w:pStyle w:val="BodyText"/>
      </w:pPr>
      <w:r>
        <w:t xml:space="preserve">1.34</w:t>
      </w:r>
    </w:p>
    <w:p>
      <w:pPr>
        <w:pStyle w:val="BodyText"/>
      </w:pPr>
      <w:r>
        <w:t xml:space="preserve">1.42</w:t>
      </w:r>
    </w:p>
    <w:p>
      <w:pPr>
        <w:pStyle w:val="BodyText"/>
      </w:pPr>
      <w:r>
        <w:t xml:space="preserve">1.73</w:t>
      </w:r>
    </w:p>
    <w:bookmarkEnd w:id="73"/>
    <w:bookmarkEnd w:id="74"/>
    <w:bookmarkStart w:id="81" w:name="prevalence-of-stroke"/>
    <w:p>
      <w:pPr>
        <w:pStyle w:val="Heading3"/>
      </w:pPr>
      <w:r>
        <w:t xml:space="preserve">Prevalence of Stroke</w:t>
      </w:r>
    </w:p>
    <w:p>
      <w:pPr>
        <w:pStyle w:val="FirstParagraph"/>
      </w:pPr>
      <w:r>
        <w:t xml:space="preserve">Defined as any prior history of stroke among living adults.</w:t>
      </w:r>
    </w:p>
    <w:p>
      <w:pPr>
        <w:pStyle w:val="BodyText"/>
      </w:pPr>
      <w:r>
        <w:drawing>
          <wp:inline>
            <wp:extent cx="5334000" cy="3556000"/>
            <wp:effectExtent b="0" l="0" r="0" t="0"/>
            <wp:docPr descr="" title="" id="76" name="Picture"/>
            <a:graphic>
              <a:graphicData uri="http://schemas.openxmlformats.org/drawingml/2006/picture">
                <pic:pic>
                  <pic:nvPicPr>
                    <pic:cNvPr descr="supplement_files/figure-docx/unnamed-chunk-4-1.png" id="77" name="Picture"/>
                    <pic:cNvPicPr>
                      <a:picLocks noChangeArrowheads="1" noChangeAspect="1"/>
                    </pic:cNvPicPr>
                  </pic:nvPicPr>
                  <pic:blipFill>
                    <a:blip r:embed="rId75"/>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79" name="Picture"/>
            <a:graphic>
              <a:graphicData uri="http://schemas.openxmlformats.org/drawingml/2006/picture">
                <pic:pic>
                  <pic:nvPicPr>
                    <pic:cNvPr descr="supplement_files/figure-docx/unnamed-chunk-4-2.png" id="80" name="Picture"/>
                    <pic:cNvPicPr>
                      <a:picLocks noChangeArrowheads="1" noChangeAspect="1"/>
                    </pic:cNvPicPr>
                  </pic:nvPicPr>
                  <pic:blipFill>
                    <a:blip r:embed="rId78"/>
                    <a:stretch>
                      <a:fillRect/>
                    </a:stretch>
                  </pic:blipFill>
                  <pic:spPr bwMode="auto">
                    <a:xfrm>
                      <a:off x="0" y="0"/>
                      <a:ext cx="5334000" cy="3556000"/>
                    </a:xfrm>
                    <a:prstGeom prst="rect">
                      <a:avLst/>
                    </a:prstGeom>
                    <a:noFill/>
                    <a:ln w="9525">
                      <a:noFill/>
                      <a:headEnd/>
                      <a:tailEnd/>
                    </a:ln>
                  </pic:spPr>
                </pic:pic>
              </a:graphicData>
            </a:graphic>
          </wp:inline>
        </w:drawing>
      </w:r>
    </w:p>
    <w:bookmarkEnd w:id="81"/>
    <w:bookmarkEnd w:id="82"/>
    <w:bookmarkStart w:id="92" w:name="cvd-mortality"/>
    <w:p>
      <w:pPr>
        <w:pStyle w:val="Heading2"/>
      </w:pPr>
      <w:r>
        <w:t xml:space="preserve">CVD Mortality</w:t>
      </w:r>
    </w:p>
    <w:p>
      <w:pPr>
        <w:pStyle w:val="FirstParagraph"/>
      </w:pPr>
      <w:r>
        <w:t xml:space="preserve">Mortality resulting from ischemic heart disease or stroke.</w:t>
      </w:r>
    </w:p>
    <w:p>
      <w:pPr>
        <w:pStyle w:val="BodyText"/>
      </w:pPr>
      <w:r>
        <w:drawing>
          <wp:inline>
            <wp:extent cx="5334000" cy="3556000"/>
            <wp:effectExtent b="0" l="0" r="0" t="0"/>
            <wp:docPr descr="" title="" id="84" name="Picture"/>
            <a:graphic>
              <a:graphicData uri="http://schemas.openxmlformats.org/drawingml/2006/picture">
                <pic:pic>
                  <pic:nvPicPr>
                    <pic:cNvPr descr="supplement_files/figure-docx/unnamed-chunk-5-1.png" id="85" name="Picture"/>
                    <pic:cNvPicPr>
                      <a:picLocks noChangeArrowheads="1" noChangeAspect="1"/>
                    </pic:cNvPicPr>
                  </pic:nvPicPr>
                  <pic:blipFill>
                    <a:blip r:embed="rId83"/>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87" name="Picture"/>
            <a:graphic>
              <a:graphicData uri="http://schemas.openxmlformats.org/drawingml/2006/picture">
                <pic:pic>
                  <pic:nvPicPr>
                    <pic:cNvPr descr="supplement_files/figure-docx/unnamed-chunk-5-2.png" id="88" name="Picture"/>
                    <pic:cNvPicPr>
                      <a:picLocks noChangeArrowheads="1" noChangeAspect="1"/>
                    </pic:cNvPicPr>
                  </pic:nvPicPr>
                  <pic:blipFill>
                    <a:blip r:embed="rId86"/>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90" name="Picture"/>
            <a:graphic>
              <a:graphicData uri="http://schemas.openxmlformats.org/drawingml/2006/picture">
                <pic:pic>
                  <pic:nvPicPr>
                    <pic:cNvPr descr="supplement_files/figure-docx/unnamed-chunk-5-3.png" id="91" name="Picture"/>
                    <pic:cNvPicPr>
                      <a:picLocks noChangeArrowheads="1" noChangeAspect="1"/>
                    </pic:cNvPicPr>
                  </pic:nvPicPr>
                  <pic:blipFill>
                    <a:blip r:embed="rId89"/>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VerbatimChar"/>
        </w:rPr>
        <w:t xml:space="preserve">## `summarise()` has grouped output by 'source', 'sex'. You can override using the</w:t>
      </w:r>
      <w:r>
        <w:br/>
      </w:r>
      <w:r>
        <w:rPr>
          <w:rStyle w:val="VerbatimChar"/>
        </w:rPr>
        <w:t xml:space="preserve">## `.groups` argument.</w:t>
      </w:r>
    </w:p>
    <w:p>
      <w:pPr>
        <w:pStyle w:val="FirstParagraph"/>
      </w:pPr>
      <w:r>
        <w:t xml:space="preserve">source</w:t>
      </w:r>
    </w:p>
    <w:p>
      <w:pPr>
        <w:pStyle w:val="BodyText"/>
      </w:pPr>
      <w:r>
        <w:t xml:space="preserve">sex</w:t>
      </w:r>
    </w:p>
    <w:p>
      <w:pPr>
        <w:pStyle w:val="BodyText"/>
      </w:pPr>
      <w:r>
        <w:t xml:space="preserve">age</w:t>
      </w:r>
    </w:p>
    <w:p>
      <w:pPr>
        <w:pStyle w:val="BodyText"/>
      </w:pPr>
      <w:r>
        <w:t xml:space="preserve">Mortality rate</w:t>
      </w:r>
    </w:p>
    <w:p>
      <w:pPr>
        <w:pStyle w:val="BodyText"/>
      </w:pPr>
      <w:r>
        <w:t xml:space="preserve">min</w:t>
      </w:r>
    </w:p>
    <w:p>
      <w:pPr>
        <w:pStyle w:val="BodyText"/>
      </w:pPr>
      <w:r>
        <w:t xml:space="preserve">Q1</w:t>
      </w:r>
    </w:p>
    <w:p>
      <w:pPr>
        <w:pStyle w:val="BodyText"/>
      </w:pPr>
      <w:r>
        <w:t xml:space="preserve">median</w:t>
      </w:r>
    </w:p>
    <w:p>
      <w:pPr>
        <w:pStyle w:val="BodyText"/>
      </w:pPr>
      <w:r>
        <w:t xml:space="preserve">Q3</w:t>
      </w:r>
    </w:p>
    <w:p>
      <w:pPr>
        <w:pStyle w:val="BodyText"/>
      </w:pPr>
      <w:r>
        <w:t xml:space="preserve">max</w:t>
      </w:r>
    </w:p>
    <w:p>
      <w:pPr>
        <w:pStyle w:val="BodyText"/>
      </w:pPr>
      <w:r>
        <w:t xml:space="preserve">SOC</w:t>
      </w:r>
    </w:p>
    <w:p>
      <w:pPr>
        <w:pStyle w:val="BodyText"/>
      </w:pPr>
      <w:r>
        <w:t xml:space="preserve">All</w:t>
      </w:r>
    </w:p>
    <w:p>
      <w:pPr>
        <w:pStyle w:val="BodyText"/>
      </w:pPr>
      <w:r>
        <w:t xml:space="preserve">18+</w:t>
      </w:r>
    </w:p>
    <w:p>
      <w:pPr>
        <w:pStyle w:val="BodyText"/>
      </w:pPr>
      <w:r>
        <w:t xml:space="preserve">0.328</w:t>
      </w:r>
    </w:p>
    <w:p>
      <w:pPr>
        <w:pStyle w:val="BodyText"/>
      </w:pPr>
      <w:r>
        <w:t xml:space="preserve">0.082</w:t>
      </w:r>
    </w:p>
    <w:p>
      <w:pPr>
        <w:pStyle w:val="BodyText"/>
      </w:pPr>
      <w:r>
        <w:t xml:space="preserve">0.269</w:t>
      </w:r>
    </w:p>
    <w:p>
      <w:pPr>
        <w:pStyle w:val="BodyText"/>
      </w:pPr>
      <w:r>
        <w:t xml:space="preserve">0.323</w:t>
      </w:r>
    </w:p>
    <w:p>
      <w:pPr>
        <w:pStyle w:val="BodyText"/>
      </w:pPr>
      <w:r>
        <w:t xml:space="preserve">0.381</w:t>
      </w:r>
    </w:p>
    <w:p>
      <w:pPr>
        <w:pStyle w:val="BodyText"/>
      </w:pPr>
      <w:r>
        <w:t xml:space="preserve">0.688</w:t>
      </w:r>
    </w:p>
    <w:p>
      <w:pPr>
        <w:pStyle w:val="BodyText"/>
      </w:pPr>
      <w:r>
        <w:t xml:space="preserve">SOC</w:t>
      </w:r>
    </w:p>
    <w:p>
      <w:pPr>
        <w:pStyle w:val="BodyText"/>
      </w:pPr>
      <w:r>
        <w:t xml:space="preserve">All</w:t>
      </w:r>
    </w:p>
    <w:p>
      <w:pPr>
        <w:pStyle w:val="BodyText"/>
      </w:pPr>
      <w:r>
        <w:t xml:space="preserve">40-59</w:t>
      </w:r>
    </w:p>
    <w:p>
      <w:pPr>
        <w:pStyle w:val="BodyText"/>
      </w:pPr>
      <w:r>
        <w:t xml:space="preserve">0.325</w:t>
      </w:r>
    </w:p>
    <w:p>
      <w:pPr>
        <w:pStyle w:val="BodyText"/>
      </w:pPr>
      <w:r>
        <w:t xml:space="preserve">0.000</w:t>
      </w:r>
    </w:p>
    <w:p>
      <w:pPr>
        <w:pStyle w:val="BodyText"/>
      </w:pPr>
      <w:r>
        <w:t xml:space="preserve">0.243</w:t>
      </w:r>
    </w:p>
    <w:p>
      <w:pPr>
        <w:pStyle w:val="BodyText"/>
      </w:pPr>
      <w:r>
        <w:t xml:space="preserve">0.312</w:t>
      </w:r>
    </w:p>
    <w:p>
      <w:pPr>
        <w:pStyle w:val="BodyText"/>
      </w:pPr>
      <w:r>
        <w:t xml:space="preserve">0.394</w:t>
      </w:r>
    </w:p>
    <w:p>
      <w:pPr>
        <w:pStyle w:val="BodyText"/>
      </w:pPr>
      <w:r>
        <w:t xml:space="preserve">0.942</w:t>
      </w:r>
    </w:p>
    <w:p>
      <w:pPr>
        <w:pStyle w:val="BodyText"/>
      </w:pPr>
      <w:r>
        <w:t xml:space="preserve">SOC</w:t>
      </w:r>
    </w:p>
    <w:p>
      <w:pPr>
        <w:pStyle w:val="BodyText"/>
      </w:pPr>
      <w:r>
        <w:t xml:space="preserve">All</w:t>
      </w:r>
    </w:p>
    <w:p>
      <w:pPr>
        <w:pStyle w:val="BodyText"/>
      </w:pPr>
      <w:r>
        <w:t xml:space="preserve">60-79</w:t>
      </w:r>
    </w:p>
    <w:p>
      <w:pPr>
        <w:pStyle w:val="BodyText"/>
      </w:pPr>
      <w:r>
        <w:t xml:space="preserve">1.735</w:t>
      </w:r>
    </w:p>
    <w:p>
      <w:pPr>
        <w:pStyle w:val="BodyText"/>
      </w:pPr>
      <w:r>
        <w:t xml:space="preserve">0.408</w:t>
      </w:r>
    </w:p>
    <w:p>
      <w:pPr>
        <w:pStyle w:val="BodyText"/>
      </w:pPr>
      <w:r>
        <w:t xml:space="preserve">1.392</w:t>
      </w:r>
    </w:p>
    <w:p>
      <w:pPr>
        <w:pStyle w:val="BodyText"/>
      </w:pPr>
      <w:r>
        <w:t xml:space="preserve">1.683</w:t>
      </w:r>
    </w:p>
    <w:p>
      <w:pPr>
        <w:pStyle w:val="BodyText"/>
      </w:pPr>
      <w:r>
        <w:t xml:space="preserve">2.047</w:t>
      </w:r>
    </w:p>
    <w:p>
      <w:pPr>
        <w:pStyle w:val="BodyText"/>
      </w:pPr>
      <w:r>
        <w:t xml:space="preserve">4.284</w:t>
      </w:r>
    </w:p>
    <w:p>
      <w:pPr>
        <w:pStyle w:val="BodyText"/>
      </w:pPr>
      <w:r>
        <w:t xml:space="preserve">SOC</w:t>
      </w:r>
    </w:p>
    <w:p>
      <w:pPr>
        <w:pStyle w:val="BodyText"/>
      </w:pPr>
      <w:r>
        <w:t xml:space="preserve">All</w:t>
      </w:r>
    </w:p>
    <w:p>
      <w:pPr>
        <w:pStyle w:val="BodyText"/>
      </w:pPr>
      <w:r>
        <w:t xml:space="preserve">All</w:t>
      </w:r>
    </w:p>
    <w:p>
      <w:pPr>
        <w:pStyle w:val="BodyText"/>
      </w:pPr>
      <w:r>
        <w:t xml:space="preserve">0.296</w:t>
      </w:r>
    </w:p>
    <w:p>
      <w:pPr>
        <w:pStyle w:val="BodyText"/>
      </w:pPr>
      <w:r>
        <w:t xml:space="preserve">0.071</w:t>
      </w:r>
    </w:p>
    <w:p>
      <w:pPr>
        <w:pStyle w:val="BodyText"/>
      </w:pPr>
      <w:r>
        <w:t xml:space="preserve">0.242</w:t>
      </w:r>
    </w:p>
    <w:p>
      <w:pPr>
        <w:pStyle w:val="BodyText"/>
      </w:pPr>
      <w:r>
        <w:t xml:space="preserve">0.292</w:t>
      </w:r>
    </w:p>
    <w:p>
      <w:pPr>
        <w:pStyle w:val="BodyText"/>
      </w:pPr>
      <w:r>
        <w:t xml:space="preserve">0.345</w:t>
      </w:r>
    </w:p>
    <w:p>
      <w:pPr>
        <w:pStyle w:val="BodyText"/>
      </w:pPr>
      <w:r>
        <w:t xml:space="preserve">0.624</w:t>
      </w:r>
    </w:p>
    <w:p>
      <w:pPr>
        <w:pStyle w:val="BodyText"/>
      </w:pPr>
      <w:r>
        <w:t xml:space="preserve">SOC</w:t>
      </w:r>
    </w:p>
    <w:p>
      <w:pPr>
        <w:pStyle w:val="BodyText"/>
      </w:pPr>
      <w:r>
        <w:t xml:space="preserve">Female</w:t>
      </w:r>
    </w:p>
    <w:p>
      <w:pPr>
        <w:pStyle w:val="BodyText"/>
      </w:pPr>
      <w:r>
        <w:t xml:space="preserve">30-39</w:t>
      </w:r>
    </w:p>
    <w:p>
      <w:pPr>
        <w:pStyle w:val="BodyText"/>
      </w:pPr>
      <w:r>
        <w:t xml:space="preserve">0.048</w:t>
      </w:r>
    </w:p>
    <w:p>
      <w:pPr>
        <w:pStyle w:val="BodyText"/>
      </w:pPr>
      <w:r>
        <w:t xml:space="preserve">0.000</w:t>
      </w:r>
    </w:p>
    <w:p>
      <w:pPr>
        <w:pStyle w:val="BodyText"/>
      </w:pPr>
      <w:r>
        <w:t xml:space="preserve">0.000</w:t>
      </w:r>
    </w:p>
    <w:p>
      <w:pPr>
        <w:pStyle w:val="BodyText"/>
      </w:pPr>
      <w:r>
        <w:t xml:space="preserve">0.042</w:t>
      </w:r>
    </w:p>
    <w:p>
      <w:pPr>
        <w:pStyle w:val="BodyText"/>
      </w:pPr>
      <w:r>
        <w:t xml:space="preserve">0.070</w:t>
      </w:r>
    </w:p>
    <w:p>
      <w:pPr>
        <w:pStyle w:val="BodyText"/>
      </w:pPr>
      <w:r>
        <w:t xml:space="preserve">0.301</w:t>
      </w:r>
    </w:p>
    <w:p>
      <w:pPr>
        <w:pStyle w:val="BodyText"/>
      </w:pPr>
      <w:r>
        <w:t xml:space="preserve">SOC</w:t>
      </w:r>
    </w:p>
    <w:p>
      <w:pPr>
        <w:pStyle w:val="BodyText"/>
      </w:pPr>
      <w:r>
        <w:t xml:space="preserve">Female</w:t>
      </w:r>
    </w:p>
    <w:p>
      <w:pPr>
        <w:pStyle w:val="BodyText"/>
      </w:pPr>
      <w:r>
        <w:t xml:space="preserve">40-49</w:t>
      </w:r>
    </w:p>
    <w:p>
      <w:pPr>
        <w:pStyle w:val="BodyText"/>
      </w:pPr>
      <w:r>
        <w:t xml:space="preserve">0.156</w:t>
      </w:r>
    </w:p>
    <w:p>
      <w:pPr>
        <w:pStyle w:val="BodyText"/>
      </w:pPr>
      <w:r>
        <w:t xml:space="preserve">0.000</w:t>
      </w:r>
    </w:p>
    <w:p>
      <w:pPr>
        <w:pStyle w:val="BodyText"/>
      </w:pPr>
      <w:r>
        <w:t xml:space="preserve">0.077</w:t>
      </w:r>
    </w:p>
    <w:p>
      <w:pPr>
        <w:pStyle w:val="BodyText"/>
      </w:pPr>
      <w:r>
        <w:t xml:space="preserve">0.144</w:t>
      </w:r>
    </w:p>
    <w:p>
      <w:pPr>
        <w:pStyle w:val="BodyText"/>
      </w:pPr>
      <w:r>
        <w:t xml:space="preserve">0.210</w:t>
      </w:r>
    </w:p>
    <w:p>
      <w:pPr>
        <w:pStyle w:val="BodyText"/>
      </w:pPr>
      <w:r>
        <w:t xml:space="preserve">0.716</w:t>
      </w:r>
    </w:p>
    <w:p>
      <w:pPr>
        <w:pStyle w:val="BodyText"/>
      </w:pPr>
      <w:r>
        <w:t xml:space="preserve">SOC</w:t>
      </w:r>
    </w:p>
    <w:p>
      <w:pPr>
        <w:pStyle w:val="BodyText"/>
      </w:pPr>
      <w:r>
        <w:t xml:space="preserve">Female</w:t>
      </w:r>
    </w:p>
    <w:p>
      <w:pPr>
        <w:pStyle w:val="BodyText"/>
      </w:pPr>
      <w:r>
        <w:t xml:space="preserve">50-59</w:t>
      </w:r>
    </w:p>
    <w:p>
      <w:pPr>
        <w:pStyle w:val="BodyText"/>
      </w:pPr>
      <w:r>
        <w:t xml:space="preserve">0.496</w:t>
      </w:r>
    </w:p>
    <w:p>
      <w:pPr>
        <w:pStyle w:val="BodyText"/>
      </w:pPr>
      <w:r>
        <w:t xml:space="preserve">0.000</w:t>
      </w:r>
    </w:p>
    <w:p>
      <w:pPr>
        <w:pStyle w:val="BodyText"/>
      </w:pPr>
      <w:r>
        <w:t xml:space="preserve">0.316</w:t>
      </w:r>
    </w:p>
    <w:p>
      <w:pPr>
        <w:pStyle w:val="BodyText"/>
      </w:pPr>
      <w:r>
        <w:t xml:space="preserve">0.464</w:t>
      </w:r>
    </w:p>
    <w:p>
      <w:pPr>
        <w:pStyle w:val="BodyText"/>
      </w:pPr>
      <w:r>
        <w:t xml:space="preserve">0.642</w:t>
      </w:r>
    </w:p>
    <w:p>
      <w:pPr>
        <w:pStyle w:val="BodyText"/>
      </w:pPr>
      <w:r>
        <w:t xml:space="preserve">1.699</w:t>
      </w:r>
    </w:p>
    <w:p>
      <w:pPr>
        <w:pStyle w:val="BodyText"/>
      </w:pPr>
      <w:r>
        <w:t xml:space="preserve">SOC</w:t>
      </w:r>
    </w:p>
    <w:p>
      <w:pPr>
        <w:pStyle w:val="BodyText"/>
      </w:pPr>
      <w:r>
        <w:t xml:space="preserve">Female</w:t>
      </w:r>
    </w:p>
    <w:p>
      <w:pPr>
        <w:pStyle w:val="BodyText"/>
      </w:pPr>
      <w:r>
        <w:t xml:space="preserve">60-69</w:t>
      </w:r>
    </w:p>
    <w:p>
      <w:pPr>
        <w:pStyle w:val="BodyText"/>
      </w:pPr>
      <w:r>
        <w:t xml:space="preserve">1.103</w:t>
      </w:r>
    </w:p>
    <w:p>
      <w:pPr>
        <w:pStyle w:val="BodyText"/>
      </w:pPr>
      <w:r>
        <w:t xml:space="preserve">0.000</w:t>
      </w:r>
    </w:p>
    <w:p>
      <w:pPr>
        <w:pStyle w:val="BodyText"/>
      </w:pPr>
      <w:r>
        <w:t xml:space="preserve">0.775</w:t>
      </w:r>
    </w:p>
    <w:p>
      <w:pPr>
        <w:pStyle w:val="BodyText"/>
      </w:pPr>
      <w:r>
        <w:t xml:space="preserve">1.049</w:t>
      </w:r>
    </w:p>
    <w:p>
      <w:pPr>
        <w:pStyle w:val="BodyText"/>
      </w:pPr>
      <w:r>
        <w:t xml:space="preserve">1.378</w:t>
      </w:r>
    </w:p>
    <w:p>
      <w:pPr>
        <w:pStyle w:val="BodyText"/>
      </w:pPr>
      <w:r>
        <w:t xml:space="preserve">4.241</w:t>
      </w:r>
    </w:p>
    <w:p>
      <w:pPr>
        <w:pStyle w:val="BodyText"/>
      </w:pPr>
      <w:r>
        <w:t xml:space="preserve">SOC</w:t>
      </w:r>
    </w:p>
    <w:p>
      <w:pPr>
        <w:pStyle w:val="BodyText"/>
      </w:pPr>
      <w:r>
        <w:t xml:space="preserve">Female</w:t>
      </w:r>
    </w:p>
    <w:p>
      <w:pPr>
        <w:pStyle w:val="BodyText"/>
      </w:pPr>
      <w:r>
        <w:t xml:space="preserve">70-79</w:t>
      </w:r>
    </w:p>
    <w:p>
      <w:pPr>
        <w:pStyle w:val="BodyText"/>
      </w:pPr>
      <w:r>
        <w:t xml:space="preserve">2.545</w:t>
      </w:r>
    </w:p>
    <w:p>
      <w:pPr>
        <w:pStyle w:val="BodyText"/>
      </w:pPr>
      <w:r>
        <w:t xml:space="preserve">0.000</w:t>
      </w:r>
    </w:p>
    <w:p>
      <w:pPr>
        <w:pStyle w:val="BodyText"/>
      </w:pPr>
      <w:r>
        <w:t xml:space="preserve">1.866</w:t>
      </w:r>
    </w:p>
    <w:p>
      <w:pPr>
        <w:pStyle w:val="BodyText"/>
      </w:pPr>
      <w:r>
        <w:t xml:space="preserve">2.440</w:t>
      </w:r>
    </w:p>
    <w:p>
      <w:pPr>
        <w:pStyle w:val="BodyText"/>
      </w:pPr>
      <w:r>
        <w:t xml:space="preserve">3.133</w:t>
      </w:r>
    </w:p>
    <w:p>
      <w:pPr>
        <w:pStyle w:val="BodyText"/>
      </w:pPr>
      <w:r>
        <w:t xml:space="preserve">7.584</w:t>
      </w:r>
    </w:p>
    <w:p>
      <w:pPr>
        <w:pStyle w:val="BodyText"/>
      </w:pPr>
      <w:r>
        <w:t xml:space="preserve">SOC</w:t>
      </w:r>
    </w:p>
    <w:p>
      <w:pPr>
        <w:pStyle w:val="BodyText"/>
      </w:pPr>
      <w:r>
        <w:t xml:space="preserve">Male</w:t>
      </w:r>
    </w:p>
    <w:p>
      <w:pPr>
        <w:pStyle w:val="BodyText"/>
      </w:pPr>
      <w:r>
        <w:t xml:space="preserve">30-39</w:t>
      </w:r>
    </w:p>
    <w:p>
      <w:pPr>
        <w:pStyle w:val="BodyText"/>
      </w:pPr>
      <w:r>
        <w:t xml:space="preserve">0.072</w:t>
      </w:r>
    </w:p>
    <w:p>
      <w:pPr>
        <w:pStyle w:val="BodyText"/>
      </w:pPr>
      <w:r>
        <w:t xml:space="preserve">0.000</w:t>
      </w:r>
    </w:p>
    <w:p>
      <w:pPr>
        <w:pStyle w:val="BodyText"/>
      </w:pPr>
      <w:r>
        <w:t xml:space="preserve">0.033</w:t>
      </w:r>
    </w:p>
    <w:p>
      <w:pPr>
        <w:pStyle w:val="BodyText"/>
      </w:pPr>
      <w:r>
        <w:t xml:space="preserve">0.065</w:t>
      </w:r>
    </w:p>
    <w:p>
      <w:pPr>
        <w:pStyle w:val="BodyText"/>
      </w:pPr>
      <w:r>
        <w:t xml:space="preserve">0.098</w:t>
      </w:r>
    </w:p>
    <w:p>
      <w:pPr>
        <w:pStyle w:val="BodyText"/>
      </w:pPr>
      <w:r>
        <w:t xml:space="preserve">0.358</w:t>
      </w:r>
    </w:p>
    <w:p>
      <w:pPr>
        <w:pStyle w:val="BodyText"/>
      </w:pPr>
      <w:r>
        <w:t xml:space="preserve">SOC</w:t>
      </w:r>
    </w:p>
    <w:p>
      <w:pPr>
        <w:pStyle w:val="BodyText"/>
      </w:pPr>
      <w:r>
        <w:t xml:space="preserve">Male</w:t>
      </w:r>
    </w:p>
    <w:p>
      <w:pPr>
        <w:pStyle w:val="BodyText"/>
      </w:pPr>
      <w:r>
        <w:t xml:space="preserve">40-49</w:t>
      </w:r>
    </w:p>
    <w:p>
      <w:pPr>
        <w:pStyle w:val="BodyText"/>
      </w:pPr>
      <w:r>
        <w:t xml:space="preserve">0.194</w:t>
      </w:r>
    </w:p>
    <w:p>
      <w:pPr>
        <w:pStyle w:val="BodyText"/>
      </w:pPr>
      <w:r>
        <w:t xml:space="preserve">0.000</w:t>
      </w:r>
    </w:p>
    <w:p>
      <w:pPr>
        <w:pStyle w:val="BodyText"/>
      </w:pPr>
      <w:r>
        <w:t xml:space="preserve">0.112</w:t>
      </w:r>
    </w:p>
    <w:p>
      <w:pPr>
        <w:pStyle w:val="BodyText"/>
      </w:pPr>
      <w:r>
        <w:t xml:space="preserve">0.182</w:t>
      </w:r>
    </w:p>
    <w:p>
      <w:pPr>
        <w:pStyle w:val="BodyText"/>
      </w:pPr>
      <w:r>
        <w:t xml:space="preserve">0.262</w:t>
      </w:r>
    </w:p>
    <w:p>
      <w:pPr>
        <w:pStyle w:val="BodyText"/>
      </w:pPr>
      <w:r>
        <w:t xml:space="preserve">0.848</w:t>
      </w:r>
    </w:p>
    <w:p>
      <w:pPr>
        <w:pStyle w:val="BodyText"/>
      </w:pPr>
      <w:r>
        <w:t xml:space="preserve">SOC</w:t>
      </w:r>
    </w:p>
    <w:p>
      <w:pPr>
        <w:pStyle w:val="BodyText"/>
      </w:pPr>
      <w:r>
        <w:t xml:space="preserve">Male</w:t>
      </w:r>
    </w:p>
    <w:p>
      <w:pPr>
        <w:pStyle w:val="BodyText"/>
      </w:pPr>
      <w:r>
        <w:t xml:space="preserve">50-59</w:t>
      </w:r>
    </w:p>
    <w:p>
      <w:pPr>
        <w:pStyle w:val="BodyText"/>
      </w:pPr>
      <w:r>
        <w:t xml:space="preserve">0.613</w:t>
      </w:r>
    </w:p>
    <w:p>
      <w:pPr>
        <w:pStyle w:val="BodyText"/>
      </w:pPr>
      <w:r>
        <w:t xml:space="preserve">0.000</w:t>
      </w:r>
    </w:p>
    <w:p>
      <w:pPr>
        <w:pStyle w:val="BodyText"/>
      </w:pPr>
      <w:r>
        <w:t xml:space="preserve">0.403</w:t>
      </w:r>
    </w:p>
    <w:p>
      <w:pPr>
        <w:pStyle w:val="BodyText"/>
      </w:pPr>
      <w:r>
        <w:t xml:space="preserve">0.577</w:t>
      </w:r>
    </w:p>
    <w:p>
      <w:pPr>
        <w:pStyle w:val="BodyText"/>
      </w:pPr>
      <w:r>
        <w:t xml:space="preserve">0.777</w:t>
      </w:r>
    </w:p>
    <w:p>
      <w:pPr>
        <w:pStyle w:val="BodyText"/>
      </w:pPr>
      <w:r>
        <w:t xml:space="preserve">2.350</w:t>
      </w:r>
    </w:p>
    <w:p>
      <w:pPr>
        <w:pStyle w:val="BodyText"/>
      </w:pPr>
      <w:r>
        <w:t xml:space="preserve">SOC</w:t>
      </w:r>
    </w:p>
    <w:p>
      <w:pPr>
        <w:pStyle w:val="BodyText"/>
      </w:pPr>
      <w:r>
        <w:t xml:space="preserve">Male</w:t>
      </w:r>
    </w:p>
    <w:p>
      <w:pPr>
        <w:pStyle w:val="BodyText"/>
      </w:pPr>
      <w:r>
        <w:t xml:space="preserve">60-69</w:t>
      </w:r>
    </w:p>
    <w:p>
      <w:pPr>
        <w:pStyle w:val="BodyText"/>
      </w:pPr>
      <w:r>
        <w:t xml:space="preserve">1.343</w:t>
      </w:r>
    </w:p>
    <w:p>
      <w:pPr>
        <w:pStyle w:val="BodyText"/>
      </w:pPr>
      <w:r>
        <w:t xml:space="preserve">0.000</w:t>
      </w:r>
    </w:p>
    <w:p>
      <w:pPr>
        <w:pStyle w:val="BodyText"/>
      </w:pPr>
      <w:r>
        <w:t xml:space="preserve">0.936</w:t>
      </w:r>
    </w:p>
    <w:p>
      <w:pPr>
        <w:pStyle w:val="BodyText"/>
      </w:pPr>
      <w:r>
        <w:t xml:space="preserve">1.276</w:t>
      </w:r>
    </w:p>
    <w:p>
      <w:pPr>
        <w:pStyle w:val="BodyText"/>
      </w:pPr>
      <w:r>
        <w:t xml:space="preserve">1.685</w:t>
      </w:r>
    </w:p>
    <w:p>
      <w:pPr>
        <w:pStyle w:val="BodyText"/>
      </w:pPr>
      <w:r>
        <w:t xml:space="preserve">3.877</w:t>
      </w:r>
    </w:p>
    <w:p>
      <w:pPr>
        <w:pStyle w:val="BodyText"/>
      </w:pPr>
      <w:r>
        <w:t xml:space="preserve">SOC</w:t>
      </w:r>
    </w:p>
    <w:p>
      <w:pPr>
        <w:pStyle w:val="BodyText"/>
      </w:pPr>
      <w:r>
        <w:t xml:space="preserve">Male</w:t>
      </w:r>
    </w:p>
    <w:p>
      <w:pPr>
        <w:pStyle w:val="BodyText"/>
      </w:pPr>
      <w:r>
        <w:t xml:space="preserve">70-79</w:t>
      </w:r>
    </w:p>
    <w:p>
      <w:pPr>
        <w:pStyle w:val="BodyText"/>
      </w:pPr>
      <w:r>
        <w:t xml:space="preserve">3.048</w:t>
      </w:r>
    </w:p>
    <w:p>
      <w:pPr>
        <w:pStyle w:val="BodyText"/>
      </w:pPr>
      <w:r>
        <w:t xml:space="preserve">0.000</w:t>
      </w:r>
    </w:p>
    <w:p>
      <w:pPr>
        <w:pStyle w:val="BodyText"/>
      </w:pPr>
      <w:r>
        <w:t xml:space="preserve">2.213</w:t>
      </w:r>
    </w:p>
    <w:p>
      <w:pPr>
        <w:pStyle w:val="BodyText"/>
      </w:pPr>
      <w:r>
        <w:t xml:space="preserve">2.964</w:t>
      </w:r>
    </w:p>
    <w:p>
      <w:pPr>
        <w:pStyle w:val="BodyText"/>
      </w:pPr>
      <w:r>
        <w:t xml:space="preserve">3.746</w:t>
      </w:r>
    </w:p>
    <w:p>
      <w:pPr>
        <w:pStyle w:val="BodyText"/>
      </w:pPr>
      <w:r>
        <w:t xml:space="preserve">9.514</w:t>
      </w:r>
    </w:p>
    <w:p>
      <w:pPr>
        <w:pStyle w:val="BodyText"/>
      </w:pPr>
      <w:r>
        <w:t xml:space="preserve">SSA</w:t>
      </w:r>
    </w:p>
    <w:p>
      <w:pPr>
        <w:pStyle w:val="BodyText"/>
      </w:pPr>
      <w:r>
        <w:t xml:space="preserve">Female</w:t>
      </w:r>
    </w:p>
    <w:p>
      <w:pPr>
        <w:pStyle w:val="BodyText"/>
      </w:pPr>
      <w:r>
        <w:t xml:space="preserve">20+</w:t>
      </w:r>
    </w:p>
    <w:p>
      <w:pPr>
        <w:pStyle w:val="BodyText"/>
      </w:pPr>
      <w:r>
        <w:t xml:space="preserve">0.215</w:t>
      </w:r>
    </w:p>
    <w:p>
      <w:pPr>
        <w:pStyle w:val="BodyText"/>
      </w:pPr>
      <w:r>
        <w:t xml:space="preserve">0.143</w:t>
      </w:r>
    </w:p>
    <w:p>
      <w:pPr>
        <w:pStyle w:val="BodyText"/>
      </w:pPr>
      <w:r>
        <w:t xml:space="preserve">0.180</w:t>
      </w:r>
    </w:p>
    <w:p>
      <w:pPr>
        <w:pStyle w:val="BodyText"/>
      </w:pPr>
      <w:r>
        <w:t xml:space="preserve">0.210</w:t>
      </w:r>
    </w:p>
    <w:p>
      <w:pPr>
        <w:pStyle w:val="BodyText"/>
      </w:pPr>
      <w:r>
        <w:t xml:space="preserve">0.243</w:t>
      </w:r>
    </w:p>
    <w:p>
      <w:pPr>
        <w:pStyle w:val="BodyText"/>
      </w:pPr>
      <w:r>
        <w:t xml:space="preserve">0.351</w:t>
      </w:r>
    </w:p>
    <w:p>
      <w:pPr>
        <w:pStyle w:val="BodyText"/>
      </w:pPr>
      <w:r>
        <w:t xml:space="preserve">SSA</w:t>
      </w:r>
    </w:p>
    <w:p>
      <w:pPr>
        <w:pStyle w:val="BodyText"/>
      </w:pPr>
      <w:r>
        <w:t xml:space="preserve">Female</w:t>
      </w:r>
    </w:p>
    <w:p>
      <w:pPr>
        <w:pStyle w:val="BodyText"/>
      </w:pPr>
      <w:r>
        <w:t xml:space="preserve">30-39</w:t>
      </w:r>
    </w:p>
    <w:p>
      <w:pPr>
        <w:pStyle w:val="BodyText"/>
      </w:pPr>
      <w:r>
        <w:t xml:space="preserve">0.020</w:t>
      </w:r>
    </w:p>
    <w:p>
      <w:pPr>
        <w:pStyle w:val="BodyText"/>
      </w:pPr>
      <w:r>
        <w:t xml:space="preserve">0.010</w:t>
      </w:r>
    </w:p>
    <w:p>
      <w:pPr>
        <w:pStyle w:val="BodyText"/>
      </w:pPr>
      <w:r>
        <w:t xml:space="preserve">0.014</w:t>
      </w:r>
    </w:p>
    <w:p>
      <w:pPr>
        <w:pStyle w:val="BodyText"/>
      </w:pPr>
      <w:r>
        <w:t xml:space="preserve">0.019</w:t>
      </w:r>
    </w:p>
    <w:p>
      <w:pPr>
        <w:pStyle w:val="BodyText"/>
      </w:pPr>
      <w:r>
        <w:t xml:space="preserve">0.021</w:t>
      </w:r>
    </w:p>
    <w:p>
      <w:pPr>
        <w:pStyle w:val="BodyText"/>
      </w:pPr>
      <w:r>
        <w:t xml:space="preserve">0.045</w:t>
      </w:r>
    </w:p>
    <w:p>
      <w:pPr>
        <w:pStyle w:val="BodyText"/>
      </w:pPr>
      <w:r>
        <w:t xml:space="preserve">SSA</w:t>
      </w:r>
    </w:p>
    <w:p>
      <w:pPr>
        <w:pStyle w:val="BodyText"/>
      </w:pPr>
      <w:r>
        <w:t xml:space="preserve">Female</w:t>
      </w:r>
    </w:p>
    <w:p>
      <w:pPr>
        <w:pStyle w:val="BodyText"/>
      </w:pPr>
      <w:r>
        <w:t xml:space="preserve">40-49</w:t>
      </w:r>
    </w:p>
    <w:p>
      <w:pPr>
        <w:pStyle w:val="BodyText"/>
      </w:pPr>
      <w:r>
        <w:t xml:space="preserve">0.074</w:t>
      </w:r>
    </w:p>
    <w:p>
      <w:pPr>
        <w:pStyle w:val="BodyText"/>
      </w:pPr>
      <w:r>
        <w:t xml:space="preserve">0.034</w:t>
      </w:r>
    </w:p>
    <w:p>
      <w:pPr>
        <w:pStyle w:val="BodyText"/>
      </w:pPr>
      <w:r>
        <w:t xml:space="preserve">0.054</w:t>
      </w:r>
    </w:p>
    <w:p>
      <w:pPr>
        <w:pStyle w:val="BodyText"/>
      </w:pPr>
      <w:r>
        <w:t xml:space="preserve">0.071</w:t>
      </w:r>
    </w:p>
    <w:p>
      <w:pPr>
        <w:pStyle w:val="BodyText"/>
      </w:pPr>
      <w:r>
        <w:t xml:space="preserve">0.087</w:t>
      </w:r>
    </w:p>
    <w:p>
      <w:pPr>
        <w:pStyle w:val="BodyText"/>
      </w:pPr>
      <w:r>
        <w:t xml:space="preserve">0.151</w:t>
      </w:r>
    </w:p>
    <w:p>
      <w:pPr>
        <w:pStyle w:val="BodyText"/>
      </w:pPr>
      <w:r>
        <w:t xml:space="preserve">SSA</w:t>
      </w:r>
    </w:p>
    <w:p>
      <w:pPr>
        <w:pStyle w:val="BodyText"/>
      </w:pPr>
      <w:r>
        <w:t xml:space="preserve">Female</w:t>
      </w:r>
    </w:p>
    <w:p>
      <w:pPr>
        <w:pStyle w:val="BodyText"/>
      </w:pPr>
      <w:r>
        <w:t xml:space="preserve">50-59</w:t>
      </w:r>
    </w:p>
    <w:p>
      <w:pPr>
        <w:pStyle w:val="BodyText"/>
      </w:pPr>
      <w:r>
        <w:t xml:space="preserve">0.244</w:t>
      </w:r>
    </w:p>
    <w:p>
      <w:pPr>
        <w:pStyle w:val="BodyText"/>
      </w:pPr>
      <w:r>
        <w:t xml:space="preserve">0.126</w:t>
      </w:r>
    </w:p>
    <w:p>
      <w:pPr>
        <w:pStyle w:val="BodyText"/>
      </w:pPr>
      <w:r>
        <w:t xml:space="preserve">0.181</w:t>
      </w:r>
    </w:p>
    <w:p>
      <w:pPr>
        <w:pStyle w:val="BodyText"/>
      </w:pPr>
      <w:r>
        <w:t xml:space="preserve">0.234</w:t>
      </w:r>
    </w:p>
    <w:p>
      <w:pPr>
        <w:pStyle w:val="BodyText"/>
      </w:pPr>
      <w:r>
        <w:t xml:space="preserve">0.291</w:t>
      </w:r>
    </w:p>
    <w:p>
      <w:pPr>
        <w:pStyle w:val="BodyText"/>
      </w:pPr>
      <w:r>
        <w:t xml:space="preserve">0.426</w:t>
      </w:r>
    </w:p>
    <w:p>
      <w:pPr>
        <w:pStyle w:val="BodyText"/>
      </w:pPr>
      <w:r>
        <w:t xml:space="preserve">SSA</w:t>
      </w:r>
    </w:p>
    <w:p>
      <w:pPr>
        <w:pStyle w:val="BodyText"/>
      </w:pPr>
      <w:r>
        <w:t xml:space="preserve">Female</w:t>
      </w:r>
    </w:p>
    <w:p>
      <w:pPr>
        <w:pStyle w:val="BodyText"/>
      </w:pPr>
      <w:r>
        <w:t xml:space="preserve">60-69</w:t>
      </w:r>
    </w:p>
    <w:p>
      <w:pPr>
        <w:pStyle w:val="BodyText"/>
      </w:pPr>
      <w:r>
        <w:t xml:space="preserve">0.720</w:t>
      </w:r>
    </w:p>
    <w:p>
      <w:pPr>
        <w:pStyle w:val="BodyText"/>
      </w:pPr>
      <w:r>
        <w:t xml:space="preserve">0.424</w:t>
      </w:r>
    </w:p>
    <w:p>
      <w:pPr>
        <w:pStyle w:val="BodyText"/>
      </w:pPr>
      <w:r>
        <w:t xml:space="preserve">0.602</w:t>
      </w:r>
    </w:p>
    <w:p>
      <w:pPr>
        <w:pStyle w:val="BodyText"/>
      </w:pPr>
      <w:r>
        <w:t xml:space="preserve">0.709</w:t>
      </w:r>
    </w:p>
    <w:p>
      <w:pPr>
        <w:pStyle w:val="BodyText"/>
      </w:pPr>
      <w:r>
        <w:t xml:space="preserve">0.812</w:t>
      </w:r>
    </w:p>
    <w:p>
      <w:pPr>
        <w:pStyle w:val="BodyText"/>
      </w:pPr>
      <w:r>
        <w:t xml:space="preserve">1.159</w:t>
      </w:r>
    </w:p>
    <w:p>
      <w:pPr>
        <w:pStyle w:val="BodyText"/>
      </w:pPr>
      <w:r>
        <w:t xml:space="preserve">SSA</w:t>
      </w:r>
    </w:p>
    <w:p>
      <w:pPr>
        <w:pStyle w:val="BodyText"/>
      </w:pPr>
      <w:r>
        <w:t xml:space="preserve">Female</w:t>
      </w:r>
    </w:p>
    <w:p>
      <w:pPr>
        <w:pStyle w:val="BodyText"/>
      </w:pPr>
      <w:r>
        <w:t xml:space="preserve">70-79</w:t>
      </w:r>
    </w:p>
    <w:p>
      <w:pPr>
        <w:pStyle w:val="BodyText"/>
      </w:pPr>
      <w:r>
        <w:t xml:space="preserve">2.145</w:t>
      </w:r>
    </w:p>
    <w:p>
      <w:pPr>
        <w:pStyle w:val="BodyText"/>
      </w:pPr>
      <w:r>
        <w:t xml:space="preserve">1.218</w:t>
      </w:r>
    </w:p>
    <w:p>
      <w:pPr>
        <w:pStyle w:val="BodyText"/>
      </w:pPr>
      <w:r>
        <w:t xml:space="preserve">1.924</w:t>
      </w:r>
    </w:p>
    <w:p>
      <w:pPr>
        <w:pStyle w:val="BodyText"/>
      </w:pPr>
      <w:r>
        <w:t xml:space="preserve">2.143</w:t>
      </w:r>
    </w:p>
    <w:p>
      <w:pPr>
        <w:pStyle w:val="BodyText"/>
      </w:pPr>
      <w:r>
        <w:t xml:space="preserve">2.339</w:t>
      </w:r>
    </w:p>
    <w:p>
      <w:pPr>
        <w:pStyle w:val="BodyText"/>
      </w:pPr>
      <w:r>
        <w:t xml:space="preserve">3.126</w:t>
      </w:r>
    </w:p>
    <w:p>
      <w:pPr>
        <w:pStyle w:val="BodyText"/>
      </w:pPr>
      <w:r>
        <w:t xml:space="preserve">SSA</w:t>
      </w:r>
    </w:p>
    <w:p>
      <w:pPr>
        <w:pStyle w:val="BodyText"/>
      </w:pPr>
      <w:r>
        <w:t xml:space="preserve">Male</w:t>
      </w:r>
    </w:p>
    <w:p>
      <w:pPr>
        <w:pStyle w:val="BodyText"/>
      </w:pPr>
      <w:r>
        <w:t xml:space="preserve">20+</w:t>
      </w:r>
    </w:p>
    <w:p>
      <w:pPr>
        <w:pStyle w:val="BodyText"/>
      </w:pPr>
      <w:r>
        <w:t xml:space="preserve">0.219</w:t>
      </w:r>
    </w:p>
    <w:p>
      <w:pPr>
        <w:pStyle w:val="BodyText"/>
      </w:pPr>
      <w:r>
        <w:t xml:space="preserve">0.112</w:t>
      </w:r>
    </w:p>
    <w:p>
      <w:pPr>
        <w:pStyle w:val="BodyText"/>
      </w:pPr>
      <w:r>
        <w:t xml:space="preserve">0.192</w:t>
      </w:r>
    </w:p>
    <w:p>
      <w:pPr>
        <w:pStyle w:val="BodyText"/>
      </w:pPr>
      <w:r>
        <w:t xml:space="preserve">0.212</w:t>
      </w:r>
    </w:p>
    <w:p>
      <w:pPr>
        <w:pStyle w:val="BodyText"/>
      </w:pPr>
      <w:r>
        <w:t xml:space="preserve">0.242</w:t>
      </w:r>
    </w:p>
    <w:p>
      <w:pPr>
        <w:pStyle w:val="BodyText"/>
      </w:pPr>
      <w:r>
        <w:t xml:space="preserve">0.308</w:t>
      </w:r>
    </w:p>
    <w:p>
      <w:pPr>
        <w:pStyle w:val="BodyText"/>
      </w:pPr>
      <w:r>
        <w:t xml:space="preserve">SSA</w:t>
      </w:r>
    </w:p>
    <w:p>
      <w:pPr>
        <w:pStyle w:val="BodyText"/>
      </w:pPr>
      <w:r>
        <w:t xml:space="preserve">Male</w:t>
      </w:r>
    </w:p>
    <w:p>
      <w:pPr>
        <w:pStyle w:val="BodyText"/>
      </w:pPr>
      <w:r>
        <w:t xml:space="preserve">30-39</w:t>
      </w:r>
    </w:p>
    <w:p>
      <w:pPr>
        <w:pStyle w:val="BodyText"/>
      </w:pPr>
      <w:r>
        <w:t xml:space="preserve">0.030</w:t>
      </w:r>
    </w:p>
    <w:p>
      <w:pPr>
        <w:pStyle w:val="BodyText"/>
      </w:pPr>
      <w:r>
        <w:t xml:space="preserve">0.016</w:t>
      </w:r>
    </w:p>
    <w:p>
      <w:pPr>
        <w:pStyle w:val="BodyText"/>
      </w:pPr>
      <w:r>
        <w:t xml:space="preserve">0.025</w:t>
      </w:r>
    </w:p>
    <w:p>
      <w:pPr>
        <w:pStyle w:val="BodyText"/>
      </w:pPr>
      <w:r>
        <w:t xml:space="preserve">0.029</w:t>
      </w:r>
    </w:p>
    <w:p>
      <w:pPr>
        <w:pStyle w:val="BodyText"/>
      </w:pPr>
      <w:r>
        <w:t xml:space="preserve">0.032</w:t>
      </w:r>
    </w:p>
    <w:p>
      <w:pPr>
        <w:pStyle w:val="BodyText"/>
      </w:pPr>
      <w:r>
        <w:t xml:space="preserve">0.062</w:t>
      </w:r>
    </w:p>
    <w:p>
      <w:pPr>
        <w:pStyle w:val="BodyText"/>
      </w:pPr>
      <w:r>
        <w:t xml:space="preserve">SSA</w:t>
      </w:r>
    </w:p>
    <w:p>
      <w:pPr>
        <w:pStyle w:val="BodyText"/>
      </w:pPr>
      <w:r>
        <w:t xml:space="preserve">Male</w:t>
      </w:r>
    </w:p>
    <w:p>
      <w:pPr>
        <w:pStyle w:val="BodyText"/>
      </w:pPr>
      <w:r>
        <w:t xml:space="preserve">40-49</w:t>
      </w:r>
    </w:p>
    <w:p>
      <w:pPr>
        <w:pStyle w:val="BodyText"/>
      </w:pPr>
      <w:r>
        <w:t xml:space="preserve">0.114</w:t>
      </w:r>
    </w:p>
    <w:p>
      <w:pPr>
        <w:pStyle w:val="BodyText"/>
      </w:pPr>
      <w:r>
        <w:t xml:space="preserve">0.056</w:t>
      </w:r>
    </w:p>
    <w:p>
      <w:pPr>
        <w:pStyle w:val="BodyText"/>
      </w:pPr>
      <w:r>
        <w:t xml:space="preserve">0.085</w:t>
      </w:r>
    </w:p>
    <w:p>
      <w:pPr>
        <w:pStyle w:val="BodyText"/>
      </w:pPr>
      <w:r>
        <w:t xml:space="preserve">0.109</w:t>
      </w:r>
    </w:p>
    <w:p>
      <w:pPr>
        <w:pStyle w:val="BodyText"/>
      </w:pPr>
      <w:r>
        <w:t xml:space="preserve">0.122</w:t>
      </w:r>
    </w:p>
    <w:p>
      <w:pPr>
        <w:pStyle w:val="BodyText"/>
      </w:pPr>
      <w:r>
        <w:t xml:space="preserve">0.228</w:t>
      </w:r>
    </w:p>
    <w:p>
      <w:pPr>
        <w:pStyle w:val="BodyText"/>
      </w:pPr>
      <w:r>
        <w:t xml:space="preserve">SSA</w:t>
      </w:r>
    </w:p>
    <w:p>
      <w:pPr>
        <w:pStyle w:val="BodyText"/>
      </w:pPr>
      <w:r>
        <w:t xml:space="preserve">Male</w:t>
      </w:r>
    </w:p>
    <w:p>
      <w:pPr>
        <w:pStyle w:val="BodyText"/>
      </w:pPr>
      <w:r>
        <w:t xml:space="preserve">50-59</w:t>
      </w:r>
    </w:p>
    <w:p>
      <w:pPr>
        <w:pStyle w:val="BodyText"/>
      </w:pPr>
      <w:r>
        <w:t xml:space="preserve">0.355</w:t>
      </w:r>
    </w:p>
    <w:p>
      <w:pPr>
        <w:pStyle w:val="BodyText"/>
      </w:pPr>
      <w:r>
        <w:t xml:space="preserve">0.168</w:t>
      </w:r>
    </w:p>
    <w:p>
      <w:pPr>
        <w:pStyle w:val="BodyText"/>
      </w:pPr>
      <w:r>
        <w:t xml:space="preserve">0.262</w:t>
      </w:r>
    </w:p>
    <w:p>
      <w:pPr>
        <w:pStyle w:val="BodyText"/>
      </w:pPr>
      <w:r>
        <w:t xml:space="preserve">0.332</w:t>
      </w:r>
    </w:p>
    <w:p>
      <w:pPr>
        <w:pStyle w:val="BodyText"/>
      </w:pPr>
      <w:r>
        <w:t xml:space="preserve">0.413</w:t>
      </w:r>
    </w:p>
    <w:p>
      <w:pPr>
        <w:pStyle w:val="BodyText"/>
      </w:pPr>
      <w:r>
        <w:t xml:space="preserve">0.710</w:t>
      </w:r>
    </w:p>
    <w:p>
      <w:pPr>
        <w:pStyle w:val="BodyText"/>
      </w:pPr>
      <w:r>
        <w:t xml:space="preserve">SSA</w:t>
      </w:r>
    </w:p>
    <w:p>
      <w:pPr>
        <w:pStyle w:val="BodyText"/>
      </w:pPr>
      <w:r>
        <w:t xml:space="preserve">Male</w:t>
      </w:r>
    </w:p>
    <w:p>
      <w:pPr>
        <w:pStyle w:val="BodyText"/>
      </w:pPr>
      <w:r>
        <w:t xml:space="preserve">60-69</w:t>
      </w:r>
    </w:p>
    <w:p>
      <w:pPr>
        <w:pStyle w:val="BodyText"/>
      </w:pPr>
      <w:r>
        <w:t xml:space="preserve">0.972</w:t>
      </w:r>
    </w:p>
    <w:p>
      <w:pPr>
        <w:pStyle w:val="BodyText"/>
      </w:pPr>
      <w:r>
        <w:t xml:space="preserve">0.508</w:t>
      </w:r>
    </w:p>
    <w:p>
      <w:pPr>
        <w:pStyle w:val="BodyText"/>
      </w:pPr>
      <w:r>
        <w:t xml:space="preserve">0.788</w:t>
      </w:r>
    </w:p>
    <w:p>
      <w:pPr>
        <w:pStyle w:val="BodyText"/>
      </w:pPr>
      <w:r>
        <w:t xml:space="preserve">0.880</w:t>
      </w:r>
    </w:p>
    <w:p>
      <w:pPr>
        <w:pStyle w:val="BodyText"/>
      </w:pPr>
      <w:r>
        <w:t xml:space="preserve">1.097</w:t>
      </w:r>
    </w:p>
    <w:p>
      <w:pPr>
        <w:pStyle w:val="BodyText"/>
      </w:pPr>
      <w:r>
        <w:t xml:space="preserve">1.688</w:t>
      </w:r>
    </w:p>
    <w:p>
      <w:pPr>
        <w:pStyle w:val="BodyText"/>
      </w:pPr>
      <w:r>
        <w:t xml:space="preserve">SSA</w:t>
      </w:r>
    </w:p>
    <w:p>
      <w:pPr>
        <w:pStyle w:val="BodyText"/>
      </w:pPr>
      <w:r>
        <w:t xml:space="preserve">Male</w:t>
      </w:r>
    </w:p>
    <w:p>
      <w:pPr>
        <w:pStyle w:val="BodyText"/>
      </w:pPr>
      <w:r>
        <w:t xml:space="preserve">70-79</w:t>
      </w:r>
    </w:p>
    <w:p>
      <w:pPr>
        <w:pStyle w:val="BodyText"/>
      </w:pPr>
      <w:r>
        <w:t xml:space="preserve">2.197</w:t>
      </w:r>
    </w:p>
    <w:p>
      <w:pPr>
        <w:pStyle w:val="BodyText"/>
      </w:pPr>
      <w:r>
        <w:t xml:space="preserve">1.384</w:t>
      </w:r>
    </w:p>
    <w:p>
      <w:pPr>
        <w:pStyle w:val="BodyText"/>
      </w:pPr>
      <w:r>
        <w:t xml:space="preserve">1.903</w:t>
      </w:r>
    </w:p>
    <w:p>
      <w:pPr>
        <w:pStyle w:val="BodyText"/>
      </w:pPr>
      <w:r>
        <w:t xml:space="preserve">2.181</w:t>
      </w:r>
    </w:p>
    <w:p>
      <w:pPr>
        <w:pStyle w:val="BodyText"/>
      </w:pPr>
      <w:r>
        <w:t xml:space="preserve">2.394</w:t>
      </w:r>
    </w:p>
    <w:p>
      <w:pPr>
        <w:pStyle w:val="BodyText"/>
      </w:pPr>
      <w:r>
        <w:t xml:space="preserve">3.157</w:t>
      </w:r>
    </w:p>
    <w:bookmarkEnd w:id="92"/>
    <w:bookmarkEnd w:id="93"/>
    <w:bookmarkStart w:id="201" w:name="intervention-scenarios-2023---2073"/>
    <w:p>
      <w:pPr>
        <w:pStyle w:val="Heading1"/>
      </w:pPr>
      <w:r>
        <w:t xml:space="preserve">Intervention Scenarios (2023 - 2073)</w:t>
      </w:r>
    </w:p>
    <w:p>
      <w:pPr>
        <w:pStyle w:val="FirstParagraph"/>
      </w:pPr>
      <w:r>
        <w:rPr>
          <w:bCs/>
          <w:b/>
        </w:rPr>
        <w:t xml:space="preserve">Hypertension care cascade for intervention packages compared to standard of care</w:t>
      </w:r>
    </w:p>
    <w:bookmarkStart w:id="100" w:name="prevalence"/>
    <w:p>
      <w:pPr>
        <w:pStyle w:val="Heading2"/>
      </w:pPr>
      <w:r>
        <w:t xml:space="preserve">Prevalence</w:t>
      </w:r>
    </w:p>
    <w:p>
      <w:pPr>
        <w:pStyle w:val="FirstParagraph"/>
      </w:pPr>
      <w:r>
        <w:drawing>
          <wp:inline>
            <wp:extent cx="5334000" cy="3556000"/>
            <wp:effectExtent b="0" l="0" r="0" t="0"/>
            <wp:docPr descr="" title="" id="95" name="Picture"/>
            <a:graphic>
              <a:graphicData uri="http://schemas.openxmlformats.org/drawingml/2006/picture">
                <pic:pic>
                  <pic:nvPicPr>
                    <pic:cNvPr descr="supplement_files/figure-docx/graph_htn_int-1.png" id="96" name="Picture"/>
                    <pic:cNvPicPr>
                      <a:picLocks noChangeArrowheads="1" noChangeAspect="1"/>
                    </pic:cNvPicPr>
                  </pic:nvPicPr>
                  <pic:blipFill>
                    <a:blip r:embed="rId94"/>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98" name="Picture"/>
            <a:graphic>
              <a:graphicData uri="http://schemas.openxmlformats.org/drawingml/2006/picture">
                <pic:pic>
                  <pic:nvPicPr>
                    <pic:cNvPr descr="supplement_files/figure-docx/graph_htn_int-2.png" id="99" name="Picture"/>
                    <pic:cNvPicPr>
                      <a:picLocks noChangeArrowheads="1" noChangeAspect="1"/>
                    </pic:cNvPicPr>
                  </pic:nvPicPr>
                  <pic:blipFill>
                    <a:blip r:embed="rId97"/>
                    <a:stretch>
                      <a:fillRect/>
                    </a:stretch>
                  </pic:blipFill>
                  <pic:spPr bwMode="auto">
                    <a:xfrm>
                      <a:off x="0" y="0"/>
                      <a:ext cx="5334000" cy="3556000"/>
                    </a:xfrm>
                    <a:prstGeom prst="rect">
                      <a:avLst/>
                    </a:prstGeom>
                    <a:noFill/>
                    <a:ln w="9525">
                      <a:noFill/>
                      <a:headEnd/>
                      <a:tailEnd/>
                    </a:ln>
                  </pic:spPr>
                </pic:pic>
              </a:graphicData>
            </a:graphic>
          </wp:inline>
        </w:drawing>
      </w:r>
    </w:p>
    <w:bookmarkEnd w:id="100"/>
    <w:bookmarkStart w:id="107" w:name="diagnosis"/>
    <w:p>
      <w:pPr>
        <w:pStyle w:val="Heading2"/>
      </w:pPr>
      <w:r>
        <w:t xml:space="preserve">Diagnosis</w:t>
      </w:r>
    </w:p>
    <w:p>
      <w:pPr>
        <w:pStyle w:val="FirstParagraph"/>
      </w:pPr>
      <w:r>
        <w:drawing>
          <wp:inline>
            <wp:extent cx="5334000" cy="3556000"/>
            <wp:effectExtent b="0" l="0" r="0" t="0"/>
            <wp:docPr descr="" title="" id="102" name="Picture"/>
            <a:graphic>
              <a:graphicData uri="http://schemas.openxmlformats.org/drawingml/2006/picture">
                <pic:pic>
                  <pic:nvPicPr>
                    <pic:cNvPr descr="supplement_files/figure-docx/graph_dx_int-1.png" id="103" name="Picture"/>
                    <pic:cNvPicPr>
                      <a:picLocks noChangeArrowheads="1" noChangeAspect="1"/>
                    </pic:cNvPicPr>
                  </pic:nvPicPr>
                  <pic:blipFill>
                    <a:blip r:embed="rId101"/>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05" name="Picture"/>
            <a:graphic>
              <a:graphicData uri="http://schemas.openxmlformats.org/drawingml/2006/picture">
                <pic:pic>
                  <pic:nvPicPr>
                    <pic:cNvPr descr="supplement_files/figure-docx/graph_dx_int-2.png" id="106" name="Picture"/>
                    <pic:cNvPicPr>
                      <a:picLocks noChangeArrowheads="1" noChangeAspect="1"/>
                    </pic:cNvPicPr>
                  </pic:nvPicPr>
                  <pic:blipFill>
                    <a:blip r:embed="rId10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rPr>
          <w:bCs/>
          <w:b/>
        </w:rPr>
        <w:t xml:space="preserve">Note:</w:t>
      </w:r>
      <w:r>
        <w:t xml:space="preserve"> </w:t>
      </w:r>
      <w:r>
        <w:t xml:space="preserve">Diagnosis can be &gt;100% because the denominator is the proportion with true hypertension (SBP &gt;=140) and the numerator is all with diagnosed hypertension including those who were overdiagnosed (measured BP &gt;=140 but true BP &lt;140). See additional graphs for overdiagnosis below.</w:t>
      </w:r>
    </w:p>
    <w:bookmarkEnd w:id="107"/>
    <w:bookmarkStart w:id="114" w:name="overdiagnosis"/>
    <w:p>
      <w:pPr>
        <w:pStyle w:val="Heading2"/>
      </w:pPr>
      <w:r>
        <w:t xml:space="preserve">Overdiagnosis</w:t>
      </w:r>
    </w:p>
    <w:p>
      <w:pPr>
        <w:pStyle w:val="FirstParagraph"/>
      </w:pPr>
      <w:r>
        <w:drawing>
          <wp:inline>
            <wp:extent cx="5334000" cy="3556000"/>
            <wp:effectExtent b="0" l="0" r="0" t="0"/>
            <wp:docPr descr="" title="" id="109" name="Picture"/>
            <a:graphic>
              <a:graphicData uri="http://schemas.openxmlformats.org/drawingml/2006/picture">
                <pic:pic>
                  <pic:nvPicPr>
                    <pic:cNvPr descr="supplement_files/figure-docx/graph_dx_over-1.png" id="110" name="Picture"/>
                    <pic:cNvPicPr>
                      <a:picLocks noChangeArrowheads="1" noChangeAspect="1"/>
                    </pic:cNvPicPr>
                  </pic:nvPicPr>
                  <pic:blipFill>
                    <a:blip r:embed="rId10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12" name="Picture"/>
            <a:graphic>
              <a:graphicData uri="http://schemas.openxmlformats.org/drawingml/2006/picture">
                <pic:pic>
                  <pic:nvPicPr>
                    <pic:cNvPr descr="supplement_files/figure-docx/graph_dx_true-1.png" id="113" name="Picture"/>
                    <pic:cNvPicPr>
                      <a:picLocks noChangeArrowheads="1" noChangeAspect="1"/>
                    </pic:cNvPicPr>
                  </pic:nvPicPr>
                  <pic:blipFill>
                    <a:blip r:embed="rId111"/>
                    <a:stretch>
                      <a:fillRect/>
                    </a:stretch>
                  </pic:blipFill>
                  <pic:spPr bwMode="auto">
                    <a:xfrm>
                      <a:off x="0" y="0"/>
                      <a:ext cx="5334000" cy="3556000"/>
                    </a:xfrm>
                    <a:prstGeom prst="rect">
                      <a:avLst/>
                    </a:prstGeom>
                    <a:noFill/>
                    <a:ln w="9525">
                      <a:noFill/>
                      <a:headEnd/>
                      <a:tailEnd/>
                    </a:ln>
                  </pic:spPr>
                </pic:pic>
              </a:graphicData>
            </a:graphic>
          </wp:inline>
        </w:drawing>
      </w:r>
    </w:p>
    <w:bookmarkEnd w:id="114"/>
    <w:bookmarkStart w:id="128" w:name="treatment"/>
    <w:p>
      <w:pPr>
        <w:pStyle w:val="Heading2"/>
      </w:pPr>
      <w:r>
        <w:t xml:space="preserve">Treatment</w:t>
      </w:r>
    </w:p>
    <w:p>
      <w:pPr>
        <w:pStyle w:val="FirstParagraph"/>
      </w:pPr>
      <w:r>
        <w:drawing>
          <wp:inline>
            <wp:extent cx="5334000" cy="3556000"/>
            <wp:effectExtent b="0" l="0" r="0" t="0"/>
            <wp:docPr descr="" title="" id="116" name="Picture"/>
            <a:graphic>
              <a:graphicData uri="http://schemas.openxmlformats.org/drawingml/2006/picture">
                <pic:pic>
                  <pic:nvPicPr>
                    <pic:cNvPr descr="supplement_files/figure-docx/graph_tx_curr_int-1.png" id="117" name="Picture"/>
                    <pic:cNvPicPr>
                      <a:picLocks noChangeArrowheads="1" noChangeAspect="1"/>
                    </pic:cNvPicPr>
                  </pic:nvPicPr>
                  <pic:blipFill>
                    <a:blip r:embed="rId115"/>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19" name="Picture"/>
            <a:graphic>
              <a:graphicData uri="http://schemas.openxmlformats.org/drawingml/2006/picture">
                <pic:pic>
                  <pic:nvPicPr>
                    <pic:cNvPr descr="supplement_files/figure-docx/graph_tx_curr_int-2.png" id="120" name="Picture"/>
                    <pic:cNvPicPr>
                      <a:picLocks noChangeArrowheads="1" noChangeAspect="1"/>
                    </pic:cNvPicPr>
                  </pic:nvPicPr>
                  <pic:blipFill>
                    <a:blip r:embed="rId11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22" name="Picture"/>
            <a:graphic>
              <a:graphicData uri="http://schemas.openxmlformats.org/drawingml/2006/picture">
                <pic:pic>
                  <pic:nvPicPr>
                    <pic:cNvPr descr="supplement_files/figure-docx/graph_tx_ever_int-1.png" id="123" name="Picture"/>
                    <pic:cNvPicPr>
                      <a:picLocks noChangeArrowheads="1" noChangeAspect="1"/>
                    </pic:cNvPicPr>
                  </pic:nvPicPr>
                  <pic:blipFill>
                    <a:blip r:embed="rId121"/>
                    <a:stretch>
                      <a:fillRect/>
                    </a:stretch>
                  </pic:blipFill>
                  <pic:spPr bwMode="auto">
                    <a:xfrm>
                      <a:off x="0" y="0"/>
                      <a:ext cx="5334000" cy="3556000"/>
                    </a:xfrm>
                    <a:prstGeom prst="rect">
                      <a:avLst/>
                    </a:prstGeom>
                    <a:noFill/>
                    <a:ln w="9525">
                      <a:noFill/>
                      <a:headEnd/>
                      <a:tailEnd/>
                    </a:ln>
                  </pic:spPr>
                </pic:pic>
              </a:graphicData>
            </a:graphic>
          </wp:inline>
        </w:drawing>
      </w:r>
    </w:p>
    <w:bookmarkStart w:id="127" w:name="overtreatment"/>
    <w:p>
      <w:pPr>
        <w:pStyle w:val="Heading3"/>
      </w:pPr>
      <w:r>
        <w:t xml:space="preserve">Overtreatment</w:t>
      </w:r>
    </w:p>
    <w:p>
      <w:pPr>
        <w:pStyle w:val="FirstParagraph"/>
      </w:pPr>
      <w:r>
        <w:drawing>
          <wp:inline>
            <wp:extent cx="5334000" cy="3556000"/>
            <wp:effectExtent b="0" l="0" r="0" t="0"/>
            <wp:docPr descr="" title="" id="125" name="Picture"/>
            <a:graphic>
              <a:graphicData uri="http://schemas.openxmlformats.org/drawingml/2006/picture">
                <pic:pic>
                  <pic:nvPicPr>
                    <pic:cNvPr descr="supplement_files/figure-docx/unnamed-chunk-6-1.png" id="126" name="Picture"/>
                    <pic:cNvPicPr>
                      <a:picLocks noChangeArrowheads="1" noChangeAspect="1"/>
                    </pic:cNvPicPr>
                  </pic:nvPicPr>
                  <pic:blipFill>
                    <a:blip r:embed="rId124"/>
                    <a:stretch>
                      <a:fillRect/>
                    </a:stretch>
                  </pic:blipFill>
                  <pic:spPr bwMode="auto">
                    <a:xfrm>
                      <a:off x="0" y="0"/>
                      <a:ext cx="5334000" cy="3556000"/>
                    </a:xfrm>
                    <a:prstGeom prst="rect">
                      <a:avLst/>
                    </a:prstGeom>
                    <a:noFill/>
                    <a:ln w="9525">
                      <a:noFill/>
                      <a:headEnd/>
                      <a:tailEnd/>
                    </a:ln>
                  </pic:spPr>
                </pic:pic>
              </a:graphicData>
            </a:graphic>
          </wp:inline>
        </w:drawing>
      </w:r>
    </w:p>
    <w:bookmarkEnd w:id="127"/>
    <w:bookmarkEnd w:id="128"/>
    <w:bookmarkStart w:id="135" w:name="htn-control"/>
    <w:p>
      <w:pPr>
        <w:pStyle w:val="Heading2"/>
      </w:pPr>
      <w:r>
        <w:t xml:space="preserve">HTN control</w:t>
      </w:r>
    </w:p>
    <w:p>
      <w:pPr>
        <w:pStyle w:val="FirstParagraph"/>
      </w:pPr>
      <w:r>
        <w:drawing>
          <wp:inline>
            <wp:extent cx="5334000" cy="3556000"/>
            <wp:effectExtent b="0" l="0" r="0" t="0"/>
            <wp:docPr descr="" title="" id="130" name="Picture"/>
            <a:graphic>
              <a:graphicData uri="http://schemas.openxmlformats.org/drawingml/2006/picture">
                <pic:pic>
                  <pic:nvPicPr>
                    <pic:cNvPr descr="supplement_files/figure-docx/graph_ctrl_int-1.png" id="131" name="Picture"/>
                    <pic:cNvPicPr>
                      <a:picLocks noChangeArrowheads="1" noChangeAspect="1"/>
                    </pic:cNvPicPr>
                  </pic:nvPicPr>
                  <pic:blipFill>
                    <a:blip r:embed="rId129"/>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33" name="Picture"/>
            <a:graphic>
              <a:graphicData uri="http://schemas.openxmlformats.org/drawingml/2006/picture">
                <pic:pic>
                  <pic:nvPicPr>
                    <pic:cNvPr descr="supplement_files/figure-docx/graph_ctrl_int-2.png" id="134" name="Picture"/>
                    <pic:cNvPicPr>
                      <a:picLocks noChangeArrowheads="1" noChangeAspect="1"/>
                    </pic:cNvPicPr>
                  </pic:nvPicPr>
                  <pic:blipFill>
                    <a:blip r:embed="rId132"/>
                    <a:stretch>
                      <a:fillRect/>
                    </a:stretch>
                  </pic:blipFill>
                  <pic:spPr bwMode="auto">
                    <a:xfrm>
                      <a:off x="0" y="0"/>
                      <a:ext cx="5334000" cy="3556000"/>
                    </a:xfrm>
                    <a:prstGeom prst="rect">
                      <a:avLst/>
                    </a:prstGeom>
                    <a:noFill/>
                    <a:ln w="9525">
                      <a:noFill/>
                      <a:headEnd/>
                      <a:tailEnd/>
                    </a:ln>
                  </pic:spPr>
                </pic:pic>
              </a:graphicData>
            </a:graphic>
          </wp:inline>
        </w:drawing>
      </w:r>
    </w:p>
    <w:bookmarkEnd w:id="135"/>
    <w:bookmarkStart w:id="142" w:name="sbp-increase-with-age-1"/>
    <w:p>
      <w:pPr>
        <w:pStyle w:val="Heading2"/>
      </w:pPr>
      <w:r>
        <w:t xml:space="preserve">SBP Increase with Age</w:t>
      </w:r>
    </w:p>
    <w:p>
      <w:pPr>
        <w:pStyle w:val="FirstParagraph"/>
      </w:pPr>
      <w:r>
        <w:drawing>
          <wp:inline>
            <wp:extent cx="5334000" cy="3556000"/>
            <wp:effectExtent b="0" l="0" r="0" t="0"/>
            <wp:docPr descr="" title="" id="137" name="Picture"/>
            <a:graphic>
              <a:graphicData uri="http://schemas.openxmlformats.org/drawingml/2006/picture">
                <pic:pic>
                  <pic:nvPicPr>
                    <pic:cNvPr descr="supplement_files/figure-docx/graph_sbp_int-1.png" id="138" name="Picture"/>
                    <pic:cNvPicPr>
                      <a:picLocks noChangeArrowheads="1" noChangeAspect="1"/>
                    </pic:cNvPicPr>
                  </pic:nvPicPr>
                  <pic:blipFill>
                    <a:blip r:embed="rId13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40" name="Picture"/>
            <a:graphic>
              <a:graphicData uri="http://schemas.openxmlformats.org/drawingml/2006/picture">
                <pic:pic>
                  <pic:nvPicPr>
                    <pic:cNvPr descr="supplement_files/figure-docx/graph_sbp_m_int-1.png" id="141" name="Picture"/>
                    <pic:cNvPicPr>
                      <a:picLocks noChangeArrowheads="1" noChangeAspect="1"/>
                    </pic:cNvPicPr>
                  </pic:nvPicPr>
                  <pic:blipFill>
                    <a:blip r:embed="rId139"/>
                    <a:stretch>
                      <a:fillRect/>
                    </a:stretch>
                  </pic:blipFill>
                  <pic:spPr bwMode="auto">
                    <a:xfrm>
                      <a:off x="0" y="0"/>
                      <a:ext cx="5334000" cy="3556000"/>
                    </a:xfrm>
                    <a:prstGeom prst="rect">
                      <a:avLst/>
                    </a:prstGeom>
                    <a:noFill/>
                    <a:ln w="9525">
                      <a:noFill/>
                      <a:headEnd/>
                      <a:tailEnd/>
                    </a:ln>
                  </pic:spPr>
                </pic:pic>
              </a:graphicData>
            </a:graphic>
          </wp:inline>
        </w:drawing>
      </w:r>
    </w:p>
    <w:bookmarkEnd w:id="142"/>
    <w:bookmarkStart w:id="163" w:name="cvd-event-incidence"/>
    <w:p>
      <w:pPr>
        <w:pStyle w:val="Heading2"/>
      </w:pPr>
      <w:r>
        <w:t xml:space="preserve">CVD Event incidence</w:t>
      </w:r>
    </w:p>
    <w:bookmarkStart w:id="152" w:name="X42c6058aba101b75783b2da5952b7328263e4e7"/>
    <w:p>
      <w:pPr>
        <w:pStyle w:val="Heading4"/>
      </w:pPr>
      <w:r>
        <w:t xml:space="preserve">Incident Ischemic Heart Disease Events (moderate/severe events only)</w:t>
      </w:r>
    </w:p>
    <w:p>
      <w:pPr>
        <w:pStyle w:val="FirstParagraph"/>
      </w:pPr>
      <w:r>
        <w:drawing>
          <wp:inline>
            <wp:extent cx="5334000" cy="3556000"/>
            <wp:effectExtent b="0" l="0" r="0" t="0"/>
            <wp:docPr descr="" title="" id="144" name="Picture"/>
            <a:graphic>
              <a:graphicData uri="http://schemas.openxmlformats.org/drawingml/2006/picture">
                <pic:pic>
                  <pic:nvPicPr>
                    <pic:cNvPr descr="supplement_files/figure-docx/unnamed-chunk-7-1.png" id="145" name="Picture"/>
                    <pic:cNvPicPr>
                      <a:picLocks noChangeArrowheads="1" noChangeAspect="1"/>
                    </pic:cNvPicPr>
                  </pic:nvPicPr>
                  <pic:blipFill>
                    <a:blip r:embed="rId143"/>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47" name="Picture"/>
            <a:graphic>
              <a:graphicData uri="http://schemas.openxmlformats.org/drawingml/2006/picture">
                <pic:pic>
                  <pic:nvPicPr>
                    <pic:cNvPr descr="supplement_files/figure-docx/unnamed-chunk-7-2.png" id="148" name="Picture"/>
                    <pic:cNvPicPr>
                      <a:picLocks noChangeArrowheads="1" noChangeAspect="1"/>
                    </pic:cNvPicPr>
                  </pic:nvPicPr>
                  <pic:blipFill>
                    <a:blip r:embed="rId146"/>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50" name="Picture"/>
            <a:graphic>
              <a:graphicData uri="http://schemas.openxmlformats.org/drawingml/2006/picture">
                <pic:pic>
                  <pic:nvPicPr>
                    <pic:cNvPr descr="supplement_files/figure-docx/unnamed-chunk-7-3.png" id="151" name="Picture"/>
                    <pic:cNvPicPr>
                      <a:picLocks noChangeArrowheads="1" noChangeAspect="1"/>
                    </pic:cNvPicPr>
                  </pic:nvPicPr>
                  <pic:blipFill>
                    <a:blip r:embed="rId149"/>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source</w:t>
      </w:r>
    </w:p>
    <w:p>
      <w:pPr>
        <w:pStyle w:val="BodyText"/>
      </w:pPr>
      <w:r>
        <w:t xml:space="preserve">Mean annual number of moderate/severe heart attacks deaths averted (standardized to population of 10 million adults)</w:t>
      </w:r>
    </w:p>
    <w:p>
      <w:pPr>
        <w:pStyle w:val="BodyText"/>
      </w:pPr>
      <w:r>
        <w:t xml:space="preserve">5%</w:t>
      </w:r>
    </w:p>
    <w:p>
      <w:pPr>
        <w:pStyle w:val="BodyText"/>
      </w:pPr>
      <w:r>
        <w:t xml:space="preserve">Q1</w:t>
      </w:r>
    </w:p>
    <w:p>
      <w:pPr>
        <w:pStyle w:val="BodyText"/>
      </w:pPr>
      <w:r>
        <w:t xml:space="preserve">median</w:t>
      </w:r>
    </w:p>
    <w:p>
      <w:pPr>
        <w:pStyle w:val="BodyText"/>
      </w:pPr>
      <w:r>
        <w:t xml:space="preserve">Q3</w:t>
      </w:r>
    </w:p>
    <w:p>
      <w:pPr>
        <w:pStyle w:val="BodyText"/>
      </w:pPr>
      <w:r>
        <w:t xml:space="preserve">95%</w:t>
      </w:r>
    </w:p>
    <w:p>
      <w:pPr>
        <w:pStyle w:val="BodyText"/>
      </w:pPr>
      <w:r>
        <w:t xml:space="preserve">CCC</w:t>
      </w:r>
    </w:p>
    <w:p>
      <w:pPr>
        <w:pStyle w:val="BodyText"/>
      </w:pPr>
      <w:r>
        <w:t xml:space="preserve">4275.39</w:t>
      </w:r>
    </w:p>
    <w:p>
      <w:pPr>
        <w:pStyle w:val="BodyText"/>
      </w:pPr>
      <w:r>
        <w:t xml:space="preserve">1194.49</w:t>
      </w:r>
    </w:p>
    <w:p>
      <w:pPr>
        <w:pStyle w:val="BodyText"/>
      </w:pPr>
      <w:r>
        <w:t xml:space="preserve">2641.39</w:t>
      </w:r>
    </w:p>
    <w:p>
      <w:pPr>
        <w:pStyle w:val="BodyText"/>
      </w:pPr>
      <w:r>
        <w:t xml:space="preserve">3886.26</w:t>
      </w:r>
    </w:p>
    <w:p>
      <w:pPr>
        <w:pStyle w:val="BodyText"/>
      </w:pPr>
      <w:r>
        <w:t xml:space="preserve">5532.54</w:t>
      </w:r>
    </w:p>
    <w:p>
      <w:pPr>
        <w:pStyle w:val="BodyText"/>
      </w:pPr>
      <w:r>
        <w:t xml:space="preserve">8745.44</w:t>
      </w:r>
    </w:p>
    <w:p>
      <w:pPr>
        <w:pStyle w:val="BodyText"/>
      </w:pPr>
      <w:r>
        <w:t xml:space="preserve">CHW</w:t>
      </w:r>
    </w:p>
    <w:p>
      <w:pPr>
        <w:pStyle w:val="BodyText"/>
      </w:pPr>
      <w:r>
        <w:t xml:space="preserve">13507.68</w:t>
      </w:r>
    </w:p>
    <w:p>
      <w:pPr>
        <w:pStyle w:val="BodyText"/>
      </w:pPr>
      <w:r>
        <w:t xml:space="preserve">5675.59</w:t>
      </w:r>
    </w:p>
    <w:p>
      <w:pPr>
        <w:pStyle w:val="BodyText"/>
      </w:pPr>
      <w:r>
        <w:t xml:space="preserve">9376.25</w:t>
      </w:r>
    </w:p>
    <w:p>
      <w:pPr>
        <w:pStyle w:val="BodyText"/>
      </w:pPr>
      <w:r>
        <w:t xml:space="preserve">13052.69</w:t>
      </w:r>
    </w:p>
    <w:p>
      <w:pPr>
        <w:pStyle w:val="BodyText"/>
      </w:pPr>
      <w:r>
        <w:t xml:space="preserve">16818.99</w:t>
      </w:r>
    </w:p>
    <w:p>
      <w:pPr>
        <w:pStyle w:val="BodyText"/>
      </w:pPr>
      <w:r>
        <w:t xml:space="preserve">23524.51</w:t>
      </w:r>
    </w:p>
    <w:bookmarkEnd w:id="152"/>
    <w:bookmarkStart w:id="162" w:name="X5722b99709f051accdb0a789baa0d405e80702f"/>
    <w:p>
      <w:pPr>
        <w:pStyle w:val="Heading4"/>
      </w:pPr>
      <w:r>
        <w:t xml:space="preserve">Incident Stroke (moderate/severe events only)</w:t>
      </w:r>
    </w:p>
    <w:p>
      <w:pPr>
        <w:pStyle w:val="FirstParagraph"/>
      </w:pPr>
      <w:r>
        <w:drawing>
          <wp:inline>
            <wp:extent cx="5334000" cy="3556000"/>
            <wp:effectExtent b="0" l="0" r="0" t="0"/>
            <wp:docPr descr="" title="" id="154" name="Picture"/>
            <a:graphic>
              <a:graphicData uri="http://schemas.openxmlformats.org/drawingml/2006/picture">
                <pic:pic>
                  <pic:nvPicPr>
                    <pic:cNvPr descr="supplement_files/figure-docx/unnamed-chunk-8-1.png" id="155" name="Picture"/>
                    <pic:cNvPicPr>
                      <a:picLocks noChangeArrowheads="1" noChangeAspect="1"/>
                    </pic:cNvPicPr>
                  </pic:nvPicPr>
                  <pic:blipFill>
                    <a:blip r:embed="rId153"/>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57" name="Picture"/>
            <a:graphic>
              <a:graphicData uri="http://schemas.openxmlformats.org/drawingml/2006/picture">
                <pic:pic>
                  <pic:nvPicPr>
                    <pic:cNvPr descr="supplement_files/figure-docx/unnamed-chunk-8-2.png" id="158" name="Picture"/>
                    <pic:cNvPicPr>
                      <a:picLocks noChangeArrowheads="1" noChangeAspect="1"/>
                    </pic:cNvPicPr>
                  </pic:nvPicPr>
                  <pic:blipFill>
                    <a:blip r:embed="rId156"/>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60" name="Picture"/>
            <a:graphic>
              <a:graphicData uri="http://schemas.openxmlformats.org/drawingml/2006/picture">
                <pic:pic>
                  <pic:nvPicPr>
                    <pic:cNvPr descr="supplement_files/figure-docx/unnamed-chunk-8-3.png" id="161" name="Picture"/>
                    <pic:cNvPicPr>
                      <a:picLocks noChangeArrowheads="1" noChangeAspect="1"/>
                    </pic:cNvPicPr>
                  </pic:nvPicPr>
                  <pic:blipFill>
                    <a:blip r:embed="rId159"/>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source</w:t>
      </w:r>
    </w:p>
    <w:p>
      <w:pPr>
        <w:pStyle w:val="BodyText"/>
      </w:pPr>
      <w:r>
        <w:t xml:space="preserve">Mean annual number of moderate/severe strokes averted (standardized to population of 10 million adults)</w:t>
      </w:r>
    </w:p>
    <w:p>
      <w:pPr>
        <w:pStyle w:val="BodyText"/>
      </w:pPr>
      <w:r>
        <w:t xml:space="preserve">5%</w:t>
      </w:r>
    </w:p>
    <w:p>
      <w:pPr>
        <w:pStyle w:val="BodyText"/>
      </w:pPr>
      <w:r>
        <w:t xml:space="preserve">Q1</w:t>
      </w:r>
    </w:p>
    <w:p>
      <w:pPr>
        <w:pStyle w:val="BodyText"/>
      </w:pPr>
      <w:r>
        <w:t xml:space="preserve">median</w:t>
      </w:r>
    </w:p>
    <w:p>
      <w:pPr>
        <w:pStyle w:val="BodyText"/>
      </w:pPr>
      <w:r>
        <w:t xml:space="preserve">Q3</w:t>
      </w:r>
    </w:p>
    <w:p>
      <w:pPr>
        <w:pStyle w:val="BodyText"/>
      </w:pPr>
      <w:r>
        <w:t xml:space="preserve">95%</w:t>
      </w:r>
    </w:p>
    <w:bookmarkEnd w:id="162"/>
    <w:bookmarkEnd w:id="163"/>
    <w:bookmarkStart w:id="185" w:name="cvd-mortality-1"/>
    <w:p>
      <w:pPr>
        <w:pStyle w:val="Heading2"/>
      </w:pPr>
      <w:r>
        <w:t xml:space="preserve">CVD Mortality</w:t>
      </w:r>
    </w:p>
    <w:p>
      <w:pPr>
        <w:pStyle w:val="FirstParagraph"/>
      </w:pPr>
      <w:r>
        <w:drawing>
          <wp:inline>
            <wp:extent cx="5334000" cy="3556000"/>
            <wp:effectExtent b="0" l="0" r="0" t="0"/>
            <wp:docPr descr="" title="" id="165" name="Picture"/>
            <a:graphic>
              <a:graphicData uri="http://schemas.openxmlformats.org/drawingml/2006/picture">
                <pic:pic>
                  <pic:nvPicPr>
                    <pic:cNvPr descr="supplement_files/figure-docx/graph_mortality-1.png" id="166" name="Picture"/>
                    <pic:cNvPicPr>
                      <a:picLocks noChangeArrowheads="1" noChangeAspect="1"/>
                    </pic:cNvPicPr>
                  </pic:nvPicPr>
                  <pic:blipFill>
                    <a:blip r:embed="rId164"/>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68" name="Picture"/>
            <a:graphic>
              <a:graphicData uri="http://schemas.openxmlformats.org/drawingml/2006/picture">
                <pic:pic>
                  <pic:nvPicPr>
                    <pic:cNvPr descr="supplement_files/figure-docx/graph_mortality-2.png" id="169" name="Picture"/>
                    <pic:cNvPicPr>
                      <a:picLocks noChangeArrowheads="1" noChangeAspect="1"/>
                    </pic:cNvPicPr>
                  </pic:nvPicPr>
                  <pic:blipFill>
                    <a:blip r:embed="rId16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source</w:t>
      </w:r>
    </w:p>
    <w:p>
      <w:pPr>
        <w:pStyle w:val="BodyText"/>
      </w:pPr>
      <w:r>
        <w:t xml:space="preserve">Mean annual number of CVD deaths (standardized to population of 10 million adults)</w:t>
      </w:r>
    </w:p>
    <w:p>
      <w:pPr>
        <w:pStyle w:val="BodyText"/>
      </w:pPr>
      <w:r>
        <w:t xml:space="preserve">5%</w:t>
      </w:r>
    </w:p>
    <w:p>
      <w:pPr>
        <w:pStyle w:val="BodyText"/>
      </w:pPr>
      <w:r>
        <w:t xml:space="preserve">Q1</w:t>
      </w:r>
    </w:p>
    <w:p>
      <w:pPr>
        <w:pStyle w:val="BodyText"/>
      </w:pPr>
      <w:r>
        <w:t xml:space="preserve">median</w:t>
      </w:r>
    </w:p>
    <w:p>
      <w:pPr>
        <w:pStyle w:val="BodyText"/>
      </w:pPr>
      <w:r>
        <w:t xml:space="preserve">Q3</w:t>
      </w:r>
    </w:p>
    <w:p>
      <w:pPr>
        <w:pStyle w:val="BodyText"/>
      </w:pPr>
      <w:r>
        <w:t xml:space="preserve">95%</w:t>
      </w:r>
    </w:p>
    <w:p>
      <w:pPr>
        <w:pStyle w:val="BodyText"/>
      </w:pPr>
      <w:r>
        <w:t xml:space="preserve">SOC</w:t>
      </w:r>
    </w:p>
    <w:p>
      <w:pPr>
        <w:pStyle w:val="BodyText"/>
      </w:pPr>
      <w:r>
        <w:t xml:space="preserve">68633.83</w:t>
      </w:r>
    </w:p>
    <w:p>
      <w:pPr>
        <w:pStyle w:val="BodyText"/>
      </w:pPr>
      <w:r>
        <w:t xml:space="preserve">42337.17</w:t>
      </w:r>
    </w:p>
    <w:p>
      <w:pPr>
        <w:pStyle w:val="BodyText"/>
      </w:pPr>
      <w:r>
        <w:t xml:space="preserve">56210.57</w:t>
      </w:r>
    </w:p>
    <w:p>
      <w:pPr>
        <w:pStyle w:val="BodyText"/>
      </w:pPr>
      <w:r>
        <w:t xml:space="preserve">67423.03</w:t>
      </w:r>
    </w:p>
    <w:p>
      <w:pPr>
        <w:pStyle w:val="BodyText"/>
      </w:pPr>
      <w:r>
        <w:t xml:space="preserve">80210.74</w:t>
      </w:r>
    </w:p>
    <w:p>
      <w:pPr>
        <w:pStyle w:val="BodyText"/>
      </w:pPr>
      <w:r>
        <w:t xml:space="preserve">99492.58</w:t>
      </w:r>
    </w:p>
    <w:p>
      <w:pPr>
        <w:pStyle w:val="BodyText"/>
      </w:pPr>
      <w:r>
        <w:t xml:space="preserve">CCC</w:t>
      </w:r>
    </w:p>
    <w:p>
      <w:pPr>
        <w:pStyle w:val="BodyText"/>
      </w:pPr>
      <w:r>
        <w:t xml:space="preserve">62437.77</w:t>
      </w:r>
    </w:p>
    <w:p>
      <w:pPr>
        <w:pStyle w:val="BodyText"/>
      </w:pPr>
      <w:r>
        <w:t xml:space="preserve">38609.32</w:t>
      </w:r>
    </w:p>
    <w:p>
      <w:pPr>
        <w:pStyle w:val="BodyText"/>
      </w:pPr>
      <w:r>
        <w:t xml:space="preserve">50601.79</w:t>
      </w:r>
    </w:p>
    <w:p>
      <w:pPr>
        <w:pStyle w:val="BodyText"/>
      </w:pPr>
      <w:r>
        <w:t xml:space="preserve">60735.94</w:t>
      </w:r>
    </w:p>
    <w:p>
      <w:pPr>
        <w:pStyle w:val="BodyText"/>
      </w:pPr>
      <w:r>
        <w:t xml:space="preserve">73092.05</w:t>
      </w:r>
    </w:p>
    <w:p>
      <w:pPr>
        <w:pStyle w:val="BodyText"/>
      </w:pPr>
      <w:r>
        <w:t xml:space="preserve">91879.29</w:t>
      </w:r>
    </w:p>
    <w:p>
      <w:pPr>
        <w:pStyle w:val="BodyText"/>
      </w:pPr>
      <w:r>
        <w:t xml:space="preserve">CHW</w:t>
      </w:r>
    </w:p>
    <w:p>
      <w:pPr>
        <w:pStyle w:val="BodyText"/>
      </w:pPr>
      <w:r>
        <w:t xml:space="preserve">48289.03</w:t>
      </w:r>
    </w:p>
    <w:p>
      <w:pPr>
        <w:pStyle w:val="BodyText"/>
      </w:pPr>
      <w:r>
        <w:t xml:space="preserve">32145.57</w:t>
      </w:r>
    </w:p>
    <w:p>
      <w:pPr>
        <w:pStyle w:val="BodyText"/>
      </w:pPr>
      <w:r>
        <w:t xml:space="preserve">40424.89</w:t>
      </w:r>
    </w:p>
    <w:p>
      <w:pPr>
        <w:pStyle w:val="BodyText"/>
      </w:pPr>
      <w:r>
        <w:t xml:space="preserve">47324.71</w:t>
      </w:r>
    </w:p>
    <w:p>
      <w:pPr>
        <w:pStyle w:val="BodyText"/>
      </w:pPr>
      <w:r>
        <w:t xml:space="preserve">55273.29</w:t>
      </w:r>
    </w:p>
    <w:p>
      <w:pPr>
        <w:pStyle w:val="BodyText"/>
      </w:pPr>
      <w:r>
        <w:t xml:space="preserve">67596.77</w:t>
      </w:r>
    </w:p>
    <w:p>
      <w:pPr>
        <w:pStyle w:val="BodyText"/>
      </w:pPr>
      <w:r>
        <w:t xml:space="preserve">source</w:t>
      </w:r>
    </w:p>
    <w:p>
      <w:pPr>
        <w:pStyle w:val="BodyText"/>
      </w:pPr>
      <w:r>
        <w:t xml:space="preserve">Mean annual number of CVD deaths averted (standardized to population of 10 million adults)</w:t>
      </w:r>
    </w:p>
    <w:p>
      <w:pPr>
        <w:pStyle w:val="BodyText"/>
      </w:pPr>
      <w:r>
        <w:t xml:space="preserve">5%</w:t>
      </w:r>
    </w:p>
    <w:p>
      <w:pPr>
        <w:pStyle w:val="BodyText"/>
      </w:pPr>
      <w:r>
        <w:t xml:space="preserve">Q1</w:t>
      </w:r>
    </w:p>
    <w:p>
      <w:pPr>
        <w:pStyle w:val="BodyText"/>
      </w:pPr>
      <w:r>
        <w:t xml:space="preserve">median</w:t>
      </w:r>
    </w:p>
    <w:p>
      <w:pPr>
        <w:pStyle w:val="BodyText"/>
      </w:pPr>
      <w:r>
        <w:t xml:space="preserve">Q3</w:t>
      </w:r>
    </w:p>
    <w:p>
      <w:pPr>
        <w:pStyle w:val="BodyText"/>
      </w:pPr>
      <w:r>
        <w:t xml:space="preserve">95%</w:t>
      </w:r>
    </w:p>
    <w:p>
      <w:pPr>
        <w:pStyle w:val="BodyText"/>
      </w:pPr>
      <w:r>
        <w:t xml:space="preserve">CCC</w:t>
      </w:r>
    </w:p>
    <w:p>
      <w:pPr>
        <w:pStyle w:val="BodyText"/>
      </w:pPr>
      <w:r>
        <w:t xml:space="preserve">6196.06</w:t>
      </w:r>
    </w:p>
    <w:p>
      <w:pPr>
        <w:pStyle w:val="BodyText"/>
      </w:pPr>
      <w:r>
        <w:t xml:space="preserve">1949.01</w:t>
      </w:r>
    </w:p>
    <w:p>
      <w:pPr>
        <w:pStyle w:val="BodyText"/>
      </w:pPr>
      <w:r>
        <w:t xml:space="preserve">3836.71</w:t>
      </w:r>
    </w:p>
    <w:p>
      <w:pPr>
        <w:pStyle w:val="BodyText"/>
      </w:pPr>
      <w:r>
        <w:t xml:space="preserve">5653.78</w:t>
      </w:r>
    </w:p>
    <w:p>
      <w:pPr>
        <w:pStyle w:val="BodyText"/>
      </w:pPr>
      <w:r>
        <w:t xml:space="preserve">7967.36</w:t>
      </w:r>
    </w:p>
    <w:p>
      <w:pPr>
        <w:pStyle w:val="BodyText"/>
      </w:pPr>
      <w:r>
        <w:t xml:space="preserve">12314.37</w:t>
      </w:r>
    </w:p>
    <w:p>
      <w:pPr>
        <w:pStyle w:val="BodyText"/>
      </w:pPr>
      <w:r>
        <w:t xml:space="preserve">CHW</w:t>
      </w:r>
    </w:p>
    <w:p>
      <w:pPr>
        <w:pStyle w:val="BodyText"/>
      </w:pPr>
      <w:r>
        <w:t xml:space="preserve">20344.81</w:t>
      </w:r>
    </w:p>
    <w:p>
      <w:pPr>
        <w:pStyle w:val="BodyText"/>
      </w:pPr>
      <w:r>
        <w:t xml:space="preserve">8891.18</w:t>
      </w:r>
    </w:p>
    <w:p>
      <w:pPr>
        <w:pStyle w:val="BodyText"/>
      </w:pPr>
      <w:r>
        <w:t xml:space="preserve">14596.37</w:t>
      </w:r>
    </w:p>
    <w:p>
      <w:pPr>
        <w:pStyle w:val="BodyText"/>
      </w:pPr>
      <w:r>
        <w:t xml:space="preserve">19765.35</w:t>
      </w:r>
    </w:p>
    <w:p>
      <w:pPr>
        <w:pStyle w:val="BodyText"/>
      </w:pPr>
      <w:r>
        <w:t xml:space="preserve">25405.05</w:t>
      </w:r>
    </w:p>
    <w:p>
      <w:pPr>
        <w:pStyle w:val="BodyText"/>
      </w:pPr>
      <w:r>
        <w:t xml:space="preserve">33584.88</w:t>
      </w:r>
    </w:p>
    <w:p>
      <w:pPr>
        <w:pStyle w:val="BodyText"/>
      </w:pPr>
      <w:r>
        <w:drawing>
          <wp:inline>
            <wp:extent cx="5334000" cy="3556000"/>
            <wp:effectExtent b="0" l="0" r="0" t="0"/>
            <wp:docPr descr="" title="" id="171" name="Picture"/>
            <a:graphic>
              <a:graphicData uri="http://schemas.openxmlformats.org/drawingml/2006/picture">
                <pic:pic>
                  <pic:nvPicPr>
                    <pic:cNvPr descr="supplement_files/figure-docx/graph_mortality-3.png" id="172" name="Picture"/>
                    <pic:cNvPicPr>
                      <a:picLocks noChangeArrowheads="1" noChangeAspect="1"/>
                    </pic:cNvPicPr>
                  </pic:nvPicPr>
                  <pic:blipFill>
                    <a:blip r:embed="rId170"/>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source</w:t>
      </w:r>
    </w:p>
    <w:p>
      <w:pPr>
        <w:pStyle w:val="BodyText"/>
      </w:pPr>
      <w:r>
        <w:t xml:space="preserve">Mean annual CVD mortality rate</w:t>
      </w:r>
    </w:p>
    <w:p>
      <w:pPr>
        <w:pStyle w:val="BodyText"/>
      </w:pPr>
      <w:r>
        <w:t xml:space="preserve">min</w:t>
      </w:r>
    </w:p>
    <w:p>
      <w:pPr>
        <w:pStyle w:val="BodyText"/>
      </w:pPr>
      <w:r>
        <w:t xml:space="preserve">Q1</w:t>
      </w:r>
    </w:p>
    <w:p>
      <w:pPr>
        <w:pStyle w:val="BodyText"/>
      </w:pPr>
      <w:r>
        <w:t xml:space="preserve">median</w:t>
      </w:r>
    </w:p>
    <w:p>
      <w:pPr>
        <w:pStyle w:val="BodyText"/>
      </w:pPr>
      <w:r>
        <w:t xml:space="preserve">Q3</w:t>
      </w:r>
    </w:p>
    <w:p>
      <w:pPr>
        <w:pStyle w:val="BodyText"/>
      </w:pPr>
      <w:r>
        <w:t xml:space="preserve">max</w:t>
      </w:r>
    </w:p>
    <w:p>
      <w:pPr>
        <w:pStyle w:val="BodyText"/>
      </w:pPr>
      <w:r>
        <w:t xml:space="preserve">SOC</w:t>
      </w:r>
    </w:p>
    <w:p>
      <w:pPr>
        <w:pStyle w:val="BodyText"/>
      </w:pPr>
      <w:r>
        <w:t xml:space="preserve">0.86</w:t>
      </w:r>
    </w:p>
    <w:p>
      <w:pPr>
        <w:pStyle w:val="BodyText"/>
      </w:pPr>
      <w:r>
        <w:t xml:space="preserve">0.14</w:t>
      </w:r>
    </w:p>
    <w:p>
      <w:pPr>
        <w:pStyle w:val="BodyText"/>
      </w:pPr>
      <w:r>
        <w:t xml:space="preserve">0.37</w:t>
      </w:r>
    </w:p>
    <w:p>
      <w:pPr>
        <w:pStyle w:val="BodyText"/>
      </w:pPr>
      <w:r>
        <w:t xml:space="preserve">0.49</w:t>
      </w:r>
    </w:p>
    <w:p>
      <w:pPr>
        <w:pStyle w:val="BodyText"/>
      </w:pPr>
      <w:r>
        <w:t xml:space="preserve">0.96</w:t>
      </w:r>
    </w:p>
    <w:p>
      <w:pPr>
        <w:pStyle w:val="BodyText"/>
      </w:pPr>
      <w:r>
        <w:t xml:space="preserve">4.07</w:t>
      </w:r>
    </w:p>
    <w:p>
      <w:pPr>
        <w:pStyle w:val="BodyText"/>
      </w:pPr>
      <w:r>
        <w:t xml:space="preserve">CCC</w:t>
      </w:r>
    </w:p>
    <w:p>
      <w:pPr>
        <w:pStyle w:val="BodyText"/>
      </w:pPr>
      <w:r>
        <w:t xml:space="preserve">0.76</w:t>
      </w:r>
    </w:p>
    <w:p>
      <w:pPr>
        <w:pStyle w:val="BodyText"/>
      </w:pPr>
      <w:r>
        <w:t xml:space="preserve">0.13</w:t>
      </w:r>
    </w:p>
    <w:p>
      <w:pPr>
        <w:pStyle w:val="BodyText"/>
      </w:pPr>
      <w:r>
        <w:t xml:space="preserve">0.33</w:t>
      </w:r>
    </w:p>
    <w:p>
      <w:pPr>
        <w:pStyle w:val="BodyText"/>
      </w:pPr>
      <w:r>
        <w:t xml:space="preserve">0.45</w:t>
      </w:r>
    </w:p>
    <w:p>
      <w:pPr>
        <w:pStyle w:val="BodyText"/>
      </w:pPr>
      <w:r>
        <w:t xml:space="preserve">0.85</w:t>
      </w:r>
    </w:p>
    <w:p>
      <w:pPr>
        <w:pStyle w:val="BodyText"/>
      </w:pPr>
      <w:r>
        <w:t xml:space="preserve">3.64</w:t>
      </w:r>
    </w:p>
    <w:p>
      <w:pPr>
        <w:pStyle w:val="BodyText"/>
      </w:pPr>
      <w:r>
        <w:t xml:space="preserve">CHW</w:t>
      </w:r>
    </w:p>
    <w:p>
      <w:pPr>
        <w:pStyle w:val="BodyText"/>
      </w:pPr>
      <w:r>
        <w:t xml:space="preserve">0.56</w:t>
      </w:r>
    </w:p>
    <w:p>
      <w:pPr>
        <w:pStyle w:val="BodyText"/>
      </w:pPr>
      <w:r>
        <w:t xml:space="preserve">0.11</w:t>
      </w:r>
    </w:p>
    <w:p>
      <w:pPr>
        <w:pStyle w:val="BodyText"/>
      </w:pPr>
      <w:r>
        <w:t xml:space="preserve">0.26</w:t>
      </w:r>
    </w:p>
    <w:p>
      <w:pPr>
        <w:pStyle w:val="BodyText"/>
      </w:pPr>
      <w:r>
        <w:t xml:space="preserve">0.33</w:t>
      </w:r>
    </w:p>
    <w:p>
      <w:pPr>
        <w:pStyle w:val="BodyText"/>
      </w:pPr>
      <w:r>
        <w:t xml:space="preserve">0.63</w:t>
      </w:r>
    </w:p>
    <w:p>
      <w:pPr>
        <w:pStyle w:val="BodyText"/>
      </w:pPr>
      <w:r>
        <w:t xml:space="preserve">2.50</w:t>
      </w:r>
    </w:p>
    <w:p>
      <w:pPr>
        <w:pStyle w:val="BodyText"/>
      </w:pPr>
      <w:r>
        <w:drawing>
          <wp:inline>
            <wp:extent cx="5334000" cy="3556000"/>
            <wp:effectExtent b="0" l="0" r="0" t="0"/>
            <wp:docPr descr="" title="" id="174" name="Picture"/>
            <a:graphic>
              <a:graphicData uri="http://schemas.openxmlformats.org/drawingml/2006/picture">
                <pic:pic>
                  <pic:nvPicPr>
                    <pic:cNvPr descr="supplement_files/figure-docx/graph_mortality-4.png" id="175" name="Picture"/>
                    <pic:cNvPicPr>
                      <a:picLocks noChangeArrowheads="1" noChangeAspect="1"/>
                    </pic:cNvPicPr>
                  </pic:nvPicPr>
                  <pic:blipFill>
                    <a:blip r:embed="rId173"/>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source</w:t>
      </w:r>
    </w:p>
    <w:p>
      <w:pPr>
        <w:pStyle w:val="BodyText"/>
      </w:pPr>
      <w:r>
        <w:t xml:space="preserve">Mean CVD mortality rate among HIV-neg</w:t>
      </w:r>
    </w:p>
    <w:p>
      <w:pPr>
        <w:pStyle w:val="BodyText"/>
      </w:pPr>
      <w:r>
        <w:t xml:space="preserve">min</w:t>
      </w:r>
    </w:p>
    <w:p>
      <w:pPr>
        <w:pStyle w:val="BodyText"/>
      </w:pPr>
      <w:r>
        <w:t xml:space="preserve">Q1</w:t>
      </w:r>
    </w:p>
    <w:p>
      <w:pPr>
        <w:pStyle w:val="BodyText"/>
      </w:pPr>
      <w:r>
        <w:t xml:space="preserve">median</w:t>
      </w:r>
    </w:p>
    <w:p>
      <w:pPr>
        <w:pStyle w:val="BodyText"/>
      </w:pPr>
      <w:r>
        <w:t xml:space="preserve">Q3</w:t>
      </w:r>
    </w:p>
    <w:p>
      <w:pPr>
        <w:pStyle w:val="BodyText"/>
      </w:pPr>
      <w:r>
        <w:t xml:space="preserve">max</w:t>
      </w:r>
    </w:p>
    <w:p>
      <w:pPr>
        <w:pStyle w:val="BodyText"/>
      </w:pPr>
      <w:r>
        <w:t xml:space="preserve">SOC</w:t>
      </w:r>
    </w:p>
    <w:p>
      <w:pPr>
        <w:pStyle w:val="BodyText"/>
      </w:pPr>
      <w:r>
        <w:t xml:space="preserve">0.40</w:t>
      </w:r>
    </w:p>
    <w:p>
      <w:pPr>
        <w:pStyle w:val="BodyText"/>
      </w:pPr>
      <w:r>
        <w:t xml:space="preserve">0.08</w:t>
      </w:r>
    </w:p>
    <w:p>
      <w:pPr>
        <w:pStyle w:val="BodyText"/>
      </w:pPr>
      <w:r>
        <w:t xml:space="preserve">0.30</w:t>
      </w:r>
    </w:p>
    <w:p>
      <w:pPr>
        <w:pStyle w:val="BodyText"/>
      </w:pPr>
      <w:r>
        <w:t xml:space="preserve">0.38</w:t>
      </w:r>
    </w:p>
    <w:p>
      <w:pPr>
        <w:pStyle w:val="BodyText"/>
      </w:pPr>
      <w:r>
        <w:t xml:space="preserve">0.48</w:t>
      </w:r>
    </w:p>
    <w:p>
      <w:pPr>
        <w:pStyle w:val="BodyText"/>
      </w:pPr>
      <w:r>
        <w:t xml:space="preserve">0.91</w:t>
      </w:r>
    </w:p>
    <w:p>
      <w:pPr>
        <w:pStyle w:val="BodyText"/>
      </w:pPr>
      <w:r>
        <w:t xml:space="preserve">CCC</w:t>
      </w:r>
    </w:p>
    <w:p>
      <w:pPr>
        <w:pStyle w:val="BodyText"/>
      </w:pPr>
      <w:r>
        <w:t xml:space="preserve">0.37</w:t>
      </w:r>
    </w:p>
    <w:p>
      <w:pPr>
        <w:pStyle w:val="BodyText"/>
      </w:pPr>
      <w:r>
        <w:t xml:space="preserve">0.08</w:t>
      </w:r>
    </w:p>
    <w:p>
      <w:pPr>
        <w:pStyle w:val="BodyText"/>
      </w:pPr>
      <w:r>
        <w:t xml:space="preserve">0.28</w:t>
      </w:r>
    </w:p>
    <w:p>
      <w:pPr>
        <w:pStyle w:val="BodyText"/>
      </w:pPr>
      <w:r>
        <w:t xml:space="preserve">0.36</w:t>
      </w:r>
    </w:p>
    <w:p>
      <w:pPr>
        <w:pStyle w:val="BodyText"/>
      </w:pPr>
      <w:r>
        <w:t xml:space="preserve">0.45</w:t>
      </w:r>
    </w:p>
    <w:p>
      <w:pPr>
        <w:pStyle w:val="BodyText"/>
      </w:pPr>
      <w:r>
        <w:t xml:space="preserve">0.86</w:t>
      </w:r>
    </w:p>
    <w:p>
      <w:pPr>
        <w:pStyle w:val="BodyText"/>
      </w:pPr>
      <w:r>
        <w:t xml:space="preserve">CHW</w:t>
      </w:r>
    </w:p>
    <w:p>
      <w:pPr>
        <w:pStyle w:val="BodyText"/>
      </w:pPr>
      <w:r>
        <w:t xml:space="preserve">0.28</w:t>
      </w:r>
    </w:p>
    <w:p>
      <w:pPr>
        <w:pStyle w:val="BodyText"/>
      </w:pPr>
      <w:r>
        <w:t xml:space="preserve">0.06</w:t>
      </w:r>
    </w:p>
    <w:p>
      <w:pPr>
        <w:pStyle w:val="BodyText"/>
      </w:pPr>
      <w:r>
        <w:t xml:space="preserve">0.22</w:t>
      </w:r>
    </w:p>
    <w:p>
      <w:pPr>
        <w:pStyle w:val="BodyText"/>
      </w:pPr>
      <w:r>
        <w:t xml:space="preserve">0.27</w:t>
      </w:r>
    </w:p>
    <w:p>
      <w:pPr>
        <w:pStyle w:val="BodyText"/>
      </w:pPr>
      <w:r>
        <w:t xml:space="preserve">0.33</w:t>
      </w:r>
    </w:p>
    <w:p>
      <w:pPr>
        <w:pStyle w:val="BodyText"/>
      </w:pPr>
      <w:r>
        <w:t xml:space="preserve">0.64</w:t>
      </w:r>
    </w:p>
    <w:p>
      <w:pPr>
        <w:pStyle w:val="BodyText"/>
      </w:pPr>
      <w:r>
        <w:drawing>
          <wp:inline>
            <wp:extent cx="5334000" cy="3556000"/>
            <wp:effectExtent b="0" l="0" r="0" t="0"/>
            <wp:docPr descr="" title="" id="177" name="Picture"/>
            <a:graphic>
              <a:graphicData uri="http://schemas.openxmlformats.org/drawingml/2006/picture">
                <pic:pic>
                  <pic:nvPicPr>
                    <pic:cNvPr descr="supplement_files/figure-docx/graph_mortality-5.png" id="178" name="Picture"/>
                    <pic:cNvPicPr>
                      <a:picLocks noChangeArrowheads="1" noChangeAspect="1"/>
                    </pic:cNvPicPr>
                  </pic:nvPicPr>
                  <pic:blipFill>
                    <a:blip r:embed="rId17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source</w:t>
      </w:r>
    </w:p>
    <w:p>
      <w:pPr>
        <w:pStyle w:val="BodyText"/>
      </w:pPr>
      <w:r>
        <w:t xml:space="preserve">Mean CVD mortality rate among HIV+</w:t>
      </w:r>
    </w:p>
    <w:p>
      <w:pPr>
        <w:pStyle w:val="BodyText"/>
      </w:pPr>
      <w:r>
        <w:t xml:space="preserve">min</w:t>
      </w:r>
    </w:p>
    <w:p>
      <w:pPr>
        <w:pStyle w:val="BodyText"/>
      </w:pPr>
      <w:r>
        <w:t xml:space="preserve">Q1</w:t>
      </w:r>
    </w:p>
    <w:p>
      <w:pPr>
        <w:pStyle w:val="BodyText"/>
      </w:pPr>
      <w:r>
        <w:t xml:space="preserve">median</w:t>
      </w:r>
    </w:p>
    <w:p>
      <w:pPr>
        <w:pStyle w:val="BodyText"/>
      </w:pPr>
      <w:r>
        <w:t xml:space="preserve">Q3</w:t>
      </w:r>
    </w:p>
    <w:p>
      <w:pPr>
        <w:pStyle w:val="BodyText"/>
      </w:pPr>
      <w:r>
        <w:t xml:space="preserve">max</w:t>
      </w:r>
    </w:p>
    <w:p>
      <w:pPr>
        <w:pStyle w:val="BodyText"/>
      </w:pPr>
      <w:r>
        <w:t xml:space="preserve">SOC</w:t>
      </w:r>
    </w:p>
    <w:p>
      <w:pPr>
        <w:pStyle w:val="BodyText"/>
      </w:pPr>
      <w:r>
        <w:t xml:space="preserve">1.09</w:t>
      </w:r>
    </w:p>
    <w:p>
      <w:pPr>
        <w:pStyle w:val="BodyText"/>
      </w:pPr>
      <w:r>
        <w:t xml:space="preserve">0.42</w:t>
      </w:r>
    </w:p>
    <w:p>
      <w:pPr>
        <w:pStyle w:val="BodyText"/>
      </w:pPr>
      <w:r>
        <w:t xml:space="preserve">0.95</w:t>
      </w:r>
    </w:p>
    <w:p>
      <w:pPr>
        <w:pStyle w:val="BodyText"/>
      </w:pPr>
      <w:r>
        <w:t xml:space="preserve">1.09</w:t>
      </w:r>
    </w:p>
    <w:p>
      <w:pPr>
        <w:pStyle w:val="BodyText"/>
      </w:pPr>
      <w:r>
        <w:t xml:space="preserve">1.24</w:t>
      </w:r>
    </w:p>
    <w:p>
      <w:pPr>
        <w:pStyle w:val="BodyText"/>
      </w:pPr>
      <w:r>
        <w:t xml:space="preserve">1.66</w:t>
      </w:r>
    </w:p>
    <w:p>
      <w:pPr>
        <w:pStyle w:val="BodyText"/>
      </w:pPr>
      <w:r>
        <w:t xml:space="preserve">CCC</w:t>
      </w:r>
    </w:p>
    <w:p>
      <w:pPr>
        <w:pStyle w:val="BodyText"/>
      </w:pPr>
      <w:r>
        <w:t xml:space="preserve">1.07</w:t>
      </w:r>
    </w:p>
    <w:p>
      <w:pPr>
        <w:pStyle w:val="BodyText"/>
      </w:pPr>
      <w:r>
        <w:t xml:space="preserve">0.42</w:t>
      </w:r>
    </w:p>
    <w:p>
      <w:pPr>
        <w:pStyle w:val="BodyText"/>
      </w:pPr>
      <w:r>
        <w:t xml:space="preserve">0.93</w:t>
      </w:r>
    </w:p>
    <w:p>
      <w:pPr>
        <w:pStyle w:val="BodyText"/>
      </w:pPr>
      <w:r>
        <w:t xml:space="preserve">1.07</w:t>
      </w:r>
    </w:p>
    <w:p>
      <w:pPr>
        <w:pStyle w:val="BodyText"/>
      </w:pPr>
      <w:r>
        <w:t xml:space="preserve">1.22</w:t>
      </w:r>
    </w:p>
    <w:p>
      <w:pPr>
        <w:pStyle w:val="BodyText"/>
      </w:pPr>
      <w:r>
        <w:t xml:space="preserve">1.62</w:t>
      </w:r>
    </w:p>
    <w:p>
      <w:pPr>
        <w:pStyle w:val="BodyText"/>
      </w:pPr>
      <w:r>
        <w:t xml:space="preserve">CHW</w:t>
      </w:r>
    </w:p>
    <w:p>
      <w:pPr>
        <w:pStyle w:val="BodyText"/>
      </w:pPr>
      <w:r>
        <w:t xml:space="preserve">1.01</w:t>
      </w:r>
    </w:p>
    <w:p>
      <w:pPr>
        <w:pStyle w:val="BodyText"/>
      </w:pPr>
      <w:r>
        <w:t xml:space="preserve">0.40</w:t>
      </w:r>
    </w:p>
    <w:p>
      <w:pPr>
        <w:pStyle w:val="BodyText"/>
      </w:pPr>
      <w:r>
        <w:t xml:space="preserve">0.89</w:t>
      </w:r>
    </w:p>
    <w:p>
      <w:pPr>
        <w:pStyle w:val="BodyText"/>
      </w:pPr>
      <w:r>
        <w:t xml:space="preserve">1.01</w:t>
      </w:r>
    </w:p>
    <w:p>
      <w:pPr>
        <w:pStyle w:val="BodyText"/>
      </w:pPr>
      <w:r>
        <w:t xml:space="preserve">1.14</w:t>
      </w:r>
    </w:p>
    <w:p>
      <w:pPr>
        <w:pStyle w:val="BodyText"/>
      </w:pPr>
      <w:r>
        <w:t xml:space="preserve">1.45</w:t>
      </w:r>
    </w:p>
    <w:p>
      <w:pPr>
        <w:pStyle w:val="BodyText"/>
      </w:pPr>
      <w:r>
        <w:drawing>
          <wp:inline>
            <wp:extent cx="5334000" cy="3556000"/>
            <wp:effectExtent b="0" l="0" r="0" t="0"/>
            <wp:docPr descr="" title="" id="180" name="Picture"/>
            <a:graphic>
              <a:graphicData uri="http://schemas.openxmlformats.org/drawingml/2006/picture">
                <pic:pic>
                  <pic:nvPicPr>
                    <pic:cNvPr descr="supplement_files/figure-docx/graph_mortality-6.png" id="181" name="Picture"/>
                    <pic:cNvPicPr>
                      <a:picLocks noChangeArrowheads="1" noChangeAspect="1"/>
                    </pic:cNvPicPr>
                  </pic:nvPicPr>
                  <pic:blipFill>
                    <a:blip r:embed="rId179"/>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source</w:t>
      </w:r>
    </w:p>
    <w:p>
      <w:pPr>
        <w:pStyle w:val="BodyText"/>
      </w:pPr>
      <w:r>
        <w:t xml:space="preserve">Mean all-cause mortality rate among HIV-neg</w:t>
      </w:r>
    </w:p>
    <w:p>
      <w:pPr>
        <w:pStyle w:val="BodyText"/>
      </w:pPr>
      <w:r>
        <w:t xml:space="preserve">min</w:t>
      </w:r>
    </w:p>
    <w:p>
      <w:pPr>
        <w:pStyle w:val="BodyText"/>
      </w:pPr>
      <w:r>
        <w:t xml:space="preserve">Q1</w:t>
      </w:r>
    </w:p>
    <w:p>
      <w:pPr>
        <w:pStyle w:val="BodyText"/>
      </w:pPr>
      <w:r>
        <w:t xml:space="preserve">median</w:t>
      </w:r>
    </w:p>
    <w:p>
      <w:pPr>
        <w:pStyle w:val="BodyText"/>
      </w:pPr>
      <w:r>
        <w:t xml:space="preserve">Q3</w:t>
      </w:r>
    </w:p>
    <w:p>
      <w:pPr>
        <w:pStyle w:val="BodyText"/>
      </w:pPr>
      <w:r>
        <w:t xml:space="preserve">max</w:t>
      </w:r>
    </w:p>
    <w:p>
      <w:pPr>
        <w:pStyle w:val="BodyText"/>
      </w:pPr>
      <w:r>
        <w:t xml:space="preserve">SOC</w:t>
      </w:r>
    </w:p>
    <w:p>
      <w:pPr>
        <w:pStyle w:val="BodyText"/>
      </w:pPr>
      <w:r>
        <w:t xml:space="preserve">1.09</w:t>
      </w:r>
    </w:p>
    <w:p>
      <w:pPr>
        <w:pStyle w:val="BodyText"/>
      </w:pPr>
      <w:r>
        <w:t xml:space="preserve">0.42</w:t>
      </w:r>
    </w:p>
    <w:p>
      <w:pPr>
        <w:pStyle w:val="BodyText"/>
      </w:pPr>
      <w:r>
        <w:t xml:space="preserve">0.95</w:t>
      </w:r>
    </w:p>
    <w:p>
      <w:pPr>
        <w:pStyle w:val="BodyText"/>
      </w:pPr>
      <w:r>
        <w:t xml:space="preserve">1.09</w:t>
      </w:r>
    </w:p>
    <w:p>
      <w:pPr>
        <w:pStyle w:val="BodyText"/>
      </w:pPr>
      <w:r>
        <w:t xml:space="preserve">1.24</w:t>
      </w:r>
    </w:p>
    <w:p>
      <w:pPr>
        <w:pStyle w:val="BodyText"/>
      </w:pPr>
      <w:r>
        <w:t xml:space="preserve">1.66</w:t>
      </w:r>
    </w:p>
    <w:p>
      <w:pPr>
        <w:pStyle w:val="BodyText"/>
      </w:pPr>
      <w:r>
        <w:t xml:space="preserve">CCC</w:t>
      </w:r>
    </w:p>
    <w:p>
      <w:pPr>
        <w:pStyle w:val="BodyText"/>
      </w:pPr>
      <w:r>
        <w:t xml:space="preserve">1.07</w:t>
      </w:r>
    </w:p>
    <w:p>
      <w:pPr>
        <w:pStyle w:val="BodyText"/>
      </w:pPr>
      <w:r>
        <w:t xml:space="preserve">0.42</w:t>
      </w:r>
    </w:p>
    <w:p>
      <w:pPr>
        <w:pStyle w:val="BodyText"/>
      </w:pPr>
      <w:r>
        <w:t xml:space="preserve">0.93</w:t>
      </w:r>
    </w:p>
    <w:p>
      <w:pPr>
        <w:pStyle w:val="BodyText"/>
      </w:pPr>
      <w:r>
        <w:t xml:space="preserve">1.07</w:t>
      </w:r>
    </w:p>
    <w:p>
      <w:pPr>
        <w:pStyle w:val="BodyText"/>
      </w:pPr>
      <w:r>
        <w:t xml:space="preserve">1.22</w:t>
      </w:r>
    </w:p>
    <w:p>
      <w:pPr>
        <w:pStyle w:val="BodyText"/>
      </w:pPr>
      <w:r>
        <w:t xml:space="preserve">1.62</w:t>
      </w:r>
    </w:p>
    <w:p>
      <w:pPr>
        <w:pStyle w:val="BodyText"/>
      </w:pPr>
      <w:r>
        <w:t xml:space="preserve">CHW</w:t>
      </w:r>
    </w:p>
    <w:p>
      <w:pPr>
        <w:pStyle w:val="BodyText"/>
      </w:pPr>
      <w:r>
        <w:t xml:space="preserve">1.01</w:t>
      </w:r>
    </w:p>
    <w:p>
      <w:pPr>
        <w:pStyle w:val="BodyText"/>
      </w:pPr>
      <w:r>
        <w:t xml:space="preserve">0.40</w:t>
      </w:r>
    </w:p>
    <w:p>
      <w:pPr>
        <w:pStyle w:val="BodyText"/>
      </w:pPr>
      <w:r>
        <w:t xml:space="preserve">0.89</w:t>
      </w:r>
    </w:p>
    <w:p>
      <w:pPr>
        <w:pStyle w:val="BodyText"/>
      </w:pPr>
      <w:r>
        <w:t xml:space="preserve">1.01</w:t>
      </w:r>
    </w:p>
    <w:p>
      <w:pPr>
        <w:pStyle w:val="BodyText"/>
      </w:pPr>
      <w:r>
        <w:t xml:space="preserve">1.14</w:t>
      </w:r>
    </w:p>
    <w:p>
      <w:pPr>
        <w:pStyle w:val="BodyText"/>
      </w:pPr>
      <w:r>
        <w:t xml:space="preserve">1.45</w:t>
      </w:r>
    </w:p>
    <w:p>
      <w:pPr>
        <w:pStyle w:val="BodyText"/>
      </w:pPr>
      <w:r>
        <w:drawing>
          <wp:inline>
            <wp:extent cx="5334000" cy="3556000"/>
            <wp:effectExtent b="0" l="0" r="0" t="0"/>
            <wp:docPr descr="" title="" id="183" name="Picture"/>
            <a:graphic>
              <a:graphicData uri="http://schemas.openxmlformats.org/drawingml/2006/picture">
                <pic:pic>
                  <pic:nvPicPr>
                    <pic:cNvPr descr="supplement_files/figure-docx/graph_mortality-7.png" id="184" name="Picture"/>
                    <pic:cNvPicPr>
                      <a:picLocks noChangeArrowheads="1" noChangeAspect="1"/>
                    </pic:cNvPicPr>
                  </pic:nvPicPr>
                  <pic:blipFill>
                    <a:blip r:embed="rId18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source</w:t>
      </w:r>
    </w:p>
    <w:p>
      <w:pPr>
        <w:pStyle w:val="BodyText"/>
      </w:pPr>
      <w:r>
        <w:t xml:space="preserve">Mean all-cause mortality rate among HIV+</w:t>
      </w:r>
    </w:p>
    <w:p>
      <w:pPr>
        <w:pStyle w:val="BodyText"/>
      </w:pPr>
      <w:r>
        <w:t xml:space="preserve">min</w:t>
      </w:r>
    </w:p>
    <w:p>
      <w:pPr>
        <w:pStyle w:val="BodyText"/>
      </w:pPr>
      <w:r>
        <w:t xml:space="preserve">Q1</w:t>
      </w:r>
    </w:p>
    <w:p>
      <w:pPr>
        <w:pStyle w:val="BodyText"/>
      </w:pPr>
      <w:r>
        <w:t xml:space="preserve">median</w:t>
      </w:r>
    </w:p>
    <w:p>
      <w:pPr>
        <w:pStyle w:val="BodyText"/>
      </w:pPr>
      <w:r>
        <w:t xml:space="preserve">Q3</w:t>
      </w:r>
    </w:p>
    <w:p>
      <w:pPr>
        <w:pStyle w:val="BodyText"/>
      </w:pPr>
      <w:r>
        <w:t xml:space="preserve">max</w:t>
      </w:r>
    </w:p>
    <w:p>
      <w:pPr>
        <w:pStyle w:val="BodyText"/>
      </w:pPr>
      <w:r>
        <w:t xml:space="preserve">SOC</w:t>
      </w:r>
    </w:p>
    <w:p>
      <w:pPr>
        <w:pStyle w:val="BodyText"/>
      </w:pPr>
      <w:r>
        <w:t xml:space="preserve">4.81</w:t>
      </w:r>
    </w:p>
    <w:p>
      <w:pPr>
        <w:pStyle w:val="BodyText"/>
      </w:pPr>
      <w:r>
        <w:t xml:space="preserve">1.93</w:t>
      </w:r>
    </w:p>
    <w:p>
      <w:pPr>
        <w:pStyle w:val="BodyText"/>
      </w:pPr>
      <w:r>
        <w:t xml:space="preserve">3.78</w:t>
      </w:r>
    </w:p>
    <w:p>
      <w:pPr>
        <w:pStyle w:val="BodyText"/>
      </w:pPr>
      <w:r>
        <w:t xml:space="preserve">4.35</w:t>
      </w:r>
    </w:p>
    <w:p>
      <w:pPr>
        <w:pStyle w:val="BodyText"/>
      </w:pPr>
      <w:r>
        <w:t xml:space="preserve">5.29</w:t>
      </w:r>
    </w:p>
    <w:p>
      <w:pPr>
        <w:pStyle w:val="BodyText"/>
      </w:pPr>
      <w:r>
        <w:t xml:space="preserve">14.23</w:t>
      </w:r>
    </w:p>
    <w:p>
      <w:pPr>
        <w:pStyle w:val="BodyText"/>
      </w:pPr>
      <w:r>
        <w:t xml:space="preserve">CCC</w:t>
      </w:r>
    </w:p>
    <w:p>
      <w:pPr>
        <w:pStyle w:val="BodyText"/>
      </w:pPr>
      <w:r>
        <w:t xml:space="preserve">4.56</w:t>
      </w:r>
    </w:p>
    <w:p>
      <w:pPr>
        <w:pStyle w:val="BodyText"/>
      </w:pPr>
      <w:r>
        <w:t xml:space="preserve">1.87</w:t>
      </w:r>
    </w:p>
    <w:p>
      <w:pPr>
        <w:pStyle w:val="BodyText"/>
      </w:pPr>
      <w:r>
        <w:t xml:space="preserve">3.63</w:t>
      </w:r>
    </w:p>
    <w:p>
      <w:pPr>
        <w:pStyle w:val="BodyText"/>
      </w:pPr>
      <w:r>
        <w:t xml:space="preserve">4.17</w:t>
      </w:r>
    </w:p>
    <w:p>
      <w:pPr>
        <w:pStyle w:val="BodyText"/>
      </w:pPr>
      <w:r>
        <w:t xml:space="preserve">4.99</w:t>
      </w:r>
    </w:p>
    <w:p>
      <w:pPr>
        <w:pStyle w:val="BodyText"/>
      </w:pPr>
      <w:r>
        <w:t xml:space="preserve">13.72</w:t>
      </w:r>
    </w:p>
    <w:p>
      <w:pPr>
        <w:pStyle w:val="BodyText"/>
      </w:pPr>
      <w:r>
        <w:t xml:space="preserve">CHW</w:t>
      </w:r>
    </w:p>
    <w:p>
      <w:pPr>
        <w:pStyle w:val="BodyText"/>
      </w:pPr>
      <w:r>
        <w:t xml:space="preserve">4.52</w:t>
      </w:r>
    </w:p>
    <w:p>
      <w:pPr>
        <w:pStyle w:val="BodyText"/>
      </w:pPr>
      <w:r>
        <w:t xml:space="preserve">1.86</w:t>
      </w:r>
    </w:p>
    <w:p>
      <w:pPr>
        <w:pStyle w:val="BodyText"/>
      </w:pPr>
      <w:r>
        <w:t xml:space="preserve">3.60</w:t>
      </w:r>
    </w:p>
    <w:p>
      <w:pPr>
        <w:pStyle w:val="BodyText"/>
      </w:pPr>
      <w:r>
        <w:t xml:space="preserve">4.13</w:t>
      </w:r>
    </w:p>
    <w:p>
      <w:pPr>
        <w:pStyle w:val="BodyText"/>
      </w:pPr>
      <w:r>
        <w:t xml:space="preserve">4.95</w:t>
      </w:r>
    </w:p>
    <w:p>
      <w:pPr>
        <w:pStyle w:val="BodyText"/>
      </w:pPr>
      <w:r>
        <w:t xml:space="preserve">14.44</w:t>
      </w:r>
    </w:p>
    <w:bookmarkEnd w:id="185"/>
    <w:bookmarkStart w:id="189" w:name="cost"/>
    <w:p>
      <w:pPr>
        <w:pStyle w:val="Heading2"/>
      </w:pPr>
      <w:r>
        <w:t xml:space="preserve">Cost</w:t>
      </w:r>
    </w:p>
    <w:p>
      <w:pPr>
        <w:pStyle w:val="FirstParagraph"/>
      </w:pPr>
      <w:r>
        <w:t xml:space="preserve">Cost assumptions (in USD):</w:t>
      </w:r>
    </w:p>
    <w:p>
      <w:pPr>
        <w:numPr>
          <w:ilvl w:val="0"/>
          <w:numId w:val="1006"/>
        </w:numPr>
        <w:pStyle w:val="Compact"/>
      </w:pPr>
      <w:r>
        <w:t xml:space="preserve">Community health worker screening: $3/person screened (estimates from SEARCH)</w:t>
      </w:r>
    </w:p>
    <w:p>
      <w:pPr>
        <w:numPr>
          <w:ilvl w:val="0"/>
          <w:numId w:val="1006"/>
        </w:numPr>
        <w:pStyle w:val="Compact"/>
      </w:pPr>
      <w:r>
        <w:t xml:space="preserve">Transportation voucher: $5/person linked (Hickey 2022)</w:t>
      </w:r>
    </w:p>
    <w:p>
      <w:pPr>
        <w:numPr>
          <w:ilvl w:val="0"/>
          <w:numId w:val="1006"/>
        </w:numPr>
        <w:pStyle w:val="Compact"/>
      </w:pPr>
      <w:r>
        <w:t xml:space="preserve">Clinic visits: $20/visit if uncontrolled and $10/visit if controlled (Shade 2021, Shiri 2021)</w:t>
      </w:r>
    </w:p>
    <w:p>
      <w:pPr>
        <w:numPr>
          <w:ilvl w:val="0"/>
          <w:numId w:val="1006"/>
        </w:numPr>
        <w:pStyle w:val="Compact"/>
      </w:pPr>
      <w:r>
        <w:t xml:space="preserve">HTN medications (90-day supply) (Resolve to Save Lives 2022)</w:t>
      </w:r>
    </w:p>
    <w:p>
      <w:pPr>
        <w:numPr>
          <w:ilvl w:val="1"/>
          <w:numId w:val="1007"/>
        </w:numPr>
        <w:pStyle w:val="Compact"/>
      </w:pPr>
      <w:r>
        <w:t xml:space="preserve">Med 1 &amp; 2: $1.5</w:t>
      </w:r>
    </w:p>
    <w:p>
      <w:pPr>
        <w:numPr>
          <w:ilvl w:val="1"/>
          <w:numId w:val="1007"/>
        </w:numPr>
        <w:pStyle w:val="Compact"/>
      </w:pPr>
      <w:r>
        <w:t xml:space="preserve">Med 3: $3</w:t>
      </w:r>
    </w:p>
    <w:p>
      <w:pPr>
        <w:numPr>
          <w:ilvl w:val="0"/>
          <w:numId w:val="1006"/>
        </w:numPr>
        <w:pStyle w:val="Compact"/>
      </w:pPr>
      <w:r>
        <w:t xml:space="preserve">Acute MI/CVA treatment (Subramanian 2019)</w:t>
      </w:r>
    </w:p>
    <w:p>
      <w:pPr>
        <w:numPr>
          <w:ilvl w:val="1"/>
          <w:numId w:val="1008"/>
        </w:numPr>
        <w:pStyle w:val="Compact"/>
      </w:pPr>
      <w:r>
        <w:t xml:space="preserve">MI: $2270</w:t>
      </w:r>
    </w:p>
    <w:p>
      <w:pPr>
        <w:numPr>
          <w:ilvl w:val="1"/>
          <w:numId w:val="1008"/>
        </w:numPr>
        <w:pStyle w:val="Compact"/>
      </w:pPr>
      <w:r>
        <w:t xml:space="preserve">CVA: $2420</w:t>
      </w:r>
    </w:p>
    <w:p>
      <w:pPr>
        <w:numPr>
          <w:ilvl w:val="1"/>
          <w:numId w:val="1008"/>
        </w:numPr>
        <w:pStyle w:val="Compact"/>
      </w:pPr>
      <w:r>
        <w:t xml:space="preserve">cost of acute care that is not effective (poor-quality):</w:t>
      </w:r>
    </w:p>
    <w:p>
      <w:pPr>
        <w:numPr>
          <w:ilvl w:val="2"/>
          <w:numId w:val="1009"/>
        </w:numPr>
        <w:pStyle w:val="Compact"/>
      </w:pPr>
      <w:r>
        <w:t xml:space="preserve">MI: $1135</w:t>
      </w:r>
    </w:p>
    <w:p>
      <w:pPr>
        <w:numPr>
          <w:ilvl w:val="2"/>
          <w:numId w:val="1009"/>
        </w:numPr>
        <w:pStyle w:val="Compact"/>
      </w:pPr>
      <w:r>
        <w:t xml:space="preserve">CVA: $1210</w:t>
      </w:r>
    </w:p>
    <w:p>
      <w:pPr>
        <w:numPr>
          <w:ilvl w:val="2"/>
          <w:numId w:val="1009"/>
        </w:numPr>
        <w:pStyle w:val="Compact"/>
      </w:pPr>
      <w:r>
        <w:t xml:space="preserve">we assume that some poor quality care may be due in part to limited staffing, diagnositic equipment, and medications - and therefore may also cost less. In other cases, similar interventions/diagnostic tests may be undertaken, though the effectiveness will be lower due to delays in care. We assume that such care for acute MI/CVA costs 50% of the cost of effective acute care</w:t>
      </w:r>
    </w:p>
    <w:p>
      <w:pPr>
        <w:pStyle w:val="FirstParagraph"/>
      </w:pPr>
      <w:r>
        <w:drawing>
          <wp:inline>
            <wp:extent cx="5334000" cy="3556000"/>
            <wp:effectExtent b="0" l="0" r="0" t="0"/>
            <wp:docPr descr="" title="" id="187" name="Picture"/>
            <a:graphic>
              <a:graphicData uri="http://schemas.openxmlformats.org/drawingml/2006/picture">
                <pic:pic>
                  <pic:nvPicPr>
                    <pic:cNvPr descr="supplement_files/figure-docx/cost-1.png" id="188" name="Picture"/>
                    <pic:cNvPicPr>
                      <a:picLocks noChangeArrowheads="1" noChangeAspect="1"/>
                    </pic:cNvPicPr>
                  </pic:nvPicPr>
                  <pic:blipFill>
                    <a:blip r:embed="rId18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source</w:t>
      </w:r>
    </w:p>
    <w:p>
      <w:pPr>
        <w:pStyle w:val="BodyText"/>
      </w:pPr>
      <w:r>
        <w:t xml:space="preserve">Mean annual discounted hypertension cost from 2023-2073 (millions USD)</w:t>
      </w:r>
    </w:p>
    <w:p>
      <w:pPr>
        <w:pStyle w:val="BodyText"/>
      </w:pPr>
      <w:r>
        <w:t xml:space="preserve">min</w:t>
      </w:r>
    </w:p>
    <w:p>
      <w:pPr>
        <w:pStyle w:val="BodyText"/>
      </w:pPr>
      <w:r>
        <w:t xml:space="preserve">Q1</w:t>
      </w:r>
    </w:p>
    <w:p>
      <w:pPr>
        <w:pStyle w:val="BodyText"/>
      </w:pPr>
      <w:r>
        <w:t xml:space="preserve">median</w:t>
      </w:r>
    </w:p>
    <w:p>
      <w:pPr>
        <w:pStyle w:val="BodyText"/>
      </w:pPr>
      <w:r>
        <w:t xml:space="preserve">Q3</w:t>
      </w:r>
    </w:p>
    <w:p>
      <w:pPr>
        <w:pStyle w:val="BodyText"/>
      </w:pPr>
      <w:r>
        <w:t xml:space="preserve">max</w:t>
      </w:r>
    </w:p>
    <w:p>
      <w:pPr>
        <w:pStyle w:val="BodyText"/>
      </w:pPr>
      <w:r>
        <w:t xml:space="preserve">SOC</w:t>
      </w:r>
    </w:p>
    <w:p>
      <w:pPr>
        <w:pStyle w:val="BodyText"/>
      </w:pPr>
      <w:r>
        <w:t xml:space="preserve">29.4</w:t>
      </w:r>
    </w:p>
    <w:p>
      <w:pPr>
        <w:pStyle w:val="BodyText"/>
      </w:pPr>
      <w:r>
        <w:t xml:space="preserve">5.4</w:t>
      </w:r>
    </w:p>
    <w:p>
      <w:pPr>
        <w:pStyle w:val="BodyText"/>
      </w:pPr>
      <w:r>
        <w:t xml:space="preserve">16.6</w:t>
      </w:r>
    </w:p>
    <w:p>
      <w:pPr>
        <w:pStyle w:val="BodyText"/>
      </w:pPr>
      <w:r>
        <w:t xml:space="preserve">24.8</w:t>
      </w:r>
    </w:p>
    <w:p>
      <w:pPr>
        <w:pStyle w:val="BodyText"/>
      </w:pPr>
      <w:r>
        <w:t xml:space="preserve">39.0</w:t>
      </w:r>
    </w:p>
    <w:p>
      <w:pPr>
        <w:pStyle w:val="BodyText"/>
      </w:pPr>
      <w:r>
        <w:t xml:space="preserve">112.1</w:t>
      </w:r>
    </w:p>
    <w:p>
      <w:pPr>
        <w:pStyle w:val="BodyText"/>
      </w:pPr>
      <w:r>
        <w:t xml:space="preserve">CCC</w:t>
      </w:r>
    </w:p>
    <w:p>
      <w:pPr>
        <w:pStyle w:val="BodyText"/>
      </w:pPr>
      <w:r>
        <w:t xml:space="preserve">29.9</w:t>
      </w:r>
    </w:p>
    <w:p>
      <w:pPr>
        <w:pStyle w:val="BodyText"/>
      </w:pPr>
      <w:r>
        <w:t xml:space="preserve">6.6</w:t>
      </w:r>
    </w:p>
    <w:p>
      <w:pPr>
        <w:pStyle w:val="BodyText"/>
      </w:pPr>
      <w:r>
        <w:t xml:space="preserve">18.5</w:t>
      </w:r>
    </w:p>
    <w:p>
      <w:pPr>
        <w:pStyle w:val="BodyText"/>
      </w:pPr>
      <w:r>
        <w:t xml:space="preserve">26.2</w:t>
      </w:r>
    </w:p>
    <w:p>
      <w:pPr>
        <w:pStyle w:val="BodyText"/>
      </w:pPr>
      <w:r>
        <w:t xml:space="preserve">38.4</w:t>
      </w:r>
    </w:p>
    <w:p>
      <w:pPr>
        <w:pStyle w:val="BodyText"/>
      </w:pPr>
      <w:r>
        <w:t xml:space="preserve">104.1</w:t>
      </w:r>
    </w:p>
    <w:p>
      <w:pPr>
        <w:pStyle w:val="BodyText"/>
      </w:pPr>
      <w:r>
        <w:t xml:space="preserve">CHW</w:t>
      </w:r>
    </w:p>
    <w:p>
      <w:pPr>
        <w:pStyle w:val="BodyText"/>
      </w:pPr>
      <w:r>
        <w:t xml:space="preserve">47.9</w:t>
      </w:r>
    </w:p>
    <w:p>
      <w:pPr>
        <w:pStyle w:val="BodyText"/>
      </w:pPr>
      <w:r>
        <w:t xml:space="preserve">14.6</w:t>
      </w:r>
    </w:p>
    <w:p>
      <w:pPr>
        <w:pStyle w:val="BodyText"/>
      </w:pPr>
      <w:r>
        <w:t xml:space="preserve">37.4</w:t>
      </w:r>
    </w:p>
    <w:p>
      <w:pPr>
        <w:pStyle w:val="BodyText"/>
      </w:pPr>
      <w:r>
        <w:t xml:space="preserve">46.0</w:t>
      </w:r>
    </w:p>
    <w:p>
      <w:pPr>
        <w:pStyle w:val="BodyText"/>
      </w:pPr>
      <w:r>
        <w:t xml:space="preserve">56.0</w:t>
      </w:r>
    </w:p>
    <w:p>
      <w:pPr>
        <w:pStyle w:val="BodyText"/>
      </w:pPr>
      <w:r>
        <w:t xml:space="preserve">110.2</w:t>
      </w:r>
    </w:p>
    <w:bookmarkEnd w:id="189"/>
    <w:bookmarkStart w:id="200" w:name="cost-effectiveness"/>
    <w:p>
      <w:pPr>
        <w:pStyle w:val="Heading2"/>
      </w:pPr>
      <w:r>
        <w:t xml:space="preserve">Cost-effectiveness</w:t>
      </w:r>
    </w:p>
    <w:bookmarkStart w:id="199" w:name="cost-effectiveness-frontier"/>
    <w:p>
      <w:pPr>
        <w:pStyle w:val="Heading3"/>
      </w:pPr>
      <w:r>
        <w:t xml:space="preserve">Cost-effectiveness frontier</w:t>
      </w:r>
    </w:p>
    <w:p>
      <w:pPr>
        <w:pStyle w:val="FirstParagraph"/>
      </w:pPr>
      <w:r>
        <w:drawing>
          <wp:inline>
            <wp:extent cx="5334000" cy="3556000"/>
            <wp:effectExtent b="0" l="0" r="0" t="0"/>
            <wp:docPr descr="" title="" id="191" name="Picture"/>
            <a:graphic>
              <a:graphicData uri="http://schemas.openxmlformats.org/drawingml/2006/picture">
                <pic:pic>
                  <pic:nvPicPr>
                    <pic:cNvPr descr="supplement_files/figure-docx/icer-1.png" id="192" name="Picture"/>
                    <pic:cNvPicPr>
                      <a:picLocks noChangeArrowheads="1" noChangeAspect="1"/>
                    </pic:cNvPicPr>
                  </pic:nvPicPr>
                  <pic:blipFill>
                    <a:blip r:embed="rId190"/>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94" name="Picture"/>
            <a:graphic>
              <a:graphicData uri="http://schemas.openxmlformats.org/drawingml/2006/picture">
                <pic:pic>
                  <pic:nvPicPr>
                    <pic:cNvPr descr="supplement_files/figure-docx/icer-2.png" id="195" name="Picture"/>
                    <pic:cNvPicPr>
                      <a:picLocks noChangeArrowheads="1" noChangeAspect="1"/>
                    </pic:cNvPicPr>
                  </pic:nvPicPr>
                  <pic:blipFill>
                    <a:blip r:embed="rId193"/>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97" name="Picture"/>
            <a:graphic>
              <a:graphicData uri="http://schemas.openxmlformats.org/drawingml/2006/picture">
                <pic:pic>
                  <pic:nvPicPr>
                    <pic:cNvPr descr="supplement_files/figure-docx/icer-3.png" id="198" name="Picture"/>
                    <pic:cNvPicPr>
                      <a:picLocks noChangeArrowheads="1" noChangeAspect="1"/>
                    </pic:cNvPicPr>
                  </pic:nvPicPr>
                  <pic:blipFill>
                    <a:blip r:embed="rId196"/>
                    <a:stretch>
                      <a:fillRect/>
                    </a:stretch>
                  </pic:blipFill>
                  <pic:spPr bwMode="auto">
                    <a:xfrm>
                      <a:off x="0" y="0"/>
                      <a:ext cx="5334000" cy="3556000"/>
                    </a:xfrm>
                    <a:prstGeom prst="rect">
                      <a:avLst/>
                    </a:prstGeom>
                    <a:noFill/>
                    <a:ln w="9525">
                      <a:noFill/>
                      <a:headEnd/>
                      <a:tailEnd/>
                    </a:ln>
                  </pic:spPr>
                </pic:pic>
              </a:graphicData>
            </a:graphic>
          </wp:inline>
        </w:drawing>
      </w:r>
    </w:p>
    <w:bookmarkEnd w:id="199"/>
    <w:bookmarkEnd w:id="200"/>
    <w:bookmarkEnd w:id="2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6" Target="media/rId186.png" /><Relationship Type="http://schemas.openxmlformats.org/officeDocument/2006/relationships/image" Id="rId48" Target="media/rId48.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37" Target="media/rId37.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70" Target="media/rId170.png" /><Relationship Type="http://schemas.openxmlformats.org/officeDocument/2006/relationships/image" Id="rId173" Target="media/rId173.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182" Target="media/rId182.png" /><Relationship Type="http://schemas.openxmlformats.org/officeDocument/2006/relationships/image" Id="rId136" Target="media/rId136.png" /><Relationship Type="http://schemas.openxmlformats.org/officeDocument/2006/relationships/image" Id="rId26" Target="media/rId26.png" /><Relationship Type="http://schemas.openxmlformats.org/officeDocument/2006/relationships/image" Id="rId139" Target="media/rId139.png" /><Relationship Type="http://schemas.openxmlformats.org/officeDocument/2006/relationships/image" Id="rId23" Target="media/rId23.png" /><Relationship Type="http://schemas.openxmlformats.org/officeDocument/2006/relationships/image" Id="rId41" Target="media/rId41.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44" Target="media/rId44.png" /><Relationship Type="http://schemas.openxmlformats.org/officeDocument/2006/relationships/image" Id="rId121" Target="media/rId121.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6" Target="media/rId196.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124" Target="media/rId124.png" /><Relationship Type="http://schemas.openxmlformats.org/officeDocument/2006/relationships/image" Id="rId143" Target="media/rId143.png" /><Relationship Type="http://schemas.openxmlformats.org/officeDocument/2006/relationships/image" Id="rId146" Target="media/rId146.png" /><Relationship Type="http://schemas.openxmlformats.org/officeDocument/2006/relationships/image" Id="rId149" Target="media/rId149.png" /><Relationship Type="http://schemas.openxmlformats.org/officeDocument/2006/relationships/image" Id="rId153" Target="media/rId153.png" /><Relationship Type="http://schemas.openxmlformats.org/officeDocument/2006/relationships/image" Id="rId156" Target="media/rId156.png" /><Relationship Type="http://schemas.openxmlformats.org/officeDocument/2006/relationships/image" Id="rId159" Target="media/rId159.png" /><Relationship Type="http://schemas.openxmlformats.org/officeDocument/2006/relationships/hyperlink" Id="rId21" Target="doi:10.1001/jama.2016.19043" TargetMode="External" /><Relationship Type="http://schemas.openxmlformats.org/officeDocument/2006/relationships/hyperlink" Id="rId52" Target="https://vizhub.healthdata.org/gbd-results/" TargetMode="External" /></Relationships>
</file>

<file path=word/_rels/footnotes.xml.rels><?xml version="1.0" encoding="UTF-8"?><Relationships xmlns="http://schemas.openxmlformats.org/package/2006/relationships"><Relationship Type="http://schemas.openxmlformats.org/officeDocument/2006/relationships/hyperlink" Id="rId21" Target="doi:10.1001/jama.2016.19043" TargetMode="External" /><Relationship Type="http://schemas.openxmlformats.org/officeDocument/2006/relationships/hyperlink" Id="rId52" Target="https://vizhub.healthdata.org/gbd-resul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SEARCH Hypertension Modelling with HIV Synthesis</dc:title>
  <dc:creator>Matt Hickey</dc:creator>
  <cp:keywords/>
  <dcterms:created xsi:type="dcterms:W3CDTF">2023-08-24T05:07:48Z</dcterms:created>
  <dcterms:modified xsi:type="dcterms:W3CDTF">2023-08-24T05:07:48Z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date">
    <vt:lpwstr>23 August, 2023</vt:lpwstr>
  </property>
  <property fmtid="{D5CDD505-2E9C-101B-9397-08002B2CF9AE}" pid="4" name="output">
    <vt:lpwstr/>
  </property>
</Properties>
</file>