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A18" w:rsidRDefault="00EC0A18" w:rsidP="007960E6">
      <w:pPr>
        <w:jc w:val="center"/>
        <w:rPr>
          <w:b/>
          <w:sz w:val="28"/>
        </w:rPr>
      </w:pPr>
      <w:r>
        <w:rPr>
          <w:b/>
          <w:sz w:val="28"/>
        </w:rPr>
        <w:t>University College London</w:t>
      </w:r>
    </w:p>
    <w:p w:rsidR="00EC0A18" w:rsidRDefault="00EC0A18" w:rsidP="007960E6">
      <w:pPr>
        <w:jc w:val="center"/>
        <w:rPr>
          <w:b/>
          <w:sz w:val="28"/>
        </w:rPr>
      </w:pPr>
      <w:r>
        <w:rPr>
          <w:b/>
          <w:sz w:val="28"/>
        </w:rPr>
        <w:t>Institute of Health Informatics</w:t>
      </w:r>
    </w:p>
    <w:p w:rsidR="00316E96" w:rsidRPr="00BA4A3A" w:rsidRDefault="007960E6" w:rsidP="007960E6">
      <w:pPr>
        <w:jc w:val="center"/>
        <w:rPr>
          <w:b/>
          <w:sz w:val="28"/>
        </w:rPr>
      </w:pPr>
      <w:r w:rsidRPr="00BA4A3A">
        <w:rPr>
          <w:b/>
          <w:sz w:val="28"/>
        </w:rPr>
        <w:t xml:space="preserve">Data Methods </w:t>
      </w:r>
      <w:r w:rsidR="006C0DA9" w:rsidRPr="00BA4A3A">
        <w:rPr>
          <w:b/>
          <w:sz w:val="28"/>
        </w:rPr>
        <w:t xml:space="preserve">for </w:t>
      </w:r>
      <w:r w:rsidRPr="00BA4A3A">
        <w:rPr>
          <w:b/>
          <w:sz w:val="28"/>
        </w:rPr>
        <w:t>Health Research</w:t>
      </w:r>
    </w:p>
    <w:p w:rsidR="006C0DA9" w:rsidRPr="00CE7989" w:rsidRDefault="006C0DA9" w:rsidP="007960E6">
      <w:pPr>
        <w:jc w:val="center"/>
        <w:rPr>
          <w:b/>
          <w:sz w:val="20"/>
        </w:rPr>
      </w:pPr>
      <w:proofErr w:type="spellStart"/>
      <w:r w:rsidRPr="00CE7989">
        <w:rPr>
          <w:b/>
          <w:sz w:val="20"/>
        </w:rPr>
        <w:t>GitHub</w:t>
      </w:r>
      <w:proofErr w:type="spellEnd"/>
      <w:r w:rsidRPr="00CE7989">
        <w:rPr>
          <w:b/>
          <w:sz w:val="20"/>
        </w:rPr>
        <w:t xml:space="preserve"> link: </w:t>
      </w:r>
      <w:r w:rsidR="00CE7989" w:rsidRPr="00CE7989">
        <w:rPr>
          <w:b/>
          <w:sz w:val="20"/>
        </w:rPr>
        <w:t>https://github.com/UCLMScHDS2018/DMHR2018_19_assignment</w:t>
      </w:r>
    </w:p>
    <w:p w:rsidR="008720F4" w:rsidRDefault="007960E6" w:rsidP="00D555C9">
      <w:pPr>
        <w:jc w:val="both"/>
        <w:rPr>
          <w:b/>
          <w:i/>
          <w:color w:val="FF0000"/>
          <w:sz w:val="28"/>
        </w:rPr>
      </w:pPr>
      <w:r w:rsidRPr="00BA4A3A">
        <w:rPr>
          <w:b/>
          <w:i/>
          <w:sz w:val="28"/>
        </w:rPr>
        <w:t>Assignment A</w:t>
      </w:r>
      <w:r w:rsidR="009112FB">
        <w:rPr>
          <w:b/>
          <w:i/>
          <w:sz w:val="28"/>
        </w:rPr>
        <w:t xml:space="preserve">. </w:t>
      </w:r>
    </w:p>
    <w:p w:rsidR="007960E6" w:rsidRPr="008507F3" w:rsidRDefault="007960E6" w:rsidP="00D555C9">
      <w:pPr>
        <w:jc w:val="both"/>
        <w:rPr>
          <w:b/>
          <w:i/>
        </w:rPr>
      </w:pPr>
      <w:r w:rsidRPr="008507F3">
        <w:rPr>
          <w:b/>
          <w:i/>
        </w:rPr>
        <w:t xml:space="preserve">Question </w:t>
      </w:r>
      <w:r w:rsidR="00AA5E83">
        <w:rPr>
          <w:b/>
          <w:i/>
        </w:rPr>
        <w:t>A.</w:t>
      </w:r>
      <w:r w:rsidRPr="008507F3">
        <w:rPr>
          <w:b/>
          <w:i/>
        </w:rPr>
        <w:t>1.</w:t>
      </w:r>
    </w:p>
    <w:p w:rsidR="001E4107" w:rsidRPr="0025581C" w:rsidRDefault="007960E6" w:rsidP="008D439E">
      <w:pPr>
        <w:jc w:val="both"/>
      </w:pPr>
      <w:r>
        <w:tab/>
      </w:r>
      <w:r w:rsidR="00BA4A3A">
        <w:t xml:space="preserve">On a first instance, the information from practices located in the </w:t>
      </w:r>
      <w:r w:rsidR="001E4107">
        <w:t>“City”</w:t>
      </w:r>
      <w:r w:rsidR="00BA4A3A">
        <w:t xml:space="preserve"> column, corresponding to </w:t>
      </w:r>
      <w:r w:rsidR="00D555C9">
        <w:t>“L</w:t>
      </w:r>
      <w:r w:rsidR="00BA4A3A">
        <w:t>ondon</w:t>
      </w:r>
      <w:r w:rsidR="00D555C9">
        <w:t>”</w:t>
      </w:r>
      <w:r w:rsidR="00BA4A3A">
        <w:t xml:space="preserve"> was extracted</w:t>
      </w:r>
      <w:r w:rsidR="00644893">
        <w:t xml:space="preserve"> (1)</w:t>
      </w:r>
      <w:r w:rsidR="00BA4A3A">
        <w:t>. This provided data for only 56 practices</w:t>
      </w:r>
      <w:r w:rsidR="00D555C9">
        <w:t xml:space="preserve">, which gave the impression of </w:t>
      </w:r>
      <w:r w:rsidR="00644893">
        <w:t xml:space="preserve">the presence of </w:t>
      </w:r>
      <w:r w:rsidR="00D555C9">
        <w:t>a</w:t>
      </w:r>
      <w:r w:rsidR="00BA4A3A">
        <w:t xml:space="preserve"> </w:t>
      </w:r>
      <w:r w:rsidR="00D555C9">
        <w:t>confounding factor in the address of the practices selected that was affecting</w:t>
      </w:r>
      <w:r w:rsidR="006A0472" w:rsidRPr="006A0472">
        <w:t xml:space="preserve"> the data filtered</w:t>
      </w:r>
      <w:r w:rsidR="00D555C9">
        <w:t>, since less than 60 practices seems to be too low of a number for supporting the primary care needs of over 8 million London inhabitants</w:t>
      </w:r>
      <w:r w:rsidR="006A0472" w:rsidRPr="006A0472">
        <w:t xml:space="preserve">. </w:t>
      </w:r>
      <w:r w:rsidR="00D555C9">
        <w:t>Given these results,</w:t>
      </w:r>
      <w:r w:rsidR="006A0472" w:rsidRPr="006A0472">
        <w:t xml:space="preserve"> </w:t>
      </w:r>
      <w:r w:rsidR="00D555C9" w:rsidRPr="006A0472">
        <w:t>the</w:t>
      </w:r>
      <w:r w:rsidR="00D555C9">
        <w:t xml:space="preserve"> individual data strings that are present</w:t>
      </w:r>
      <w:r w:rsidR="00D555C9" w:rsidRPr="006A0472">
        <w:t xml:space="preserve"> in the "City" column </w:t>
      </w:r>
      <w:r w:rsidR="00D555C9">
        <w:t xml:space="preserve">were extracted to be analysed. </w:t>
      </w:r>
      <w:r w:rsidR="00D555C9" w:rsidRPr="001E4107">
        <w:t xml:space="preserve">A set of 3 strings that contain the word “London” ("London", "London </w:t>
      </w:r>
      <w:proofErr w:type="spellStart"/>
      <w:r w:rsidR="00D555C9" w:rsidRPr="001E4107">
        <w:t>colney</w:t>
      </w:r>
      <w:proofErr w:type="spellEnd"/>
      <w:r w:rsidR="00D555C9" w:rsidRPr="001E4107">
        <w:t>" and "London road") were obtained. Then, the "Area" column was analysed with the same protocol to search for more practices that the previous filtering didn’t take into account</w:t>
      </w:r>
      <w:r w:rsidR="001E4107" w:rsidRPr="001E4107">
        <w:t xml:space="preserve"> </w:t>
      </w:r>
      <w:r w:rsidR="00D555C9" w:rsidRPr="001E4107">
        <w:t xml:space="preserve">that actually are </w:t>
      </w:r>
      <w:r w:rsidR="001E4107" w:rsidRPr="001E4107">
        <w:t xml:space="preserve">based </w:t>
      </w:r>
      <w:r w:rsidR="00D555C9" w:rsidRPr="001E4107">
        <w:t>in London but their address</w:t>
      </w:r>
      <w:r w:rsidR="001E4107" w:rsidRPr="001E4107">
        <w:t>es were</w:t>
      </w:r>
      <w:r w:rsidR="00D555C9" w:rsidRPr="001E4107">
        <w:t xml:space="preserve"> recorded in a different format.</w:t>
      </w:r>
      <w:r w:rsidR="001E4107" w:rsidRPr="001E4107">
        <w:t xml:space="preserve"> This new filtering gave the result of 876</w:t>
      </w:r>
      <w:r w:rsidR="001E4107">
        <w:t xml:space="preserve"> practices</w:t>
      </w:r>
      <w:r w:rsidR="001E4107" w:rsidRPr="001E4107">
        <w:t xml:space="preserve">, whose address format took "London" as the area in which they are </w:t>
      </w:r>
      <w:r w:rsidR="001E4107">
        <w:t>registered</w:t>
      </w:r>
      <w:r w:rsidR="001E4107" w:rsidRPr="001E4107">
        <w:t>, instead of the city</w:t>
      </w:r>
      <w:r w:rsidR="001E4107">
        <w:t>. With both filters done, the data frames were concatenated to create a unique data frame that includes all the practices located in London, which allows to analyse all the 932 practices registered in the database.</w:t>
      </w:r>
      <w:r w:rsidR="001C4867">
        <w:t xml:space="preserve"> </w:t>
      </w:r>
    </w:p>
    <w:p w:rsidR="001C4867" w:rsidRDefault="00644893" w:rsidP="000353CE">
      <w:pPr>
        <w:ind w:firstLine="720"/>
        <w:jc w:val="both"/>
      </w:pPr>
      <w:r w:rsidRPr="0025581C">
        <w:t>The prescription data (1) gives</w:t>
      </w:r>
      <w:r w:rsidR="001C4867" w:rsidRPr="0025581C">
        <w:t xml:space="preserve"> 9,748,354 individual medicines, dressings and appliances that were prescri</w:t>
      </w:r>
      <w:r w:rsidR="000353CE">
        <w:t>b</w:t>
      </w:r>
      <w:r w:rsidR="001C4867" w:rsidRPr="0025581C">
        <w:t xml:space="preserve">ed by practices </w:t>
      </w:r>
      <w:r w:rsidRPr="0025581C">
        <w:t>based in</w:t>
      </w:r>
      <w:r w:rsidR="001C4867" w:rsidRPr="0025581C">
        <w:t xml:space="preserve"> England on April, 2018. This data doesn't include private prescriptions, </w:t>
      </w:r>
      <w:r w:rsidRPr="0025581C">
        <w:t xml:space="preserve">but </w:t>
      </w:r>
      <w:r w:rsidR="001C4867" w:rsidRPr="0025581C">
        <w:t xml:space="preserve">only </w:t>
      </w:r>
      <w:r w:rsidRPr="0025581C">
        <w:t>those</w:t>
      </w:r>
      <w:r w:rsidR="001C4867" w:rsidRPr="0025581C">
        <w:t xml:space="preserve"> whose cost is covered by the NHS. </w:t>
      </w:r>
      <w:r w:rsidRPr="0025581C">
        <w:t xml:space="preserve">The </w:t>
      </w:r>
      <w:r w:rsidR="001C4867" w:rsidRPr="0025581C">
        <w:t>"Items" column</w:t>
      </w:r>
      <w:r w:rsidRPr="0025581C">
        <w:t xml:space="preserve"> denotes the number of times an individual prescription was issued</w:t>
      </w:r>
      <w:r w:rsidR="007E76F8">
        <w:t xml:space="preserve"> (2)</w:t>
      </w:r>
      <w:r w:rsidRPr="0025581C">
        <w:t>. T</w:t>
      </w:r>
      <w:r w:rsidR="001C4867" w:rsidRPr="0025581C">
        <w:t>he average medication was pres</w:t>
      </w:r>
      <w:r w:rsidR="0025581C">
        <w:t>cri</w:t>
      </w:r>
      <w:r w:rsidR="000353CE">
        <w:t>b</w:t>
      </w:r>
      <w:r w:rsidR="0025581C">
        <w:t xml:space="preserve">ed 9.12 times, and the </w:t>
      </w:r>
      <w:r w:rsidR="001C4867" w:rsidRPr="0025581C">
        <w:t xml:space="preserve">most had been prescribed 5,147 times </w:t>
      </w:r>
      <w:r w:rsidRPr="0025581C">
        <w:t>during</w:t>
      </w:r>
      <w:r w:rsidR="001C4867" w:rsidRPr="0025581C">
        <w:t xml:space="preserve"> April. The average cost </w:t>
      </w:r>
      <w:r w:rsidRPr="0025581C">
        <w:t xml:space="preserve">of </w:t>
      </w:r>
      <w:r w:rsidR="000353CE">
        <w:t>drugs prescribe</w:t>
      </w:r>
      <w:r w:rsidR="001C4867" w:rsidRPr="0025581C">
        <w:t>d in England was £65.97, with the most expensive costing £31,456.</w:t>
      </w:r>
      <w:r w:rsidRPr="0025581C">
        <w:t xml:space="preserve"> Although, this could be considered an outlier and more research needs to be done into it to possibly discard it.</w:t>
      </w:r>
      <w:r w:rsidR="0025581C" w:rsidRPr="0025581C">
        <w:t xml:space="preserve"> The "NIC" column indicates the net ingredient cost per 1 item, which is generally different than what the NHS actually covers since it takes different factors into its price. It does not take into account of any contract prices or discounts, dispensing costs, fees or prescription charge income, so the amount the NHS paid will be different (2).</w:t>
      </w:r>
    </w:p>
    <w:p w:rsidR="0025581C" w:rsidRDefault="0077266C" w:rsidP="008D439E">
      <w:pPr>
        <w:ind w:firstLine="720"/>
        <w:jc w:val="both"/>
      </w:pPr>
      <w:r w:rsidRPr="008D439E">
        <w:t xml:space="preserve">A basic </w:t>
      </w:r>
      <w:r w:rsidR="000353CE" w:rsidRPr="008D439E">
        <w:t>statistical</w:t>
      </w:r>
      <w:r w:rsidRPr="008D439E">
        <w:t xml:space="preserve"> description of the data from the</w:t>
      </w:r>
      <w:r w:rsidR="0025581C" w:rsidRPr="008D439E">
        <w:t xml:space="preserve"> patients registered </w:t>
      </w:r>
      <w:r w:rsidR="00426DCE" w:rsidRPr="008D439E">
        <w:t xml:space="preserve">at a practice </w:t>
      </w:r>
      <w:r w:rsidR="0025581C" w:rsidRPr="008D439E">
        <w:t xml:space="preserve">throughout England </w:t>
      </w:r>
      <w:r w:rsidRPr="008D439E">
        <w:t>(3)</w:t>
      </w:r>
      <w:r w:rsidR="0025581C" w:rsidRPr="008D439E">
        <w:t xml:space="preserve"> tells us that the average English practice has 8,154 registered patients, the one that has </w:t>
      </w:r>
      <w:proofErr w:type="gramStart"/>
      <w:r w:rsidR="0025581C" w:rsidRPr="008D439E">
        <w:t>the</w:t>
      </w:r>
      <w:proofErr w:type="gramEnd"/>
      <w:r w:rsidR="0025581C" w:rsidRPr="008D439E">
        <w:t xml:space="preserve"> least patients has only one, meanwhile the one that has the most has 72,227, although, this could be an outlier in the data.</w:t>
      </w:r>
    </w:p>
    <w:p w:rsidR="00251ACC" w:rsidRDefault="00251ACC" w:rsidP="00251ACC">
      <w:pPr>
        <w:ind w:firstLine="720"/>
        <w:jc w:val="both"/>
      </w:pPr>
      <w:r>
        <w:t xml:space="preserve">The filtering of the England data with the London practice codes results in a new data frame with </w:t>
      </w:r>
      <w:r w:rsidRPr="00251ACC">
        <w:t xml:space="preserve">748 </w:t>
      </w:r>
      <w:r>
        <w:t>practices</w:t>
      </w:r>
      <w:r w:rsidRPr="00251ACC">
        <w:t>. This is in cont</w:t>
      </w:r>
      <w:r>
        <w:t>rast with the amount of</w:t>
      </w:r>
      <w:r w:rsidRPr="00251ACC">
        <w:t xml:space="preserve"> codes obtained from the London "City" and "Area" </w:t>
      </w:r>
      <w:r>
        <w:t>d</w:t>
      </w:r>
      <w:r w:rsidRPr="00251ACC">
        <w:t>ata</w:t>
      </w:r>
      <w:r>
        <w:t xml:space="preserve"> f</w:t>
      </w:r>
      <w:r w:rsidRPr="00251ACC">
        <w:t xml:space="preserve">rames, which </w:t>
      </w:r>
      <w:r>
        <w:t xml:space="preserve">resulted in </w:t>
      </w:r>
      <w:r w:rsidRPr="00251ACC">
        <w:t>932 practices. There is</w:t>
      </w:r>
      <w:r>
        <w:t xml:space="preserve"> missing data for 184 practices, which could be explained by either practices that didn’t report on the month of interest, or </w:t>
      </w:r>
      <w:r w:rsidR="009805D4">
        <w:t>that closed during April, or two or more that fused into only one practice.</w:t>
      </w:r>
      <w:r w:rsidR="0024576F">
        <w:t xml:space="preserve"> Also, d</w:t>
      </w:r>
      <w:r w:rsidR="009805D4">
        <w:t>ummy practices</w:t>
      </w:r>
      <w:r w:rsidR="0024576F">
        <w:t xml:space="preserve"> are included</w:t>
      </w:r>
      <w:r w:rsidR="00905CC1">
        <w:t>,</w:t>
      </w:r>
      <w:r w:rsidR="0024576F">
        <w:t xml:space="preserve"> created </w:t>
      </w:r>
      <w:r w:rsidR="0024576F" w:rsidRPr="0024576F">
        <w:t xml:space="preserve">to identify prescribing in environments or circumstances outside of a general practice, such as specialist clinics, hospices, prisons, out of </w:t>
      </w:r>
      <w:proofErr w:type="gramStart"/>
      <w:r w:rsidR="0024576F" w:rsidRPr="0024576F">
        <w:t>hours</w:t>
      </w:r>
      <w:proofErr w:type="gramEnd"/>
      <w:r w:rsidR="0024576F" w:rsidRPr="0024576F">
        <w:t xml:space="preserve"> services and training units</w:t>
      </w:r>
      <w:r w:rsidR="00905CC1">
        <w:t xml:space="preserve"> (4)</w:t>
      </w:r>
      <w:r w:rsidR="0024576F" w:rsidRPr="0024576F">
        <w:t>.</w:t>
      </w:r>
      <w:r w:rsidR="0024576F">
        <w:t xml:space="preserve"> </w:t>
      </w:r>
    </w:p>
    <w:p w:rsidR="00B73C2F" w:rsidRDefault="00B73C2F" w:rsidP="00B73C2F">
      <w:pPr>
        <w:ind w:firstLine="720"/>
        <w:jc w:val="both"/>
      </w:pPr>
      <w:r>
        <w:lastRenderedPageBreak/>
        <w:t>The describe function of tells us the following basic statistics about London practices:</w:t>
      </w:r>
    </w:p>
    <w:p w:rsidR="00B73C2F" w:rsidRDefault="00B73C2F" w:rsidP="00B73C2F">
      <w:pPr>
        <w:ind w:firstLine="720"/>
        <w:jc w:val="both"/>
      </w:pPr>
    </w:p>
    <w:p w:rsidR="00B73C2F" w:rsidRDefault="00B73C2F" w:rsidP="00B73C2F">
      <w:pPr>
        <w:ind w:left="720" w:firstLine="720"/>
        <w:jc w:val="both"/>
      </w:pPr>
      <w:r>
        <w:t>-The average number of patients per practice in London is 7,816.</w:t>
      </w:r>
    </w:p>
    <w:p w:rsidR="00B73C2F" w:rsidRDefault="00B73C2F" w:rsidP="00B73C2F">
      <w:pPr>
        <w:ind w:left="720" w:firstLine="720"/>
        <w:jc w:val="both"/>
      </w:pPr>
      <w:r>
        <w:t>-The practice with the least patients has 8 registered.</w:t>
      </w:r>
    </w:p>
    <w:p w:rsidR="00B73C2F" w:rsidRDefault="00B73C2F" w:rsidP="00D17703">
      <w:pPr>
        <w:ind w:left="1440"/>
        <w:jc w:val="both"/>
      </w:pPr>
      <w:r>
        <w:t>-</w:t>
      </w:r>
      <w:r w:rsidR="00D17703">
        <w:t>The m</w:t>
      </w:r>
      <w:r>
        <w:t>aximum number of patients in a practice</w:t>
      </w:r>
      <w:r w:rsidR="00D17703">
        <w:t xml:space="preserve"> is</w:t>
      </w:r>
      <w:r>
        <w:t xml:space="preserve"> 72,227. This could be an outlier from the data reported incorrectly.</w:t>
      </w:r>
    </w:p>
    <w:p w:rsidR="00B73C2F" w:rsidRDefault="00D17703" w:rsidP="00D17703">
      <w:pPr>
        <w:ind w:left="720" w:firstLine="720"/>
        <w:jc w:val="both"/>
      </w:pPr>
      <w:r>
        <w:t>-</w:t>
      </w:r>
      <w:r w:rsidR="00B73C2F">
        <w:t>The median number tells us that half of the practices have more than 6,989 patients.</w:t>
      </w:r>
    </w:p>
    <w:p w:rsidR="00B73C2F" w:rsidRDefault="00D17703" w:rsidP="00D17703">
      <w:pPr>
        <w:ind w:left="720" w:firstLine="720"/>
        <w:jc w:val="both"/>
      </w:pPr>
      <w:r>
        <w:t>-</w:t>
      </w:r>
      <w:r w:rsidR="00B73C2F">
        <w:t>The smallest quartile has less than 4,556 patients.</w:t>
      </w:r>
    </w:p>
    <w:p w:rsidR="00B73C2F" w:rsidRDefault="00D17703" w:rsidP="00D17703">
      <w:pPr>
        <w:ind w:left="720" w:firstLine="720"/>
        <w:jc w:val="both"/>
      </w:pPr>
      <w:r>
        <w:t>-</w:t>
      </w:r>
      <w:r w:rsidR="00B73C2F">
        <w:t>The biggest quartile has at least 10,226 patients.</w:t>
      </w:r>
    </w:p>
    <w:p w:rsidR="00BD23D2" w:rsidRDefault="00D17703" w:rsidP="00BD23D2">
      <w:r w:rsidRPr="00D17703">
        <w:tab/>
        <w:t xml:space="preserve">The </w:t>
      </w:r>
      <w:r>
        <w:t xml:space="preserve">total </w:t>
      </w:r>
      <w:r w:rsidRPr="00D17703">
        <w:t xml:space="preserve">number of patients in London registered to a </w:t>
      </w:r>
      <w:r>
        <w:t>practice</w:t>
      </w:r>
      <w:r w:rsidRPr="00D17703">
        <w:t xml:space="preserve"> is 5,846,104.</w:t>
      </w:r>
      <w:r>
        <w:t xml:space="preserve"> With the data from London </w:t>
      </w:r>
      <w:r w:rsidR="00BD23D2">
        <w:t>practices extracted</w:t>
      </w:r>
      <w:r>
        <w:t>, it’s possible to filter the prescriptions data.</w:t>
      </w:r>
      <w:r w:rsidR="00BD23D2">
        <w:t xml:space="preserve"> The data reports the following basis statistics for April, 2018:</w:t>
      </w:r>
    </w:p>
    <w:p w:rsidR="00BD23D2" w:rsidRDefault="00BD23D2" w:rsidP="00BD23D2">
      <w:pPr>
        <w:ind w:firstLine="720"/>
      </w:pPr>
      <w:r>
        <w:t xml:space="preserve"> </w:t>
      </w:r>
      <w:r>
        <w:tab/>
        <w:t xml:space="preserve">-A total of 806,139 individual </w:t>
      </w:r>
      <w:r w:rsidR="00E44F85">
        <w:t xml:space="preserve">item’s </w:t>
      </w:r>
      <w:r>
        <w:t xml:space="preserve">prescriptions were issued. </w:t>
      </w:r>
    </w:p>
    <w:p w:rsidR="00BD23D2" w:rsidRDefault="00BD23D2" w:rsidP="00BD23D2">
      <w:pPr>
        <w:ind w:left="720" w:firstLine="720"/>
      </w:pPr>
      <w:r>
        <w:t xml:space="preserve">-The average item was prescribed 7.3 times. </w:t>
      </w:r>
    </w:p>
    <w:p w:rsidR="00BD23D2" w:rsidRDefault="00BD23D2" w:rsidP="00BD23D2">
      <w:pPr>
        <w:ind w:left="720" w:firstLine="720"/>
      </w:pPr>
      <w:r>
        <w:t xml:space="preserve">-The item most prescribed was done 2,012 times. </w:t>
      </w:r>
    </w:p>
    <w:p w:rsidR="00D17703" w:rsidRPr="00D17703" w:rsidRDefault="00BD23D2" w:rsidP="00BD23D2">
      <w:pPr>
        <w:ind w:left="1440"/>
      </w:pPr>
      <w:r>
        <w:t xml:space="preserve">-The average </w:t>
      </w:r>
      <w:r w:rsidR="00B90C1A">
        <w:t xml:space="preserve">actual </w:t>
      </w:r>
      <w:r>
        <w:t>cost of the drugs prescribed in London was £53.60, with the most expensive costing £12,338.</w:t>
      </w:r>
      <w:r w:rsidR="00E44F85">
        <w:t xml:space="preserve"> This could be an </w:t>
      </w:r>
      <w:r w:rsidR="00E44F85" w:rsidRPr="004F2288">
        <w:t>outlier.</w:t>
      </w:r>
    </w:p>
    <w:p w:rsidR="00E44F85" w:rsidRDefault="00E44F85" w:rsidP="00E44F85">
      <w:pPr>
        <w:ind w:left="1440"/>
        <w:jc w:val="both"/>
      </w:pPr>
      <w:r>
        <w:t xml:space="preserve">-A sum of the items prescriptions results in </w:t>
      </w:r>
      <w:r w:rsidRPr="00E44F85">
        <w:t>5,888,215</w:t>
      </w:r>
      <w:r>
        <w:t xml:space="preserve"> total prescriptions issued in London during April, 2018. </w:t>
      </w:r>
    </w:p>
    <w:p w:rsidR="00E44F85" w:rsidRDefault="00E44F85" w:rsidP="00E44F85">
      <w:pPr>
        <w:ind w:left="1440"/>
        <w:jc w:val="both"/>
      </w:pPr>
      <w:r>
        <w:t xml:space="preserve">-The total cost of the prescriptions was </w:t>
      </w:r>
      <w:r w:rsidRPr="00E44F85">
        <w:t>£1,000,820,487</w:t>
      </w:r>
      <w:r>
        <w:t>.</w:t>
      </w:r>
    </w:p>
    <w:p w:rsidR="00925787" w:rsidRDefault="00925787" w:rsidP="00925787">
      <w:pPr>
        <w:ind w:firstLine="720"/>
        <w:jc w:val="both"/>
      </w:pPr>
      <w:r>
        <w:t>In table 1 the 10 most prescribed items are reported.</w:t>
      </w:r>
      <w:r w:rsidR="00764115">
        <w:t xml:space="preserve"> The most prescribed is the Influenza vaccination due to its seasonal trend. </w:t>
      </w:r>
      <w:r w:rsidR="00764115" w:rsidRPr="00764115">
        <w:t>There are drugs usually prescribed for diabetes (Metformin), high blood pressure and CVD (</w:t>
      </w:r>
      <w:r w:rsidR="00764115" w:rsidRPr="00764115">
        <w:rPr>
          <w:lang w:eastAsia="en-GB"/>
        </w:rPr>
        <w:t>Amlodipine</w:t>
      </w:r>
      <w:r w:rsidR="00764115" w:rsidRPr="00764115">
        <w:t xml:space="preserve">, </w:t>
      </w:r>
      <w:r w:rsidR="00764115" w:rsidRPr="00764115">
        <w:rPr>
          <w:lang w:eastAsia="en-GB"/>
        </w:rPr>
        <w:t>Atorvastatin</w:t>
      </w:r>
      <w:r w:rsidR="00764115" w:rsidRPr="00764115">
        <w:t>), asthma (</w:t>
      </w:r>
      <w:r w:rsidR="00764115" w:rsidRPr="00764115">
        <w:rPr>
          <w:lang w:eastAsia="en-GB"/>
        </w:rPr>
        <w:t>Salbutamol</w:t>
      </w:r>
      <w:r w:rsidR="00764115" w:rsidRPr="00764115">
        <w:t xml:space="preserve">), and the widely used analgesic </w:t>
      </w:r>
      <w:proofErr w:type="spellStart"/>
      <w:r w:rsidR="00764115" w:rsidRPr="00764115">
        <w:t>Paracetamol</w:t>
      </w:r>
      <w:proofErr w:type="spellEnd"/>
      <w:r w:rsidR="00764115" w:rsidRPr="00764115">
        <w:t>.</w:t>
      </w:r>
    </w:p>
    <w:p w:rsidR="00764115" w:rsidRPr="00764115" w:rsidRDefault="00764115" w:rsidP="00925787">
      <w:pPr>
        <w:ind w:firstLine="720"/>
        <w:jc w:val="both"/>
      </w:pPr>
      <w:r>
        <w:tab/>
        <w:t xml:space="preserve">Table 1: </w:t>
      </w:r>
      <w:r w:rsidR="00E5292B">
        <w:t xml:space="preserve"> The 10 </w:t>
      </w:r>
      <w:r>
        <w:t>most prescribed drugs in London on April, 2018.</w:t>
      </w:r>
    </w:p>
    <w:tbl>
      <w:tblPr>
        <w:tblW w:w="5440" w:type="dxa"/>
        <w:jc w:val="center"/>
        <w:tblLook w:val="04A0" w:firstRow="1" w:lastRow="0" w:firstColumn="1" w:lastColumn="0" w:noHBand="0" w:noVBand="1"/>
      </w:tblPr>
      <w:tblGrid>
        <w:gridCol w:w="1783"/>
        <w:gridCol w:w="3021"/>
        <w:gridCol w:w="636"/>
      </w:tblGrid>
      <w:tr w:rsidR="00925787" w:rsidRPr="00925787" w:rsidTr="00925787">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b/>
                <w:bCs/>
                <w:color w:val="000000"/>
                <w:sz w:val="18"/>
                <w:szCs w:val="18"/>
                <w:lang w:eastAsia="en-GB"/>
              </w:rPr>
            </w:pPr>
            <w:r w:rsidRPr="00925787">
              <w:rPr>
                <w:rFonts w:eastAsia="Times New Roman" w:cstheme="minorHAnsi"/>
                <w:b/>
                <w:bCs/>
                <w:color w:val="000000"/>
                <w:sz w:val="18"/>
                <w:szCs w:val="18"/>
                <w:lang w:eastAsia="en-GB"/>
              </w:rPr>
              <w:t>BNF code</w:t>
            </w:r>
          </w:p>
        </w:tc>
        <w:tc>
          <w:tcPr>
            <w:tcW w:w="3080" w:type="dxa"/>
            <w:tcBorders>
              <w:top w:val="single" w:sz="4" w:space="0" w:color="auto"/>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b/>
                <w:bCs/>
                <w:color w:val="000000"/>
                <w:sz w:val="18"/>
                <w:szCs w:val="18"/>
                <w:lang w:eastAsia="en-GB"/>
              </w:rPr>
            </w:pPr>
            <w:r w:rsidRPr="00925787">
              <w:rPr>
                <w:rFonts w:eastAsia="Times New Roman" w:cstheme="minorHAnsi"/>
                <w:b/>
                <w:bCs/>
                <w:color w:val="000000"/>
                <w:sz w:val="18"/>
                <w:szCs w:val="18"/>
                <w:lang w:eastAsia="en-GB"/>
              </w:rPr>
              <w:t>BNF name</w:t>
            </w:r>
          </w:p>
        </w:tc>
        <w:tc>
          <w:tcPr>
            <w:tcW w:w="580" w:type="dxa"/>
            <w:tcBorders>
              <w:top w:val="single" w:sz="4" w:space="0" w:color="auto"/>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b/>
                <w:bCs/>
                <w:color w:val="000000"/>
                <w:sz w:val="18"/>
                <w:szCs w:val="18"/>
                <w:lang w:eastAsia="en-GB"/>
              </w:rPr>
            </w:pPr>
            <w:r w:rsidRPr="00925787">
              <w:rPr>
                <w:rFonts w:eastAsia="Times New Roman" w:cstheme="minorHAnsi"/>
                <w:b/>
                <w:bCs/>
                <w:color w:val="000000"/>
                <w:sz w:val="18"/>
                <w:szCs w:val="18"/>
                <w:lang w:eastAsia="en-GB"/>
              </w:rPr>
              <w:t>Items</w:t>
            </w:r>
          </w:p>
        </w:tc>
      </w:tr>
      <w:tr w:rsidR="00925787" w:rsidRPr="00925787" w:rsidTr="00925787">
        <w:trPr>
          <w:trHeight w:val="48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1404000H0AAAKAK</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Influenza_Vac</w:t>
            </w:r>
            <w:proofErr w:type="spellEnd"/>
            <w:r w:rsidRPr="00925787">
              <w:rPr>
                <w:rFonts w:eastAsia="Times New Roman" w:cstheme="minorHAnsi"/>
                <w:color w:val="000000"/>
                <w:sz w:val="18"/>
                <w:szCs w:val="18"/>
                <w:lang w:eastAsia="en-GB"/>
              </w:rPr>
              <w:t xml:space="preserve"> </w:t>
            </w:r>
            <w:proofErr w:type="spellStart"/>
            <w:r w:rsidRPr="00925787">
              <w:rPr>
                <w:rFonts w:eastAsia="Times New Roman" w:cstheme="minorHAnsi"/>
                <w:color w:val="000000"/>
                <w:sz w:val="18"/>
                <w:szCs w:val="18"/>
                <w:lang w:eastAsia="en-GB"/>
              </w:rPr>
              <w:t>SplitViron</w:t>
            </w:r>
            <w:proofErr w:type="spellEnd"/>
            <w:r w:rsidRPr="00925787">
              <w:rPr>
                <w:rFonts w:eastAsia="Times New Roman" w:cstheme="minorHAnsi"/>
                <w:color w:val="000000"/>
                <w:sz w:val="18"/>
                <w:szCs w:val="18"/>
                <w:lang w:eastAsia="en-GB"/>
              </w:rPr>
              <w:t xml:space="preserve"> </w:t>
            </w:r>
            <w:proofErr w:type="spellStart"/>
            <w:r w:rsidRPr="00925787">
              <w:rPr>
                <w:rFonts w:eastAsia="Times New Roman" w:cstheme="minorHAnsi"/>
                <w:color w:val="000000"/>
                <w:sz w:val="18"/>
                <w:szCs w:val="18"/>
                <w:lang w:eastAsia="en-GB"/>
              </w:rPr>
              <w:t>Inact</w:t>
            </w:r>
            <w:proofErr w:type="spellEnd"/>
            <w:r w:rsidRPr="00925787">
              <w:rPr>
                <w:rFonts w:eastAsia="Times New Roman" w:cstheme="minorHAnsi"/>
                <w:color w:val="000000"/>
                <w:sz w:val="18"/>
                <w:szCs w:val="18"/>
                <w:lang w:eastAsia="en-GB"/>
              </w:rPr>
              <w:t xml:space="preserve"> 0.5ml </w:t>
            </w:r>
            <w:proofErr w:type="spellStart"/>
            <w:r w:rsidRPr="00925787">
              <w:rPr>
                <w:rFonts w:eastAsia="Times New Roman" w:cstheme="minorHAnsi"/>
                <w:color w:val="000000"/>
                <w:sz w:val="18"/>
                <w:szCs w:val="18"/>
                <w:lang w:eastAsia="en-GB"/>
              </w:rPr>
              <w:t>Pfs</w:t>
            </w:r>
            <w:proofErr w:type="spellEnd"/>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012</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0103050P0AAAAAA</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val="es-CL" w:eastAsia="en-GB"/>
              </w:rPr>
            </w:pPr>
            <w:proofErr w:type="spellStart"/>
            <w:r w:rsidRPr="00925787">
              <w:rPr>
                <w:rFonts w:eastAsia="Times New Roman" w:cstheme="minorHAnsi"/>
                <w:color w:val="000000"/>
                <w:sz w:val="18"/>
                <w:szCs w:val="18"/>
                <w:lang w:val="es-CL" w:eastAsia="en-GB"/>
              </w:rPr>
              <w:t>Omeprazole_Cap</w:t>
            </w:r>
            <w:proofErr w:type="spellEnd"/>
            <w:r w:rsidRPr="00925787">
              <w:rPr>
                <w:rFonts w:eastAsia="Times New Roman" w:cstheme="minorHAnsi"/>
                <w:color w:val="000000"/>
                <w:sz w:val="18"/>
                <w:szCs w:val="18"/>
                <w:lang w:val="es-CL" w:eastAsia="en-GB"/>
              </w:rPr>
              <w:t xml:space="preserve"> E/C 20mg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885</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0601022B0AAABAB</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 xml:space="preserve">Metformin </w:t>
            </w:r>
            <w:proofErr w:type="spellStart"/>
            <w:r w:rsidRPr="00925787">
              <w:rPr>
                <w:rFonts w:eastAsia="Times New Roman" w:cstheme="minorHAnsi"/>
                <w:color w:val="000000"/>
                <w:sz w:val="18"/>
                <w:szCs w:val="18"/>
                <w:lang w:eastAsia="en-GB"/>
              </w:rPr>
              <w:t>HCl_Tab</w:t>
            </w:r>
            <w:proofErr w:type="spellEnd"/>
            <w:r w:rsidRPr="00925787">
              <w:rPr>
                <w:rFonts w:eastAsia="Times New Roman" w:cstheme="minorHAnsi"/>
                <w:color w:val="000000"/>
                <w:sz w:val="18"/>
                <w:szCs w:val="18"/>
                <w:lang w:eastAsia="en-GB"/>
              </w:rPr>
              <w:t xml:space="preserve"> 500mg</w:t>
            </w:r>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654</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0206020A0AAABAB</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Amlodipine_Tab</w:t>
            </w:r>
            <w:proofErr w:type="spellEnd"/>
            <w:r w:rsidRPr="00925787">
              <w:rPr>
                <w:rFonts w:eastAsia="Times New Roman" w:cstheme="minorHAnsi"/>
                <w:color w:val="000000"/>
                <w:sz w:val="18"/>
                <w:szCs w:val="18"/>
                <w:lang w:eastAsia="en-GB"/>
              </w:rPr>
              <w:t xml:space="preserve"> 10mg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578</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0212000B0AAABAB</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Atorvastatin_Tab</w:t>
            </w:r>
            <w:proofErr w:type="spellEnd"/>
            <w:r w:rsidRPr="00925787">
              <w:rPr>
                <w:rFonts w:eastAsia="Times New Roman" w:cstheme="minorHAnsi"/>
                <w:color w:val="000000"/>
                <w:sz w:val="18"/>
                <w:szCs w:val="18"/>
                <w:lang w:eastAsia="en-GB"/>
              </w:rPr>
              <w:t xml:space="preserve"> 20mg</w:t>
            </w:r>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1548</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0212000B0AAACAC</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Atorvastatin_Tab</w:t>
            </w:r>
            <w:proofErr w:type="spellEnd"/>
            <w:r w:rsidRPr="00925787">
              <w:rPr>
                <w:rFonts w:eastAsia="Times New Roman" w:cstheme="minorHAnsi"/>
                <w:color w:val="000000"/>
                <w:sz w:val="18"/>
                <w:szCs w:val="18"/>
                <w:lang w:eastAsia="en-GB"/>
              </w:rPr>
              <w:t xml:space="preserve"> 40mg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378</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0206020A0AAAAAA</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Amlodipine_Tab</w:t>
            </w:r>
            <w:proofErr w:type="spellEnd"/>
            <w:r w:rsidRPr="00925787">
              <w:rPr>
                <w:rFonts w:eastAsia="Times New Roman" w:cstheme="minorHAnsi"/>
                <w:color w:val="000000"/>
                <w:sz w:val="18"/>
                <w:szCs w:val="18"/>
                <w:lang w:eastAsia="en-GB"/>
              </w:rPr>
              <w:t xml:space="preserve"> 5mg</w:t>
            </w:r>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313</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0407010H0AAAMAM</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proofErr w:type="spellStart"/>
            <w:r w:rsidRPr="00925787">
              <w:rPr>
                <w:rFonts w:eastAsia="Times New Roman" w:cstheme="minorHAnsi"/>
                <w:color w:val="000000"/>
                <w:sz w:val="18"/>
                <w:szCs w:val="18"/>
                <w:lang w:eastAsia="en-GB"/>
              </w:rPr>
              <w:t>Paracet_Tab</w:t>
            </w:r>
            <w:proofErr w:type="spellEnd"/>
            <w:r w:rsidRPr="00925787">
              <w:rPr>
                <w:rFonts w:eastAsia="Times New Roman" w:cstheme="minorHAnsi"/>
                <w:color w:val="000000"/>
                <w:sz w:val="18"/>
                <w:szCs w:val="18"/>
                <w:lang w:eastAsia="en-GB"/>
              </w:rPr>
              <w:t xml:space="preserve"> 500mg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205</w:t>
            </w:r>
          </w:p>
        </w:tc>
      </w:tr>
      <w:tr w:rsidR="00925787" w:rsidRPr="00925787" w:rsidTr="00925787">
        <w:trPr>
          <w:trHeight w:val="480"/>
          <w:jc w:val="center"/>
        </w:trPr>
        <w:tc>
          <w:tcPr>
            <w:tcW w:w="1780" w:type="dxa"/>
            <w:tcBorders>
              <w:top w:val="nil"/>
              <w:left w:val="single" w:sz="4" w:space="0" w:color="auto"/>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0301011R0AAAPAP</w:t>
            </w:r>
          </w:p>
        </w:tc>
        <w:tc>
          <w:tcPr>
            <w:tcW w:w="30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val="es-CL" w:eastAsia="en-GB"/>
              </w:rPr>
            </w:pPr>
            <w:proofErr w:type="spellStart"/>
            <w:r w:rsidRPr="00925787">
              <w:rPr>
                <w:rFonts w:eastAsia="Times New Roman" w:cstheme="minorHAnsi"/>
                <w:color w:val="000000"/>
                <w:sz w:val="18"/>
                <w:szCs w:val="18"/>
                <w:lang w:val="es-CL" w:eastAsia="en-GB"/>
              </w:rPr>
              <w:t>Salbutamol_Inha</w:t>
            </w:r>
            <w:proofErr w:type="spellEnd"/>
            <w:r w:rsidRPr="00925787">
              <w:rPr>
                <w:rFonts w:eastAsia="Times New Roman" w:cstheme="minorHAnsi"/>
                <w:color w:val="000000"/>
                <w:sz w:val="18"/>
                <w:szCs w:val="18"/>
                <w:lang w:val="es-CL" w:eastAsia="en-GB"/>
              </w:rPr>
              <w:t xml:space="preserve"> 100mcg (200 D) CFF</w:t>
            </w:r>
          </w:p>
        </w:tc>
        <w:tc>
          <w:tcPr>
            <w:tcW w:w="580" w:type="dxa"/>
            <w:tcBorders>
              <w:top w:val="nil"/>
              <w:left w:val="nil"/>
              <w:bottom w:val="single" w:sz="4" w:space="0" w:color="auto"/>
              <w:right w:val="single" w:sz="4" w:space="0" w:color="auto"/>
            </w:tcBorders>
            <w:shd w:val="clear" w:color="000000" w:fill="F5F5F5"/>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096</w:t>
            </w:r>
          </w:p>
        </w:tc>
      </w:tr>
      <w:tr w:rsidR="00925787" w:rsidRPr="00925787" w:rsidTr="00925787">
        <w:trPr>
          <w:trHeight w:val="300"/>
          <w:jc w:val="center"/>
        </w:trPr>
        <w:tc>
          <w:tcPr>
            <w:tcW w:w="1780" w:type="dxa"/>
            <w:tcBorders>
              <w:top w:val="nil"/>
              <w:left w:val="single" w:sz="4" w:space="0" w:color="auto"/>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0601022B0AAABAB</w:t>
            </w:r>
          </w:p>
        </w:tc>
        <w:tc>
          <w:tcPr>
            <w:tcW w:w="30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 xml:space="preserve">Metformin </w:t>
            </w:r>
            <w:proofErr w:type="spellStart"/>
            <w:r w:rsidRPr="00925787">
              <w:rPr>
                <w:rFonts w:eastAsia="Times New Roman" w:cstheme="minorHAnsi"/>
                <w:color w:val="000000"/>
                <w:sz w:val="18"/>
                <w:szCs w:val="18"/>
                <w:lang w:eastAsia="en-GB"/>
              </w:rPr>
              <w:t>HCl_Tab</w:t>
            </w:r>
            <w:proofErr w:type="spellEnd"/>
            <w:r w:rsidRPr="00925787">
              <w:rPr>
                <w:rFonts w:eastAsia="Times New Roman" w:cstheme="minorHAnsi"/>
                <w:color w:val="000000"/>
                <w:sz w:val="18"/>
                <w:szCs w:val="18"/>
                <w:lang w:eastAsia="en-GB"/>
              </w:rPr>
              <w:t xml:space="preserve"> 500mg</w:t>
            </w:r>
          </w:p>
        </w:tc>
        <w:tc>
          <w:tcPr>
            <w:tcW w:w="580" w:type="dxa"/>
            <w:tcBorders>
              <w:top w:val="nil"/>
              <w:left w:val="nil"/>
              <w:bottom w:val="single" w:sz="4" w:space="0" w:color="auto"/>
              <w:right w:val="single" w:sz="4" w:space="0" w:color="auto"/>
            </w:tcBorders>
            <w:shd w:val="clear" w:color="000000" w:fill="FFFFFF"/>
            <w:vAlign w:val="center"/>
            <w:hideMark/>
          </w:tcPr>
          <w:p w:rsidR="00925787" w:rsidRPr="00925787" w:rsidRDefault="00925787" w:rsidP="00CD6D89">
            <w:pPr>
              <w:spacing w:after="0" w:line="240" w:lineRule="auto"/>
              <w:jc w:val="center"/>
              <w:rPr>
                <w:rFonts w:eastAsia="Times New Roman" w:cstheme="minorHAnsi"/>
                <w:color w:val="000000"/>
                <w:sz w:val="18"/>
                <w:szCs w:val="18"/>
                <w:lang w:eastAsia="en-GB"/>
              </w:rPr>
            </w:pPr>
            <w:r w:rsidRPr="00925787">
              <w:rPr>
                <w:rFonts w:eastAsia="Times New Roman" w:cstheme="minorHAnsi"/>
                <w:color w:val="000000"/>
                <w:sz w:val="18"/>
                <w:szCs w:val="18"/>
                <w:lang w:eastAsia="en-GB"/>
              </w:rPr>
              <w:t>1</w:t>
            </w:r>
            <w:r w:rsidR="00E5292B">
              <w:rPr>
                <w:rFonts w:eastAsia="Times New Roman" w:cstheme="minorHAnsi"/>
                <w:color w:val="000000"/>
                <w:sz w:val="18"/>
                <w:szCs w:val="18"/>
                <w:lang w:eastAsia="en-GB"/>
              </w:rPr>
              <w:t>,</w:t>
            </w:r>
            <w:r w:rsidRPr="00925787">
              <w:rPr>
                <w:rFonts w:eastAsia="Times New Roman" w:cstheme="minorHAnsi"/>
                <w:color w:val="000000"/>
                <w:sz w:val="18"/>
                <w:szCs w:val="18"/>
                <w:lang w:eastAsia="en-GB"/>
              </w:rPr>
              <w:t>090</w:t>
            </w:r>
          </w:p>
        </w:tc>
      </w:tr>
    </w:tbl>
    <w:p w:rsidR="0093642C" w:rsidRDefault="0093642C" w:rsidP="00925787">
      <w:pPr>
        <w:ind w:firstLine="720"/>
        <w:jc w:val="both"/>
        <w:rPr>
          <w:rFonts w:cstheme="minorHAnsi"/>
        </w:rPr>
      </w:pPr>
    </w:p>
    <w:p w:rsidR="00925787" w:rsidRPr="00E5292B" w:rsidRDefault="00512364" w:rsidP="00925787">
      <w:pPr>
        <w:ind w:firstLine="720"/>
        <w:jc w:val="both"/>
        <w:rPr>
          <w:rFonts w:cstheme="minorHAnsi"/>
          <w:color w:val="000000"/>
          <w:shd w:val="clear" w:color="auto" w:fill="FFFFFF"/>
        </w:rPr>
      </w:pPr>
      <w:r w:rsidRPr="00E5292B">
        <w:rPr>
          <w:rFonts w:cstheme="minorHAnsi"/>
        </w:rPr>
        <w:t xml:space="preserve">The ten less frequent </w:t>
      </w:r>
      <w:r w:rsidR="00386F51" w:rsidRPr="00E5292B">
        <w:rPr>
          <w:rFonts w:cstheme="minorHAnsi"/>
        </w:rPr>
        <w:t>items</w:t>
      </w:r>
      <w:r w:rsidR="005F5799" w:rsidRPr="00E5292B">
        <w:rPr>
          <w:rFonts w:cstheme="minorHAnsi"/>
        </w:rPr>
        <w:t xml:space="preserve"> prescribed</w:t>
      </w:r>
      <w:r w:rsidRPr="00E5292B">
        <w:rPr>
          <w:rFonts w:cstheme="minorHAnsi"/>
        </w:rPr>
        <w:t xml:space="preserve"> comprise a list of </w:t>
      </w:r>
      <w:r w:rsidR="005F5799" w:rsidRPr="00E5292B">
        <w:rPr>
          <w:rFonts w:cstheme="minorHAnsi"/>
          <w:color w:val="000000"/>
          <w:shd w:val="clear" w:color="auto" w:fill="FFFFFF"/>
        </w:rPr>
        <w:t>342,444 items prescribed only once</w:t>
      </w:r>
      <w:r w:rsidR="00386F51" w:rsidRPr="00E5292B">
        <w:rPr>
          <w:rFonts w:cstheme="minorHAnsi"/>
          <w:color w:val="000000"/>
          <w:shd w:val="clear" w:color="auto" w:fill="FFFFFF"/>
        </w:rPr>
        <w:t xml:space="preserve"> in London practices</w:t>
      </w:r>
      <w:r w:rsidR="005F5799" w:rsidRPr="00E5292B">
        <w:rPr>
          <w:rFonts w:cstheme="minorHAnsi"/>
          <w:color w:val="000000"/>
          <w:shd w:val="clear" w:color="auto" w:fill="FFFFFF"/>
        </w:rPr>
        <w:t xml:space="preserve">. </w:t>
      </w:r>
      <w:r w:rsidR="00386F51" w:rsidRPr="00E5292B">
        <w:rPr>
          <w:rFonts w:cstheme="minorHAnsi"/>
          <w:color w:val="000000"/>
          <w:shd w:val="clear" w:color="auto" w:fill="FFFFFF"/>
        </w:rPr>
        <w:t xml:space="preserve">This data was filtered to exclude dressings and appliances and keep the information exclusively for drugs, which BNF code starts with two digits from 01 to 15 (5, 6). This </w:t>
      </w:r>
      <w:r w:rsidR="00E5292B" w:rsidRPr="00E5292B">
        <w:rPr>
          <w:rFonts w:cstheme="minorHAnsi"/>
          <w:color w:val="000000"/>
          <w:shd w:val="clear" w:color="auto" w:fill="FFFFFF"/>
        </w:rPr>
        <w:t>resulted in</w:t>
      </w:r>
      <w:r w:rsidR="00386F51" w:rsidRPr="00E5292B">
        <w:rPr>
          <w:rFonts w:cstheme="minorHAnsi"/>
          <w:color w:val="000000"/>
          <w:shd w:val="clear" w:color="auto" w:fill="FFFFFF"/>
        </w:rPr>
        <w:t xml:space="preserve"> a list containing 285,500 individual drugs (data frame “drugs_1_item_lndn”). A sample of the ten most expensive drugs prescribed only once is presented in table 2.</w:t>
      </w:r>
      <w:r w:rsidR="00E5292B">
        <w:rPr>
          <w:rFonts w:cstheme="minorHAnsi"/>
          <w:color w:val="000000"/>
          <w:shd w:val="clear" w:color="auto" w:fill="FFFFFF"/>
        </w:rPr>
        <w:t xml:space="preserve"> It is inferred that the high cost drugs of these drugs is one of the main reasons for being prescribed only once, being very specialized drugs, but since the data refers to only one month, these drugs could be prescribed again the following months.</w:t>
      </w:r>
    </w:p>
    <w:p w:rsidR="00386F51" w:rsidRDefault="00386F51" w:rsidP="00925787">
      <w:pPr>
        <w:ind w:firstLine="720"/>
        <w:jc w:val="both"/>
      </w:pPr>
      <w:r>
        <w:t xml:space="preserve">Table 2: </w:t>
      </w:r>
      <w:r w:rsidR="00E5292B">
        <w:t>The 10</w:t>
      </w:r>
      <w:r>
        <w:t xml:space="preserve"> most expensive drugs prescribed only once in London during April, 2018.</w:t>
      </w:r>
    </w:p>
    <w:tbl>
      <w:tblPr>
        <w:tblW w:w="7225" w:type="dxa"/>
        <w:jc w:val="center"/>
        <w:tblLook w:val="04A0" w:firstRow="1" w:lastRow="0" w:firstColumn="1" w:lastColumn="0" w:noHBand="0" w:noVBand="1"/>
      </w:tblPr>
      <w:tblGrid>
        <w:gridCol w:w="1780"/>
        <w:gridCol w:w="3840"/>
        <w:gridCol w:w="636"/>
        <w:gridCol w:w="969"/>
      </w:tblGrid>
      <w:tr w:rsidR="00CD6D89" w:rsidRPr="00CD6D89" w:rsidTr="00E5292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b/>
                <w:bCs/>
                <w:color w:val="000000"/>
                <w:sz w:val="18"/>
                <w:szCs w:val="18"/>
                <w:lang w:eastAsia="en-GB"/>
              </w:rPr>
            </w:pPr>
            <w:r w:rsidRPr="00CD6D89">
              <w:rPr>
                <w:rFonts w:eastAsia="Times New Roman" w:cstheme="minorHAnsi"/>
                <w:b/>
                <w:bCs/>
                <w:color w:val="000000"/>
                <w:sz w:val="18"/>
                <w:szCs w:val="18"/>
                <w:lang w:eastAsia="en-GB"/>
              </w:rPr>
              <w:t>BNF code</w:t>
            </w:r>
          </w:p>
        </w:tc>
        <w:tc>
          <w:tcPr>
            <w:tcW w:w="3840" w:type="dxa"/>
            <w:tcBorders>
              <w:top w:val="single" w:sz="4" w:space="0" w:color="auto"/>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b/>
                <w:bCs/>
                <w:color w:val="000000"/>
                <w:sz w:val="18"/>
                <w:szCs w:val="18"/>
                <w:lang w:eastAsia="en-GB"/>
              </w:rPr>
            </w:pPr>
            <w:r w:rsidRPr="00CD6D89">
              <w:rPr>
                <w:rFonts w:eastAsia="Times New Roman" w:cstheme="minorHAnsi"/>
                <w:b/>
                <w:bCs/>
                <w:color w:val="000000"/>
                <w:sz w:val="18"/>
                <w:szCs w:val="18"/>
                <w:lang w:eastAsia="en-GB"/>
              </w:rPr>
              <w:t>BNF name</w:t>
            </w:r>
          </w:p>
        </w:tc>
        <w:tc>
          <w:tcPr>
            <w:tcW w:w="636" w:type="dxa"/>
            <w:tcBorders>
              <w:top w:val="single" w:sz="4" w:space="0" w:color="auto"/>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b/>
                <w:bCs/>
                <w:color w:val="000000"/>
                <w:sz w:val="18"/>
                <w:szCs w:val="18"/>
                <w:lang w:eastAsia="en-GB"/>
              </w:rPr>
            </w:pPr>
            <w:r w:rsidRPr="00CD6D89">
              <w:rPr>
                <w:rFonts w:eastAsia="Times New Roman" w:cstheme="minorHAnsi"/>
                <w:b/>
                <w:bCs/>
                <w:color w:val="000000"/>
                <w:sz w:val="18"/>
                <w:szCs w:val="18"/>
                <w:lang w:eastAsia="en-GB"/>
              </w:rPr>
              <w:t>Items</w:t>
            </w:r>
          </w:p>
        </w:tc>
        <w:tc>
          <w:tcPr>
            <w:tcW w:w="969" w:type="dxa"/>
            <w:tcBorders>
              <w:top w:val="single" w:sz="4" w:space="0" w:color="auto"/>
              <w:left w:val="nil"/>
              <w:bottom w:val="single" w:sz="4" w:space="0" w:color="auto"/>
              <w:right w:val="single" w:sz="4" w:space="0" w:color="auto"/>
            </w:tcBorders>
            <w:shd w:val="clear" w:color="000000" w:fill="FFFFFF"/>
            <w:noWrap/>
            <w:vAlign w:val="center"/>
            <w:hideMark/>
          </w:tcPr>
          <w:p w:rsidR="00CD6D89" w:rsidRPr="00CD6D89" w:rsidRDefault="00CD6D89" w:rsidP="00E5292B">
            <w:pPr>
              <w:autoSpaceDE w:val="0"/>
              <w:autoSpaceDN w:val="0"/>
              <w:adjustRightInd w:val="0"/>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A</w:t>
            </w:r>
            <w:r w:rsidRPr="00CD6D89">
              <w:rPr>
                <w:rFonts w:eastAsia="Times New Roman" w:cstheme="minorHAnsi"/>
                <w:b/>
                <w:bCs/>
                <w:color w:val="000000"/>
                <w:sz w:val="18"/>
                <w:szCs w:val="18"/>
                <w:lang w:eastAsia="en-GB"/>
              </w:rPr>
              <w:t>ct</w:t>
            </w:r>
            <w:r>
              <w:rPr>
                <w:rFonts w:eastAsia="Times New Roman" w:cstheme="minorHAnsi"/>
                <w:b/>
                <w:bCs/>
                <w:color w:val="000000"/>
                <w:sz w:val="18"/>
                <w:szCs w:val="18"/>
                <w:lang w:eastAsia="en-GB"/>
              </w:rPr>
              <w:t>ual C</w:t>
            </w:r>
            <w:r w:rsidRPr="00CD6D89">
              <w:rPr>
                <w:rFonts w:eastAsia="Times New Roman" w:cstheme="minorHAnsi"/>
                <w:b/>
                <w:bCs/>
                <w:color w:val="000000"/>
                <w:sz w:val="18"/>
                <w:szCs w:val="18"/>
                <w:lang w:eastAsia="en-GB"/>
              </w:rPr>
              <w:t>ost</w:t>
            </w:r>
            <w:r w:rsidR="00E5292B">
              <w:rPr>
                <w:rFonts w:eastAsia="Times New Roman" w:cstheme="minorHAnsi"/>
                <w:b/>
                <w:bCs/>
                <w:color w:val="000000"/>
                <w:sz w:val="18"/>
                <w:szCs w:val="18"/>
                <w:lang w:eastAsia="en-GB"/>
              </w:rPr>
              <w:t xml:space="preserve"> </w:t>
            </w:r>
            <w:r w:rsidR="00E5292B" w:rsidRPr="00E5292B">
              <w:rPr>
                <w:rFonts w:eastAsia="Times New Roman" w:cstheme="minorHAnsi"/>
                <w:b/>
                <w:bCs/>
                <w:color w:val="000000"/>
                <w:lang w:eastAsia="en-GB"/>
              </w:rPr>
              <w:t>(</w:t>
            </w:r>
            <w:r w:rsidR="00E5292B" w:rsidRPr="00E5292B">
              <w:rPr>
                <w:rFonts w:cstheme="minorHAnsi"/>
                <w:b/>
                <w:lang w:val="es-CL"/>
              </w:rPr>
              <w:t>£</w:t>
            </w:r>
            <w:r w:rsidR="00E5292B" w:rsidRPr="00E5292B">
              <w:rPr>
                <w:rFonts w:eastAsia="Times New Roman" w:cstheme="minorHAnsi"/>
                <w:b/>
                <w:bCs/>
                <w:color w:val="000000"/>
                <w:lang w:eastAsia="en-GB"/>
              </w:rPr>
              <w:t>)</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0208020N0AAAAAA</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Phenindione_Tab</w:t>
            </w:r>
            <w:proofErr w:type="spellEnd"/>
            <w:r w:rsidRPr="00CD6D89">
              <w:rPr>
                <w:rFonts w:eastAsia="Times New Roman" w:cstheme="minorHAnsi"/>
                <w:color w:val="000000"/>
                <w:sz w:val="18"/>
                <w:szCs w:val="18"/>
                <w:lang w:eastAsia="en-GB"/>
              </w:rPr>
              <w:t xml:space="preserve"> 10mg</w:t>
            </w:r>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5</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490.15</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0908010C0AAAGAG</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Levocarnitine_Oral</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Soln</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Paed</w:t>
            </w:r>
            <w:proofErr w:type="spellEnd"/>
            <w:r w:rsidRPr="00CD6D89">
              <w:rPr>
                <w:rFonts w:eastAsia="Times New Roman" w:cstheme="minorHAnsi"/>
                <w:color w:val="000000"/>
                <w:sz w:val="18"/>
                <w:szCs w:val="18"/>
                <w:lang w:eastAsia="en-GB"/>
              </w:rPr>
              <w:t xml:space="preserve"> 1.5g/5ml</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4</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105.39</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0605010S0BBAJAT</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Genotropin_Inj</w:t>
            </w:r>
            <w:proofErr w:type="spellEnd"/>
            <w:r w:rsidRPr="00CD6D89">
              <w:rPr>
                <w:rFonts w:eastAsia="Times New Roman" w:cstheme="minorHAnsi"/>
                <w:color w:val="000000"/>
                <w:sz w:val="18"/>
                <w:szCs w:val="18"/>
                <w:lang w:eastAsia="en-GB"/>
              </w:rPr>
              <w:t xml:space="preserve"> 12mg Cart + </w:t>
            </w:r>
            <w:proofErr w:type="spellStart"/>
            <w:r w:rsidRPr="00CD6D89">
              <w:rPr>
                <w:rFonts w:eastAsia="Times New Roman" w:cstheme="minorHAnsi"/>
                <w:color w:val="000000"/>
                <w:sz w:val="18"/>
                <w:szCs w:val="18"/>
                <w:lang w:eastAsia="en-GB"/>
              </w:rPr>
              <w:t>Dil</w:t>
            </w:r>
            <w:proofErr w:type="spellEnd"/>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3</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870.03</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0602010M0AAAAAA</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Liothyronine</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Sod_Tab</w:t>
            </w:r>
            <w:proofErr w:type="spellEnd"/>
            <w:r w:rsidRPr="00CD6D89">
              <w:rPr>
                <w:rFonts w:eastAsia="Times New Roman" w:cstheme="minorHAnsi"/>
                <w:color w:val="000000"/>
                <w:sz w:val="18"/>
                <w:szCs w:val="18"/>
                <w:lang w:eastAsia="en-GB"/>
              </w:rPr>
              <w:t xml:space="preserve"> 20mcg</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3</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660.46</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0401010T0AAAEAE</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Temazepam_Oral</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Soln</w:t>
            </w:r>
            <w:proofErr w:type="spellEnd"/>
            <w:r w:rsidRPr="00CD6D89">
              <w:rPr>
                <w:rFonts w:eastAsia="Times New Roman" w:cstheme="minorHAnsi"/>
                <w:color w:val="000000"/>
                <w:sz w:val="18"/>
                <w:szCs w:val="18"/>
                <w:lang w:eastAsia="en-GB"/>
              </w:rPr>
              <w:t xml:space="preserve"> 10mg/5ml S/F</w:t>
            </w:r>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3</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142.76</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0407020H0AAABAB</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proofErr w:type="spellStart"/>
            <w:r w:rsidRPr="00CD6D89">
              <w:rPr>
                <w:rFonts w:eastAsia="Times New Roman" w:cstheme="minorHAnsi"/>
                <w:color w:val="000000"/>
                <w:sz w:val="18"/>
                <w:szCs w:val="18"/>
                <w:lang w:eastAsia="en-GB"/>
              </w:rPr>
              <w:t>Dipipanone</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HCl</w:t>
            </w:r>
            <w:proofErr w:type="spellEnd"/>
            <w:r w:rsidRPr="00CD6D89">
              <w:rPr>
                <w:rFonts w:eastAsia="Times New Roman" w:cstheme="minorHAnsi"/>
                <w:color w:val="000000"/>
                <w:sz w:val="18"/>
                <w:szCs w:val="18"/>
                <w:lang w:eastAsia="en-GB"/>
              </w:rPr>
              <w:t>/</w:t>
            </w:r>
            <w:proofErr w:type="spellStart"/>
            <w:r w:rsidRPr="00CD6D89">
              <w:rPr>
                <w:rFonts w:eastAsia="Times New Roman" w:cstheme="minorHAnsi"/>
                <w:color w:val="000000"/>
                <w:sz w:val="18"/>
                <w:szCs w:val="18"/>
                <w:lang w:eastAsia="en-GB"/>
              </w:rPr>
              <w:t>Cyclizine</w:t>
            </w:r>
            <w:proofErr w:type="spellEnd"/>
            <w:r w:rsidRPr="00CD6D89">
              <w:rPr>
                <w:rFonts w:eastAsia="Times New Roman" w:cstheme="minorHAnsi"/>
                <w:color w:val="000000"/>
                <w:sz w:val="18"/>
                <w:szCs w:val="18"/>
                <w:lang w:eastAsia="en-GB"/>
              </w:rPr>
              <w:t xml:space="preserve"> </w:t>
            </w:r>
            <w:proofErr w:type="spellStart"/>
            <w:r w:rsidRPr="00CD6D89">
              <w:rPr>
                <w:rFonts w:eastAsia="Times New Roman" w:cstheme="minorHAnsi"/>
                <w:color w:val="000000"/>
                <w:sz w:val="18"/>
                <w:szCs w:val="18"/>
                <w:lang w:eastAsia="en-GB"/>
              </w:rPr>
              <w:t>HCl_Tab</w:t>
            </w:r>
            <w:proofErr w:type="spellEnd"/>
            <w:r w:rsidRPr="00CD6D89">
              <w:rPr>
                <w:rFonts w:eastAsia="Times New Roman" w:cstheme="minorHAnsi"/>
                <w:color w:val="000000"/>
                <w:sz w:val="18"/>
                <w:szCs w:val="18"/>
                <w:lang w:eastAsia="en-GB"/>
              </w:rPr>
              <w:t xml:space="preserve"> 10/30mg</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867.73</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0605010S0BEAEBA</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val="es-CL" w:eastAsia="en-GB"/>
              </w:rPr>
            </w:pPr>
            <w:proofErr w:type="spellStart"/>
            <w:r w:rsidRPr="00CD6D89">
              <w:rPr>
                <w:rFonts w:eastAsia="Times New Roman" w:cstheme="minorHAnsi"/>
                <w:color w:val="000000"/>
                <w:sz w:val="18"/>
                <w:szCs w:val="18"/>
                <w:lang w:val="es-CL" w:eastAsia="en-GB"/>
              </w:rPr>
              <w:t>Norditropin</w:t>
            </w:r>
            <w:proofErr w:type="spellEnd"/>
            <w:r w:rsidRPr="00CD6D89">
              <w:rPr>
                <w:rFonts w:eastAsia="Times New Roman" w:cstheme="minorHAnsi"/>
                <w:color w:val="000000"/>
                <w:sz w:val="18"/>
                <w:szCs w:val="18"/>
                <w:lang w:val="es-CL" w:eastAsia="en-GB"/>
              </w:rPr>
              <w:t xml:space="preserve"> </w:t>
            </w:r>
            <w:proofErr w:type="spellStart"/>
            <w:r w:rsidRPr="00CD6D89">
              <w:rPr>
                <w:rFonts w:eastAsia="Times New Roman" w:cstheme="minorHAnsi"/>
                <w:color w:val="000000"/>
                <w:sz w:val="18"/>
                <w:szCs w:val="18"/>
                <w:lang w:val="es-CL" w:eastAsia="en-GB"/>
              </w:rPr>
              <w:t>SimpleXx_Inj</w:t>
            </w:r>
            <w:proofErr w:type="spellEnd"/>
            <w:r w:rsidRPr="00CD6D89">
              <w:rPr>
                <w:rFonts w:eastAsia="Times New Roman" w:cstheme="minorHAnsi"/>
                <w:color w:val="000000"/>
                <w:sz w:val="18"/>
                <w:szCs w:val="18"/>
                <w:lang w:val="es-CL" w:eastAsia="en-GB"/>
              </w:rPr>
              <w:t xml:space="preserve"> 30u 10mg/1.5ml</w:t>
            </w:r>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761.6</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0605010S0BEAEBA</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val="es-CL" w:eastAsia="en-GB"/>
              </w:rPr>
            </w:pPr>
            <w:proofErr w:type="spellStart"/>
            <w:r w:rsidRPr="00CD6D89">
              <w:rPr>
                <w:rFonts w:eastAsia="Times New Roman" w:cstheme="minorHAnsi"/>
                <w:color w:val="000000"/>
                <w:sz w:val="18"/>
                <w:szCs w:val="18"/>
                <w:lang w:val="es-CL" w:eastAsia="en-GB"/>
              </w:rPr>
              <w:t>Norditropin</w:t>
            </w:r>
            <w:proofErr w:type="spellEnd"/>
            <w:r w:rsidRPr="00CD6D89">
              <w:rPr>
                <w:rFonts w:eastAsia="Times New Roman" w:cstheme="minorHAnsi"/>
                <w:color w:val="000000"/>
                <w:sz w:val="18"/>
                <w:szCs w:val="18"/>
                <w:lang w:val="es-CL" w:eastAsia="en-GB"/>
              </w:rPr>
              <w:t xml:space="preserve"> </w:t>
            </w:r>
            <w:proofErr w:type="spellStart"/>
            <w:r w:rsidRPr="00CD6D89">
              <w:rPr>
                <w:rFonts w:eastAsia="Times New Roman" w:cstheme="minorHAnsi"/>
                <w:color w:val="000000"/>
                <w:sz w:val="18"/>
                <w:szCs w:val="18"/>
                <w:lang w:val="es-CL" w:eastAsia="en-GB"/>
              </w:rPr>
              <w:t>SimpleXx_Inj</w:t>
            </w:r>
            <w:proofErr w:type="spellEnd"/>
            <w:r w:rsidRPr="00CD6D89">
              <w:rPr>
                <w:rFonts w:eastAsia="Times New Roman" w:cstheme="minorHAnsi"/>
                <w:color w:val="000000"/>
                <w:sz w:val="18"/>
                <w:szCs w:val="18"/>
                <w:lang w:val="es-CL" w:eastAsia="en-GB"/>
              </w:rPr>
              <w:t xml:space="preserve"> 30u 10mg/1.5ml</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761.6</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0403020Q0AAAAAA</w:t>
            </w:r>
          </w:p>
        </w:tc>
        <w:tc>
          <w:tcPr>
            <w:tcW w:w="3840"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 xml:space="preserve">Tranylcypromine </w:t>
            </w:r>
            <w:proofErr w:type="spellStart"/>
            <w:r w:rsidRPr="00CD6D89">
              <w:rPr>
                <w:rFonts w:eastAsia="Times New Roman" w:cstheme="minorHAnsi"/>
                <w:color w:val="000000"/>
                <w:sz w:val="18"/>
                <w:szCs w:val="18"/>
                <w:lang w:eastAsia="en-GB"/>
              </w:rPr>
              <w:t>Sulf_Tab</w:t>
            </w:r>
            <w:proofErr w:type="spellEnd"/>
            <w:r w:rsidRPr="00CD6D89">
              <w:rPr>
                <w:rFonts w:eastAsia="Times New Roman" w:cstheme="minorHAnsi"/>
                <w:color w:val="000000"/>
                <w:sz w:val="18"/>
                <w:szCs w:val="18"/>
                <w:lang w:eastAsia="en-GB"/>
              </w:rPr>
              <w:t xml:space="preserve"> 10mg</w:t>
            </w:r>
          </w:p>
        </w:tc>
        <w:tc>
          <w:tcPr>
            <w:tcW w:w="636"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5F5F5"/>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687.59</w:t>
            </w:r>
          </w:p>
        </w:tc>
      </w:tr>
      <w:tr w:rsidR="00CD6D89" w:rsidRPr="00CD6D89" w:rsidTr="00E5292B">
        <w:trPr>
          <w:trHeight w:val="300"/>
          <w:jc w:val="center"/>
        </w:trPr>
        <w:tc>
          <w:tcPr>
            <w:tcW w:w="1780" w:type="dxa"/>
            <w:tcBorders>
              <w:top w:val="nil"/>
              <w:left w:val="single" w:sz="4" w:space="0" w:color="auto"/>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0802040AKAAABAB</w:t>
            </w:r>
          </w:p>
        </w:tc>
        <w:tc>
          <w:tcPr>
            <w:tcW w:w="3840"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val="es-CL" w:eastAsia="en-GB"/>
              </w:rPr>
            </w:pPr>
            <w:proofErr w:type="spellStart"/>
            <w:r w:rsidRPr="00CD6D89">
              <w:rPr>
                <w:rFonts w:eastAsia="Times New Roman" w:cstheme="minorHAnsi"/>
                <w:color w:val="000000"/>
                <w:sz w:val="18"/>
                <w:szCs w:val="18"/>
                <w:lang w:val="es-CL" w:eastAsia="en-GB"/>
              </w:rPr>
              <w:t>Dimethyl</w:t>
            </w:r>
            <w:proofErr w:type="spellEnd"/>
            <w:r w:rsidRPr="00CD6D89">
              <w:rPr>
                <w:rFonts w:eastAsia="Times New Roman" w:cstheme="minorHAnsi"/>
                <w:color w:val="000000"/>
                <w:sz w:val="18"/>
                <w:szCs w:val="18"/>
                <w:lang w:val="es-CL" w:eastAsia="en-GB"/>
              </w:rPr>
              <w:t xml:space="preserve"> </w:t>
            </w:r>
            <w:proofErr w:type="spellStart"/>
            <w:r w:rsidRPr="00CD6D89">
              <w:rPr>
                <w:rFonts w:eastAsia="Times New Roman" w:cstheme="minorHAnsi"/>
                <w:color w:val="000000"/>
                <w:sz w:val="18"/>
                <w:szCs w:val="18"/>
                <w:lang w:val="es-CL" w:eastAsia="en-GB"/>
              </w:rPr>
              <w:t>Fumar_Cap</w:t>
            </w:r>
            <w:proofErr w:type="spellEnd"/>
            <w:r w:rsidRPr="00CD6D89">
              <w:rPr>
                <w:rFonts w:eastAsia="Times New Roman" w:cstheme="minorHAnsi"/>
                <w:color w:val="000000"/>
                <w:sz w:val="18"/>
                <w:szCs w:val="18"/>
                <w:lang w:val="es-CL" w:eastAsia="en-GB"/>
              </w:rPr>
              <w:t xml:space="preserve"> E/C 240mg</w:t>
            </w:r>
          </w:p>
        </w:tc>
        <w:tc>
          <w:tcPr>
            <w:tcW w:w="636"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1</w:t>
            </w:r>
          </w:p>
        </w:tc>
        <w:tc>
          <w:tcPr>
            <w:tcW w:w="969" w:type="dxa"/>
            <w:tcBorders>
              <w:top w:val="nil"/>
              <w:left w:val="nil"/>
              <w:bottom w:val="single" w:sz="4" w:space="0" w:color="auto"/>
              <w:right w:val="single" w:sz="4" w:space="0" w:color="auto"/>
            </w:tcBorders>
            <w:shd w:val="clear" w:color="000000" w:fill="FFFFFF"/>
            <w:noWrap/>
            <w:vAlign w:val="center"/>
            <w:hideMark/>
          </w:tcPr>
          <w:p w:rsidR="00CD6D89" w:rsidRPr="00CD6D89" w:rsidRDefault="00CD6D89" w:rsidP="00CD6D89">
            <w:pPr>
              <w:spacing w:after="0" w:line="240" w:lineRule="auto"/>
              <w:jc w:val="center"/>
              <w:rPr>
                <w:rFonts w:eastAsia="Times New Roman" w:cstheme="minorHAnsi"/>
                <w:color w:val="000000"/>
                <w:sz w:val="18"/>
                <w:szCs w:val="18"/>
                <w:lang w:eastAsia="en-GB"/>
              </w:rPr>
            </w:pPr>
            <w:r w:rsidRPr="00CD6D89">
              <w:rPr>
                <w:rFonts w:eastAsia="Times New Roman" w:cstheme="minorHAnsi"/>
                <w:color w:val="000000"/>
                <w:sz w:val="18"/>
                <w:szCs w:val="18"/>
                <w:lang w:eastAsia="en-GB"/>
              </w:rPr>
              <w:t>2</w:t>
            </w:r>
            <w:r w:rsidR="00E5292B">
              <w:rPr>
                <w:rFonts w:eastAsia="Times New Roman" w:cstheme="minorHAnsi"/>
                <w:color w:val="000000"/>
                <w:sz w:val="18"/>
                <w:szCs w:val="18"/>
                <w:lang w:eastAsia="en-GB"/>
              </w:rPr>
              <w:t>,</w:t>
            </w:r>
            <w:r w:rsidRPr="00CD6D89">
              <w:rPr>
                <w:rFonts w:eastAsia="Times New Roman" w:cstheme="minorHAnsi"/>
                <w:color w:val="000000"/>
                <w:sz w:val="18"/>
                <w:szCs w:val="18"/>
                <w:lang w:eastAsia="en-GB"/>
              </w:rPr>
              <w:t>546.63</w:t>
            </w:r>
          </w:p>
        </w:tc>
      </w:tr>
    </w:tbl>
    <w:p w:rsidR="00CD6D89" w:rsidRPr="00386F51" w:rsidRDefault="00CD6D89" w:rsidP="00925787">
      <w:pPr>
        <w:ind w:firstLine="720"/>
        <w:jc w:val="both"/>
        <w:rPr>
          <w:rFonts w:cstheme="minorHAnsi"/>
        </w:rPr>
      </w:pPr>
    </w:p>
    <w:p w:rsidR="007960E6" w:rsidRDefault="007960E6" w:rsidP="00251ACC">
      <w:pPr>
        <w:jc w:val="both"/>
        <w:rPr>
          <w:b/>
          <w:i/>
        </w:rPr>
      </w:pPr>
      <w:r w:rsidRPr="00E5292B">
        <w:rPr>
          <w:b/>
          <w:i/>
        </w:rPr>
        <w:t xml:space="preserve">Question </w:t>
      </w:r>
      <w:r w:rsidR="00AA5E83">
        <w:rPr>
          <w:b/>
          <w:i/>
        </w:rPr>
        <w:t>A.</w:t>
      </w:r>
      <w:r w:rsidRPr="00E5292B">
        <w:rPr>
          <w:b/>
          <w:i/>
        </w:rPr>
        <w:t>2</w:t>
      </w:r>
    </w:p>
    <w:p w:rsidR="00E5292B" w:rsidRDefault="00E5292B" w:rsidP="00251ACC">
      <w:pPr>
        <w:jc w:val="both"/>
      </w:pPr>
      <w:r>
        <w:tab/>
        <w:t xml:space="preserve">For Cambridge the same data cleaning and filtering protocol was followed. For this city, a </w:t>
      </w:r>
      <w:r w:rsidRPr="00E5292B">
        <w:t xml:space="preserve"> merge of "City" and "Area" data </w:t>
      </w:r>
      <w:r>
        <w:t>is not necessary</w:t>
      </w:r>
      <w:r w:rsidRPr="00E5292B">
        <w:t xml:space="preserve"> as </w:t>
      </w:r>
      <w:r>
        <w:t>the one done</w:t>
      </w:r>
      <w:r w:rsidRPr="00E5292B">
        <w:t xml:space="preserve"> for London, since there are big number </w:t>
      </w:r>
      <w:r>
        <w:t xml:space="preserve">of practices </w:t>
      </w:r>
      <w:r w:rsidRPr="00E5292B">
        <w:t>that are from Cambridgeshire but a</w:t>
      </w:r>
      <w:r>
        <w:t>ren't in the city of Cambridge, resulting in data for 35 practices in total.</w:t>
      </w:r>
      <w:r w:rsidR="00A3251B">
        <w:t xml:space="preserve"> From this data, it was possible to link the patients registered data to 30 practices. Reasons for this missing data are the same as noted in the previous question.</w:t>
      </w:r>
    </w:p>
    <w:p w:rsidR="00275396" w:rsidRDefault="00275396" w:rsidP="00275396">
      <w:pPr>
        <w:ind w:firstLine="720"/>
        <w:jc w:val="both"/>
      </w:pPr>
      <w:r>
        <w:t>The describe function of tells us the following basic statistics about Cambridge practices:</w:t>
      </w:r>
    </w:p>
    <w:p w:rsidR="00275396" w:rsidRDefault="00275396" w:rsidP="00275396">
      <w:pPr>
        <w:ind w:left="720" w:firstLine="720"/>
        <w:jc w:val="both"/>
      </w:pPr>
      <w:r>
        <w:t xml:space="preserve">-The average number of patients per practice in Cambridge is </w:t>
      </w:r>
      <w:r w:rsidRPr="00275396">
        <w:t>10,029</w:t>
      </w:r>
      <w:r>
        <w:t>.</w:t>
      </w:r>
    </w:p>
    <w:p w:rsidR="00275396" w:rsidRDefault="00275396" w:rsidP="00275396">
      <w:pPr>
        <w:ind w:left="720" w:firstLine="720"/>
        <w:jc w:val="both"/>
      </w:pPr>
      <w:r>
        <w:t xml:space="preserve">-The practice with the least patients has </w:t>
      </w:r>
      <w:r w:rsidRPr="00275396">
        <w:t>568</w:t>
      </w:r>
      <w:r>
        <w:t xml:space="preserve"> registered.</w:t>
      </w:r>
    </w:p>
    <w:p w:rsidR="00275396" w:rsidRDefault="00275396" w:rsidP="00275396">
      <w:pPr>
        <w:ind w:left="1440"/>
        <w:jc w:val="both"/>
      </w:pPr>
      <w:r>
        <w:t xml:space="preserve">-The maximum number of patients in a practice is </w:t>
      </w:r>
      <w:r w:rsidRPr="00275396">
        <w:t>33,501</w:t>
      </w:r>
      <w:r>
        <w:t>. This could be an outlier from the data reported incorrectly.</w:t>
      </w:r>
    </w:p>
    <w:p w:rsidR="00275396" w:rsidRDefault="00275396" w:rsidP="00275396">
      <w:pPr>
        <w:ind w:left="720" w:firstLine="720"/>
        <w:jc w:val="both"/>
      </w:pPr>
      <w:r>
        <w:t xml:space="preserve">-The median number tells us that half of the practices have more than </w:t>
      </w:r>
      <w:r w:rsidRPr="00275396">
        <w:t xml:space="preserve">8,760 </w:t>
      </w:r>
      <w:r>
        <w:t>patients.</w:t>
      </w:r>
    </w:p>
    <w:p w:rsidR="00275396" w:rsidRDefault="00275396" w:rsidP="00275396">
      <w:pPr>
        <w:ind w:left="720" w:firstLine="720"/>
        <w:jc w:val="both"/>
      </w:pPr>
      <w:r>
        <w:t xml:space="preserve">-The smallest quartile has less than </w:t>
      </w:r>
      <w:r w:rsidRPr="00275396">
        <w:t xml:space="preserve">6,054 </w:t>
      </w:r>
      <w:r>
        <w:t>patients.</w:t>
      </w:r>
    </w:p>
    <w:p w:rsidR="00275396" w:rsidRDefault="00275396" w:rsidP="00275396">
      <w:pPr>
        <w:ind w:left="720" w:firstLine="720"/>
        <w:jc w:val="both"/>
      </w:pPr>
      <w:r>
        <w:t xml:space="preserve">-The biggest quartile has at least </w:t>
      </w:r>
      <w:r w:rsidRPr="00275396">
        <w:t xml:space="preserve">12,230 </w:t>
      </w:r>
      <w:r>
        <w:t>patients.</w:t>
      </w:r>
    </w:p>
    <w:p w:rsidR="00275396" w:rsidRDefault="00275396" w:rsidP="00275396">
      <w:pPr>
        <w:ind w:firstLine="720"/>
        <w:jc w:val="both"/>
      </w:pPr>
      <w:r w:rsidRPr="00275396">
        <w:t xml:space="preserve">It is interesting to note that </w:t>
      </w:r>
      <w:r w:rsidR="00AD4F59">
        <w:t>some of</w:t>
      </w:r>
      <w:r w:rsidRPr="00275396">
        <w:t xml:space="preserve"> these numbers are higher for Cambridge than for London</w:t>
      </w:r>
      <w:r w:rsidR="00DF7E2C">
        <w:t xml:space="preserve"> (i.e. average items prescribed and maximum)</w:t>
      </w:r>
      <w:r w:rsidRPr="00275396">
        <w:t>, suggesting that there is a higher pressure by the Cambridge population on the primary care servi</w:t>
      </w:r>
      <w:r w:rsidR="009E252B">
        <w:t xml:space="preserve">ces, due to a lack of practices, and possibly healthcare </w:t>
      </w:r>
      <w:r w:rsidR="009E252B">
        <w:lastRenderedPageBreak/>
        <w:t xml:space="preserve">professionals, </w:t>
      </w:r>
      <w:r w:rsidRPr="00275396">
        <w:t>relative to the city populatio</w:t>
      </w:r>
      <w:r w:rsidR="00DF7E2C">
        <w:t>n, even though the item count for London is over ten times the one for Cambridge.</w:t>
      </w:r>
    </w:p>
    <w:p w:rsidR="009E252B" w:rsidRDefault="005E65C8" w:rsidP="009E252B">
      <w:pPr>
        <w:ind w:firstLine="720"/>
      </w:pPr>
      <w:r w:rsidRPr="005E65C8">
        <w:rPr>
          <w:rFonts w:cstheme="minorHAnsi"/>
          <w:color w:val="000000"/>
        </w:rPr>
        <w:t>The number of all patients in Cambridge registered to a practice is 300,885.</w:t>
      </w:r>
      <w:r w:rsidR="009E252B">
        <w:rPr>
          <w:rFonts w:cstheme="minorHAnsi"/>
          <w:color w:val="000000"/>
        </w:rPr>
        <w:t xml:space="preserve"> </w:t>
      </w:r>
      <w:r w:rsidR="009E252B">
        <w:tab/>
      </w:r>
    </w:p>
    <w:p w:rsidR="009E252B" w:rsidRPr="00B90C1A" w:rsidRDefault="009E252B" w:rsidP="00B90C1A">
      <w:pPr>
        <w:ind w:left="1440"/>
        <w:rPr>
          <w:rFonts w:cstheme="minorHAnsi"/>
        </w:rPr>
      </w:pPr>
      <w:r w:rsidRPr="00B90C1A">
        <w:rPr>
          <w:rFonts w:cstheme="minorHAnsi"/>
        </w:rPr>
        <w:t xml:space="preserve">-For Cambridge, the total number of prescriptions given by practices was 331,388. </w:t>
      </w:r>
    </w:p>
    <w:p w:rsidR="009E252B" w:rsidRPr="00B90C1A" w:rsidRDefault="009E252B" w:rsidP="009E252B">
      <w:pPr>
        <w:ind w:left="720" w:firstLine="720"/>
        <w:rPr>
          <w:rFonts w:cstheme="minorHAnsi"/>
        </w:rPr>
      </w:pPr>
      <w:r w:rsidRPr="00B90C1A">
        <w:rPr>
          <w:rFonts w:cstheme="minorHAnsi"/>
        </w:rPr>
        <w:t xml:space="preserve">-The average item was prescribed </w:t>
      </w:r>
      <w:r w:rsidRPr="00B90C1A">
        <w:rPr>
          <w:rFonts w:cstheme="minorHAnsi"/>
          <w:shd w:val="clear" w:color="auto" w:fill="FFFFFF"/>
        </w:rPr>
        <w:t xml:space="preserve">8.5 </w:t>
      </w:r>
      <w:r w:rsidRPr="00B90C1A">
        <w:rPr>
          <w:rFonts w:cstheme="minorHAnsi"/>
        </w:rPr>
        <w:t xml:space="preserve">times. </w:t>
      </w:r>
    </w:p>
    <w:p w:rsidR="009E252B" w:rsidRPr="00B90C1A" w:rsidRDefault="009E252B" w:rsidP="009E252B">
      <w:pPr>
        <w:ind w:left="720" w:firstLine="720"/>
        <w:rPr>
          <w:rFonts w:cstheme="minorHAnsi"/>
        </w:rPr>
      </w:pPr>
      <w:r w:rsidRPr="00B90C1A">
        <w:rPr>
          <w:rFonts w:cstheme="minorHAnsi"/>
        </w:rPr>
        <w:t xml:space="preserve">-The item most prescribed was done </w:t>
      </w:r>
      <w:r w:rsidRPr="00B90C1A">
        <w:rPr>
          <w:rFonts w:cstheme="minorHAnsi"/>
          <w:shd w:val="clear" w:color="auto" w:fill="FFFFFF"/>
        </w:rPr>
        <w:t>2,087</w:t>
      </w:r>
      <w:r w:rsidR="00B90C1A">
        <w:rPr>
          <w:rFonts w:cstheme="minorHAnsi"/>
          <w:shd w:val="clear" w:color="auto" w:fill="FFFFFF"/>
        </w:rPr>
        <w:t xml:space="preserve"> </w:t>
      </w:r>
      <w:r w:rsidRPr="00B90C1A">
        <w:rPr>
          <w:rFonts w:cstheme="minorHAnsi"/>
        </w:rPr>
        <w:t xml:space="preserve">times. </w:t>
      </w:r>
    </w:p>
    <w:p w:rsidR="009E252B" w:rsidRPr="00B90C1A" w:rsidRDefault="009E252B" w:rsidP="009E252B">
      <w:pPr>
        <w:ind w:left="1440"/>
        <w:rPr>
          <w:rFonts w:cstheme="minorHAnsi"/>
        </w:rPr>
      </w:pPr>
      <w:r w:rsidRPr="00B90C1A">
        <w:rPr>
          <w:rFonts w:cstheme="minorHAnsi"/>
        </w:rPr>
        <w:t xml:space="preserve">-The average </w:t>
      </w:r>
      <w:r w:rsidR="00B90C1A" w:rsidRPr="00B90C1A">
        <w:rPr>
          <w:rFonts w:cstheme="minorHAnsi"/>
        </w:rPr>
        <w:t xml:space="preserve">actual </w:t>
      </w:r>
      <w:r w:rsidRPr="00B90C1A">
        <w:rPr>
          <w:rFonts w:cstheme="minorHAnsi"/>
        </w:rPr>
        <w:t xml:space="preserve">cost of the drugs prescribed in </w:t>
      </w:r>
      <w:r w:rsidR="00281384">
        <w:rPr>
          <w:rFonts w:cstheme="minorHAnsi"/>
        </w:rPr>
        <w:t>Cambridge</w:t>
      </w:r>
      <w:r w:rsidRPr="00B90C1A">
        <w:rPr>
          <w:rFonts w:cstheme="minorHAnsi"/>
        </w:rPr>
        <w:t xml:space="preserve"> was £</w:t>
      </w:r>
      <w:r w:rsidRPr="00B90C1A">
        <w:rPr>
          <w:rFonts w:cstheme="minorHAnsi"/>
          <w:shd w:val="clear" w:color="auto" w:fill="FFFFFF"/>
        </w:rPr>
        <w:t>60.31</w:t>
      </w:r>
      <w:r w:rsidRPr="00B90C1A">
        <w:rPr>
          <w:rFonts w:cstheme="minorHAnsi"/>
        </w:rPr>
        <w:t>, with the most expensive costing £</w:t>
      </w:r>
      <w:r w:rsidR="00B90C1A" w:rsidRPr="00B90C1A">
        <w:rPr>
          <w:rFonts w:cstheme="minorHAnsi"/>
          <w:shd w:val="clear" w:color="auto" w:fill="FFFFFF"/>
        </w:rPr>
        <w:t>8,099</w:t>
      </w:r>
      <w:r w:rsidRPr="00B90C1A">
        <w:rPr>
          <w:rFonts w:cstheme="minorHAnsi"/>
        </w:rPr>
        <w:t xml:space="preserve">. This could be an </w:t>
      </w:r>
      <w:r w:rsidRPr="00281384">
        <w:rPr>
          <w:rFonts w:cstheme="minorHAnsi"/>
        </w:rPr>
        <w:t>outlier</w:t>
      </w:r>
      <w:r w:rsidRPr="00B90C1A">
        <w:rPr>
          <w:rFonts w:cstheme="minorHAnsi"/>
        </w:rPr>
        <w:t>.</w:t>
      </w:r>
    </w:p>
    <w:p w:rsidR="005E65C8" w:rsidRDefault="009E252B" w:rsidP="00B90C1A">
      <w:pPr>
        <w:ind w:left="1440"/>
        <w:jc w:val="both"/>
        <w:rPr>
          <w:rFonts w:cstheme="minorHAnsi"/>
        </w:rPr>
      </w:pPr>
      <w:r w:rsidRPr="00B90C1A">
        <w:rPr>
          <w:rFonts w:cstheme="minorHAnsi"/>
        </w:rPr>
        <w:t>-</w:t>
      </w:r>
      <w:r w:rsidR="00B90C1A" w:rsidRPr="00B90C1A">
        <w:rPr>
          <w:rFonts w:cstheme="minorHAnsi"/>
        </w:rPr>
        <w:t>For Cambridge, the total cost of the prescriptions given by practices was £65,134,534.</w:t>
      </w:r>
    </w:p>
    <w:p w:rsidR="00DF7E2C" w:rsidRDefault="00DF7E2C" w:rsidP="00DF7E2C">
      <w:pPr>
        <w:ind w:firstLine="720"/>
        <w:jc w:val="both"/>
      </w:pPr>
      <w:r>
        <w:rPr>
          <w:rFonts w:cstheme="minorHAnsi"/>
        </w:rPr>
        <w:t xml:space="preserve">The ten most prescribed drugs in Cambridge are reported in table 3. </w:t>
      </w:r>
      <w:r w:rsidRPr="00764115">
        <w:t>There are drugs usually prescribed for high blood pressure and CVD (</w:t>
      </w:r>
      <w:r w:rsidRPr="00764115">
        <w:rPr>
          <w:lang w:eastAsia="en-GB"/>
        </w:rPr>
        <w:t>Amlodipine</w:t>
      </w:r>
      <w:r w:rsidRPr="00764115">
        <w:t xml:space="preserve">, </w:t>
      </w:r>
      <w:r w:rsidR="001A125B" w:rsidRPr="001A125B">
        <w:rPr>
          <w:lang w:eastAsia="en-GB"/>
        </w:rPr>
        <w:t>Simvastatin</w:t>
      </w:r>
      <w:r w:rsidR="001A125B">
        <w:t>)</w:t>
      </w:r>
      <w:r w:rsidRPr="00764115">
        <w:t>, and the widely used analgesic</w:t>
      </w:r>
      <w:r w:rsidR="001A125B">
        <w:t>s</w:t>
      </w:r>
      <w:r w:rsidRPr="00764115">
        <w:t xml:space="preserve"> </w:t>
      </w:r>
      <w:r w:rsidR="001A125B">
        <w:t xml:space="preserve">Aspirin and </w:t>
      </w:r>
      <w:proofErr w:type="spellStart"/>
      <w:r w:rsidR="001A125B">
        <w:t>Paracetamol</w:t>
      </w:r>
      <w:proofErr w:type="spellEnd"/>
      <w:r w:rsidR="001A125B">
        <w:t xml:space="preserve">, the </w:t>
      </w:r>
      <w:proofErr w:type="spellStart"/>
      <w:r w:rsidR="001A125B" w:rsidRPr="00DF7E2C">
        <w:rPr>
          <w:rFonts w:eastAsia="Times New Roman" w:cstheme="minorHAnsi"/>
          <w:color w:val="000000"/>
          <w:szCs w:val="18"/>
          <w:lang w:eastAsia="en-GB"/>
        </w:rPr>
        <w:t>Levothyrox</w:t>
      </w:r>
      <w:proofErr w:type="spellEnd"/>
      <w:r w:rsidR="001A125B">
        <w:rPr>
          <w:rFonts w:eastAsia="Times New Roman" w:cstheme="minorHAnsi"/>
          <w:color w:val="000000"/>
          <w:szCs w:val="18"/>
          <w:lang w:eastAsia="en-GB"/>
        </w:rPr>
        <w:t xml:space="preserve"> for thyroid gland issues, and </w:t>
      </w:r>
      <w:r w:rsidR="001A125B" w:rsidRPr="001A125B">
        <w:rPr>
          <w:rFonts w:eastAsia="Times New Roman" w:cstheme="minorHAnsi"/>
          <w:color w:val="000000"/>
          <w:szCs w:val="18"/>
          <w:lang w:eastAsia="en-GB"/>
        </w:rPr>
        <w:t>Omeprazole</w:t>
      </w:r>
      <w:r w:rsidR="001A125B">
        <w:rPr>
          <w:rFonts w:eastAsia="Times New Roman" w:cstheme="minorHAnsi"/>
          <w:color w:val="000000"/>
          <w:szCs w:val="18"/>
          <w:lang w:eastAsia="en-GB"/>
        </w:rPr>
        <w:t xml:space="preserve"> for digestive issues.</w:t>
      </w:r>
    </w:p>
    <w:p w:rsidR="00DF7E2C" w:rsidRDefault="00DF7E2C" w:rsidP="00DF7E2C">
      <w:pPr>
        <w:jc w:val="both"/>
        <w:rPr>
          <w:rFonts w:cstheme="minorHAnsi"/>
        </w:rPr>
      </w:pPr>
      <w:r>
        <w:rPr>
          <w:rFonts w:cstheme="minorHAnsi"/>
        </w:rPr>
        <w:tab/>
        <w:t>Table 3: The 10 most prescribed drugs in Cambridge during April, 2018.</w:t>
      </w:r>
    </w:p>
    <w:tbl>
      <w:tblPr>
        <w:tblW w:w="4960" w:type="dxa"/>
        <w:jc w:val="center"/>
        <w:tblLook w:val="04A0" w:firstRow="1" w:lastRow="0" w:firstColumn="1" w:lastColumn="0" w:noHBand="0" w:noVBand="1"/>
      </w:tblPr>
      <w:tblGrid>
        <w:gridCol w:w="1860"/>
        <w:gridCol w:w="2520"/>
        <w:gridCol w:w="636"/>
      </w:tblGrid>
      <w:tr w:rsidR="00DF7E2C" w:rsidRPr="00DF7E2C" w:rsidTr="00DF7E2C">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b/>
                <w:bCs/>
                <w:color w:val="000000"/>
                <w:sz w:val="18"/>
                <w:szCs w:val="18"/>
                <w:lang w:eastAsia="en-GB"/>
              </w:rPr>
            </w:pPr>
            <w:r w:rsidRPr="00DF7E2C">
              <w:rPr>
                <w:rFonts w:eastAsia="Times New Roman" w:cstheme="minorHAnsi"/>
                <w:b/>
                <w:bCs/>
                <w:color w:val="000000"/>
                <w:sz w:val="18"/>
                <w:szCs w:val="18"/>
                <w:lang w:eastAsia="en-GB"/>
              </w:rPr>
              <w:t>BNF code</w:t>
            </w:r>
          </w:p>
        </w:tc>
        <w:tc>
          <w:tcPr>
            <w:tcW w:w="2520" w:type="dxa"/>
            <w:tcBorders>
              <w:top w:val="single" w:sz="4" w:space="0" w:color="auto"/>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b/>
                <w:bCs/>
                <w:color w:val="000000"/>
                <w:sz w:val="18"/>
                <w:szCs w:val="18"/>
                <w:lang w:eastAsia="en-GB"/>
              </w:rPr>
            </w:pPr>
            <w:r w:rsidRPr="00DF7E2C">
              <w:rPr>
                <w:rFonts w:eastAsia="Times New Roman" w:cstheme="minorHAnsi"/>
                <w:b/>
                <w:bCs/>
                <w:color w:val="000000"/>
                <w:sz w:val="18"/>
                <w:szCs w:val="18"/>
                <w:lang w:eastAsia="en-GB"/>
              </w:rPr>
              <w:t>BNF name</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b/>
                <w:bCs/>
                <w:color w:val="000000"/>
                <w:sz w:val="18"/>
                <w:szCs w:val="18"/>
                <w:lang w:eastAsia="en-GB"/>
              </w:rPr>
            </w:pPr>
            <w:r w:rsidRPr="00DF7E2C">
              <w:rPr>
                <w:rFonts w:eastAsia="Times New Roman" w:cstheme="minorHAnsi"/>
                <w:b/>
                <w:bCs/>
                <w:color w:val="000000"/>
                <w:sz w:val="18"/>
                <w:szCs w:val="18"/>
                <w:lang w:eastAsia="en-GB"/>
              </w:rPr>
              <w:t>Items</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0103050P0AAAAAA</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val="es-CL" w:eastAsia="en-GB"/>
              </w:rPr>
            </w:pPr>
            <w:proofErr w:type="spellStart"/>
            <w:r w:rsidRPr="00DF7E2C">
              <w:rPr>
                <w:rFonts w:eastAsia="Times New Roman" w:cstheme="minorHAnsi"/>
                <w:color w:val="000000"/>
                <w:sz w:val="18"/>
                <w:szCs w:val="18"/>
                <w:lang w:val="es-CL" w:eastAsia="en-GB"/>
              </w:rPr>
              <w:t>Omeprazole_Cap</w:t>
            </w:r>
            <w:proofErr w:type="spellEnd"/>
            <w:r w:rsidRPr="00DF7E2C">
              <w:rPr>
                <w:rFonts w:eastAsia="Times New Roman" w:cstheme="minorHAnsi"/>
                <w:color w:val="000000"/>
                <w:sz w:val="18"/>
                <w:szCs w:val="18"/>
                <w:lang w:val="es-CL" w:eastAsia="en-GB"/>
              </w:rPr>
              <w:t xml:space="preserve"> E/C 20mg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2</w:t>
            </w:r>
            <w:r w:rsidR="00316E96">
              <w:rPr>
                <w:rFonts w:eastAsia="Times New Roman" w:cstheme="minorHAnsi"/>
                <w:color w:val="000000"/>
                <w:sz w:val="18"/>
                <w:szCs w:val="18"/>
                <w:lang w:eastAsia="en-GB"/>
              </w:rPr>
              <w:t>,</w:t>
            </w:r>
            <w:r w:rsidRPr="00DF7E2C">
              <w:rPr>
                <w:rFonts w:eastAsia="Times New Roman" w:cstheme="minorHAnsi"/>
                <w:color w:val="000000"/>
                <w:sz w:val="18"/>
                <w:szCs w:val="18"/>
                <w:lang w:eastAsia="en-GB"/>
              </w:rPr>
              <w:t>087</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0206020A0AAAAAA</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Amlodipine_Tab</w:t>
            </w:r>
            <w:proofErr w:type="spellEnd"/>
            <w:r w:rsidRPr="00DF7E2C">
              <w:rPr>
                <w:rFonts w:eastAsia="Times New Roman" w:cstheme="minorHAnsi"/>
                <w:color w:val="000000"/>
                <w:sz w:val="18"/>
                <w:szCs w:val="18"/>
                <w:lang w:eastAsia="en-GB"/>
              </w:rPr>
              <w:t xml:space="preserve"> 5mg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995</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0212000B0AAABAB</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Atorvastatin_Tab</w:t>
            </w:r>
            <w:proofErr w:type="spellEnd"/>
            <w:r w:rsidRPr="00DF7E2C">
              <w:rPr>
                <w:rFonts w:eastAsia="Times New Roman" w:cstheme="minorHAnsi"/>
                <w:color w:val="000000"/>
                <w:sz w:val="18"/>
                <w:szCs w:val="18"/>
                <w:lang w:eastAsia="en-GB"/>
              </w:rPr>
              <w:t xml:space="preserve"> 20mg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955</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0209000A0AAABAB</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 xml:space="preserve">Aspirin </w:t>
            </w:r>
            <w:proofErr w:type="spellStart"/>
            <w:r w:rsidRPr="00DF7E2C">
              <w:rPr>
                <w:rFonts w:eastAsia="Times New Roman" w:cstheme="minorHAnsi"/>
                <w:color w:val="000000"/>
                <w:sz w:val="18"/>
                <w:szCs w:val="18"/>
                <w:lang w:eastAsia="en-GB"/>
              </w:rPr>
              <w:t>Disper_Tab</w:t>
            </w:r>
            <w:proofErr w:type="spellEnd"/>
            <w:r w:rsidRPr="00DF7E2C">
              <w:rPr>
                <w:rFonts w:eastAsia="Times New Roman" w:cstheme="minorHAnsi"/>
                <w:color w:val="000000"/>
                <w:sz w:val="18"/>
                <w:szCs w:val="18"/>
                <w:lang w:eastAsia="en-GB"/>
              </w:rPr>
              <w:t xml:space="preserve"> 75mg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817</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0212000Y0AAADAD</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Simvastatin_Tab</w:t>
            </w:r>
            <w:proofErr w:type="spellEnd"/>
            <w:r w:rsidRPr="00DF7E2C">
              <w:rPr>
                <w:rFonts w:eastAsia="Times New Roman" w:cstheme="minorHAnsi"/>
                <w:color w:val="000000"/>
                <w:sz w:val="18"/>
                <w:szCs w:val="18"/>
                <w:lang w:eastAsia="en-GB"/>
              </w:rPr>
              <w:t xml:space="preserve"> 40mg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816</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0602010V0AABZBZ</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Levothyrox</w:t>
            </w:r>
            <w:proofErr w:type="spellEnd"/>
            <w:r w:rsidRPr="00DF7E2C">
              <w:rPr>
                <w:rFonts w:eastAsia="Times New Roman" w:cstheme="minorHAnsi"/>
                <w:color w:val="000000"/>
                <w:sz w:val="18"/>
                <w:szCs w:val="18"/>
                <w:lang w:eastAsia="en-GB"/>
              </w:rPr>
              <w:t xml:space="preserve"> </w:t>
            </w:r>
            <w:proofErr w:type="spellStart"/>
            <w:r w:rsidRPr="00DF7E2C">
              <w:rPr>
                <w:rFonts w:eastAsia="Times New Roman" w:cstheme="minorHAnsi"/>
                <w:color w:val="000000"/>
                <w:sz w:val="18"/>
                <w:szCs w:val="18"/>
                <w:lang w:eastAsia="en-GB"/>
              </w:rPr>
              <w:t>Sod_Tab</w:t>
            </w:r>
            <w:proofErr w:type="spellEnd"/>
            <w:r w:rsidRPr="00DF7E2C">
              <w:rPr>
                <w:rFonts w:eastAsia="Times New Roman" w:cstheme="minorHAnsi"/>
                <w:color w:val="000000"/>
                <w:sz w:val="18"/>
                <w:szCs w:val="18"/>
                <w:lang w:eastAsia="en-GB"/>
              </w:rPr>
              <w:t xml:space="preserve"> 100mcg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740</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0407010H0AAAMAM</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Paracet_Tab</w:t>
            </w:r>
            <w:proofErr w:type="spellEnd"/>
            <w:r w:rsidRPr="00DF7E2C">
              <w:rPr>
                <w:rFonts w:eastAsia="Times New Roman" w:cstheme="minorHAnsi"/>
                <w:color w:val="000000"/>
                <w:sz w:val="18"/>
                <w:szCs w:val="18"/>
                <w:lang w:eastAsia="en-GB"/>
              </w:rPr>
              <w:t xml:space="preserve"> 500mg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691</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0212000B0AAABAB</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Atorvastatin_Tab</w:t>
            </w:r>
            <w:proofErr w:type="spellEnd"/>
            <w:r w:rsidRPr="00DF7E2C">
              <w:rPr>
                <w:rFonts w:eastAsia="Times New Roman" w:cstheme="minorHAnsi"/>
                <w:color w:val="000000"/>
                <w:sz w:val="18"/>
                <w:szCs w:val="18"/>
                <w:lang w:eastAsia="en-GB"/>
              </w:rPr>
              <w:t xml:space="preserve"> 20mg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685</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0602010V0AABXBX</w:t>
            </w:r>
          </w:p>
        </w:tc>
        <w:tc>
          <w:tcPr>
            <w:tcW w:w="252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Levothyrox</w:t>
            </w:r>
            <w:proofErr w:type="spellEnd"/>
            <w:r w:rsidRPr="00DF7E2C">
              <w:rPr>
                <w:rFonts w:eastAsia="Times New Roman" w:cstheme="minorHAnsi"/>
                <w:color w:val="000000"/>
                <w:sz w:val="18"/>
                <w:szCs w:val="18"/>
                <w:lang w:eastAsia="en-GB"/>
              </w:rPr>
              <w:t xml:space="preserve"> </w:t>
            </w:r>
            <w:proofErr w:type="spellStart"/>
            <w:r w:rsidRPr="00DF7E2C">
              <w:rPr>
                <w:rFonts w:eastAsia="Times New Roman" w:cstheme="minorHAnsi"/>
                <w:color w:val="000000"/>
                <w:sz w:val="18"/>
                <w:szCs w:val="18"/>
                <w:lang w:eastAsia="en-GB"/>
              </w:rPr>
              <w:t>Sod_Tab</w:t>
            </w:r>
            <w:proofErr w:type="spellEnd"/>
            <w:r w:rsidRPr="00DF7E2C">
              <w:rPr>
                <w:rFonts w:eastAsia="Times New Roman" w:cstheme="minorHAnsi"/>
                <w:color w:val="000000"/>
                <w:sz w:val="18"/>
                <w:szCs w:val="18"/>
                <w:lang w:eastAsia="en-GB"/>
              </w:rPr>
              <w:t xml:space="preserve"> 50mcg</w:t>
            </w:r>
          </w:p>
        </w:tc>
        <w:tc>
          <w:tcPr>
            <w:tcW w:w="580" w:type="dxa"/>
            <w:tcBorders>
              <w:top w:val="nil"/>
              <w:left w:val="nil"/>
              <w:bottom w:val="single" w:sz="4" w:space="0" w:color="auto"/>
              <w:right w:val="single" w:sz="4" w:space="0" w:color="auto"/>
            </w:tcBorders>
            <w:shd w:val="clear" w:color="000000" w:fill="F5F5F5"/>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678</w:t>
            </w:r>
          </w:p>
        </w:tc>
      </w:tr>
      <w:tr w:rsidR="00DF7E2C" w:rsidRPr="00DF7E2C" w:rsidTr="00DF7E2C">
        <w:trPr>
          <w:trHeight w:val="300"/>
          <w:jc w:val="center"/>
        </w:trPr>
        <w:tc>
          <w:tcPr>
            <w:tcW w:w="1860" w:type="dxa"/>
            <w:tcBorders>
              <w:top w:val="nil"/>
              <w:left w:val="single" w:sz="4" w:space="0" w:color="auto"/>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0602010V0AABWBW</w:t>
            </w:r>
          </w:p>
        </w:tc>
        <w:tc>
          <w:tcPr>
            <w:tcW w:w="252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proofErr w:type="spellStart"/>
            <w:r w:rsidRPr="00DF7E2C">
              <w:rPr>
                <w:rFonts w:eastAsia="Times New Roman" w:cstheme="minorHAnsi"/>
                <w:color w:val="000000"/>
                <w:sz w:val="18"/>
                <w:szCs w:val="18"/>
                <w:lang w:eastAsia="en-GB"/>
              </w:rPr>
              <w:t>Levothyrox</w:t>
            </w:r>
            <w:proofErr w:type="spellEnd"/>
            <w:r w:rsidRPr="00DF7E2C">
              <w:rPr>
                <w:rFonts w:eastAsia="Times New Roman" w:cstheme="minorHAnsi"/>
                <w:color w:val="000000"/>
                <w:sz w:val="18"/>
                <w:szCs w:val="18"/>
                <w:lang w:eastAsia="en-GB"/>
              </w:rPr>
              <w:t xml:space="preserve"> </w:t>
            </w:r>
            <w:proofErr w:type="spellStart"/>
            <w:r w:rsidRPr="00DF7E2C">
              <w:rPr>
                <w:rFonts w:eastAsia="Times New Roman" w:cstheme="minorHAnsi"/>
                <w:color w:val="000000"/>
                <w:sz w:val="18"/>
                <w:szCs w:val="18"/>
                <w:lang w:eastAsia="en-GB"/>
              </w:rPr>
              <w:t>Sod_Tab</w:t>
            </w:r>
            <w:proofErr w:type="spellEnd"/>
            <w:r w:rsidRPr="00DF7E2C">
              <w:rPr>
                <w:rFonts w:eastAsia="Times New Roman" w:cstheme="minorHAnsi"/>
                <w:color w:val="000000"/>
                <w:sz w:val="18"/>
                <w:szCs w:val="18"/>
                <w:lang w:eastAsia="en-GB"/>
              </w:rPr>
              <w:t xml:space="preserve"> 25mcg</w:t>
            </w:r>
          </w:p>
        </w:tc>
        <w:tc>
          <w:tcPr>
            <w:tcW w:w="580" w:type="dxa"/>
            <w:tcBorders>
              <w:top w:val="nil"/>
              <w:left w:val="nil"/>
              <w:bottom w:val="single" w:sz="4" w:space="0" w:color="auto"/>
              <w:right w:val="single" w:sz="4" w:space="0" w:color="auto"/>
            </w:tcBorders>
            <w:shd w:val="clear" w:color="000000" w:fill="FFFFFF"/>
            <w:noWrap/>
            <w:vAlign w:val="center"/>
            <w:hideMark/>
          </w:tcPr>
          <w:p w:rsidR="00DF7E2C" w:rsidRPr="00DF7E2C" w:rsidRDefault="00DF7E2C" w:rsidP="00DF7E2C">
            <w:pPr>
              <w:spacing w:after="0" w:line="240" w:lineRule="auto"/>
              <w:jc w:val="center"/>
              <w:rPr>
                <w:rFonts w:eastAsia="Times New Roman" w:cstheme="minorHAnsi"/>
                <w:color w:val="000000"/>
                <w:sz w:val="18"/>
                <w:szCs w:val="18"/>
                <w:lang w:eastAsia="en-GB"/>
              </w:rPr>
            </w:pPr>
            <w:r w:rsidRPr="00DF7E2C">
              <w:rPr>
                <w:rFonts w:eastAsia="Times New Roman" w:cstheme="minorHAnsi"/>
                <w:color w:val="000000"/>
                <w:sz w:val="18"/>
                <w:szCs w:val="18"/>
                <w:lang w:eastAsia="en-GB"/>
              </w:rPr>
              <w:t>644</w:t>
            </w:r>
          </w:p>
        </w:tc>
      </w:tr>
    </w:tbl>
    <w:p w:rsidR="00DF7E2C" w:rsidRDefault="00DF7E2C" w:rsidP="00DF7E2C">
      <w:pPr>
        <w:jc w:val="both"/>
        <w:rPr>
          <w:rFonts w:cstheme="minorHAnsi"/>
        </w:rPr>
      </w:pPr>
    </w:p>
    <w:p w:rsidR="005E65C8" w:rsidRDefault="001A125B" w:rsidP="001A125B">
      <w:pPr>
        <w:jc w:val="both"/>
        <w:rPr>
          <w:rFonts w:cstheme="minorHAnsi"/>
          <w:color w:val="000000"/>
          <w:shd w:val="clear" w:color="auto" w:fill="FFFFFF"/>
        </w:rPr>
      </w:pPr>
      <w:r>
        <w:rPr>
          <w:rFonts w:cstheme="minorHAnsi"/>
        </w:rPr>
        <w:tab/>
        <w:t xml:space="preserve">As done for London, for Cambridge the prescriptions corresponding to drugs that were prescribed only once was extracted. </w:t>
      </w:r>
      <w:r w:rsidRPr="00E5292B">
        <w:rPr>
          <w:rFonts w:cstheme="minorHAnsi"/>
          <w:color w:val="000000"/>
          <w:shd w:val="clear" w:color="auto" w:fill="FFFFFF"/>
        </w:rPr>
        <w:t>A sample of the ten most expensive drugs prescribed o</w:t>
      </w:r>
      <w:r w:rsidR="00316E96">
        <w:rPr>
          <w:rFonts w:cstheme="minorHAnsi"/>
          <w:color w:val="000000"/>
          <w:shd w:val="clear" w:color="auto" w:fill="FFFFFF"/>
        </w:rPr>
        <w:t>nly once is presented in table 4.</w:t>
      </w:r>
    </w:p>
    <w:p w:rsidR="00316E96" w:rsidRPr="00316E96" w:rsidRDefault="00316E96" w:rsidP="001A125B">
      <w:pPr>
        <w:jc w:val="both"/>
        <w:rPr>
          <w:rFonts w:cstheme="minorHAnsi"/>
          <w:color w:val="000000"/>
          <w:sz w:val="20"/>
          <w:shd w:val="clear" w:color="auto" w:fill="FFFFFF"/>
        </w:rPr>
      </w:pPr>
      <w:r w:rsidRPr="00316E96">
        <w:rPr>
          <w:sz w:val="20"/>
        </w:rPr>
        <w:t>Table 4: The 10 most expensive drugs prescribed only once in Cambridge during April, 2018.</w:t>
      </w:r>
    </w:p>
    <w:tbl>
      <w:tblPr>
        <w:tblW w:w="7060" w:type="dxa"/>
        <w:jc w:val="center"/>
        <w:tblLook w:val="04A0" w:firstRow="1" w:lastRow="0" w:firstColumn="1" w:lastColumn="0" w:noHBand="0" w:noVBand="1"/>
      </w:tblPr>
      <w:tblGrid>
        <w:gridCol w:w="1840"/>
        <w:gridCol w:w="3680"/>
        <w:gridCol w:w="636"/>
        <w:gridCol w:w="960"/>
      </w:tblGrid>
      <w:tr w:rsidR="00316E96" w:rsidRPr="00316E96" w:rsidTr="00316E96">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b/>
                <w:bCs/>
                <w:color w:val="000000"/>
                <w:sz w:val="18"/>
                <w:szCs w:val="18"/>
                <w:lang w:eastAsia="en-GB"/>
              </w:rPr>
            </w:pPr>
            <w:r w:rsidRPr="00316E96">
              <w:rPr>
                <w:rFonts w:eastAsia="Times New Roman" w:cstheme="minorHAnsi"/>
                <w:b/>
                <w:bCs/>
                <w:color w:val="000000"/>
                <w:sz w:val="18"/>
                <w:szCs w:val="18"/>
                <w:lang w:eastAsia="en-GB"/>
              </w:rPr>
              <w:t>BNF code</w:t>
            </w:r>
          </w:p>
        </w:tc>
        <w:tc>
          <w:tcPr>
            <w:tcW w:w="3680" w:type="dxa"/>
            <w:tcBorders>
              <w:top w:val="single" w:sz="4" w:space="0" w:color="auto"/>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b/>
                <w:bCs/>
                <w:color w:val="000000"/>
                <w:sz w:val="18"/>
                <w:szCs w:val="18"/>
                <w:lang w:eastAsia="en-GB"/>
              </w:rPr>
            </w:pPr>
            <w:r w:rsidRPr="00316E96">
              <w:rPr>
                <w:rFonts w:eastAsia="Times New Roman" w:cstheme="minorHAnsi"/>
                <w:b/>
                <w:bCs/>
                <w:color w:val="000000"/>
                <w:sz w:val="18"/>
                <w:szCs w:val="18"/>
                <w:lang w:eastAsia="en-GB"/>
              </w:rPr>
              <w:t>BNF name</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b/>
                <w:bCs/>
                <w:color w:val="000000"/>
                <w:sz w:val="18"/>
                <w:szCs w:val="18"/>
                <w:lang w:eastAsia="en-GB"/>
              </w:rPr>
            </w:pPr>
            <w:r w:rsidRPr="00316E96">
              <w:rPr>
                <w:rFonts w:eastAsia="Times New Roman" w:cstheme="minorHAnsi"/>
                <w:b/>
                <w:bCs/>
                <w:color w:val="000000"/>
                <w:sz w:val="18"/>
                <w:szCs w:val="18"/>
                <w:lang w:eastAsia="en-GB"/>
              </w:rPr>
              <w:t>Items</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A</w:t>
            </w:r>
            <w:r w:rsidRPr="00CD6D89">
              <w:rPr>
                <w:rFonts w:eastAsia="Times New Roman" w:cstheme="minorHAnsi"/>
                <w:b/>
                <w:bCs/>
                <w:color w:val="000000"/>
                <w:sz w:val="18"/>
                <w:szCs w:val="18"/>
                <w:lang w:eastAsia="en-GB"/>
              </w:rPr>
              <w:t>ct</w:t>
            </w:r>
            <w:r>
              <w:rPr>
                <w:rFonts w:eastAsia="Times New Roman" w:cstheme="minorHAnsi"/>
                <w:b/>
                <w:bCs/>
                <w:color w:val="000000"/>
                <w:sz w:val="18"/>
                <w:szCs w:val="18"/>
                <w:lang w:eastAsia="en-GB"/>
              </w:rPr>
              <w:t>ual C</w:t>
            </w:r>
            <w:r w:rsidRPr="00CD6D89">
              <w:rPr>
                <w:rFonts w:eastAsia="Times New Roman" w:cstheme="minorHAnsi"/>
                <w:b/>
                <w:bCs/>
                <w:color w:val="000000"/>
                <w:sz w:val="18"/>
                <w:szCs w:val="18"/>
                <w:lang w:eastAsia="en-GB"/>
              </w:rPr>
              <w:t>ost</w:t>
            </w:r>
            <w:r>
              <w:rPr>
                <w:rFonts w:eastAsia="Times New Roman" w:cstheme="minorHAnsi"/>
                <w:b/>
                <w:bCs/>
                <w:color w:val="000000"/>
                <w:sz w:val="18"/>
                <w:szCs w:val="18"/>
                <w:lang w:eastAsia="en-GB"/>
              </w:rPr>
              <w:t xml:space="preserve"> </w:t>
            </w:r>
            <w:r w:rsidRPr="00E5292B">
              <w:rPr>
                <w:rFonts w:eastAsia="Times New Roman" w:cstheme="minorHAnsi"/>
                <w:b/>
                <w:bCs/>
                <w:color w:val="000000"/>
                <w:lang w:eastAsia="en-GB"/>
              </w:rPr>
              <w:t>(</w:t>
            </w:r>
            <w:r w:rsidRPr="00E5292B">
              <w:rPr>
                <w:rFonts w:cstheme="minorHAnsi"/>
                <w:b/>
                <w:lang w:val="es-CL"/>
              </w:rPr>
              <w:t>£</w:t>
            </w:r>
            <w:r w:rsidRPr="00E5292B">
              <w:rPr>
                <w:rFonts w:eastAsia="Times New Roman" w:cstheme="minorHAnsi"/>
                <w:b/>
                <w:bCs/>
                <w:color w:val="000000"/>
                <w:lang w:eastAsia="en-GB"/>
              </w:rPr>
              <w:t>)</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0803043P0AAADAD</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Lanreotide_Inj</w:t>
            </w:r>
            <w:proofErr w:type="spellEnd"/>
            <w:r w:rsidRPr="00316E96">
              <w:rPr>
                <w:rFonts w:eastAsia="Times New Roman" w:cstheme="minorHAnsi"/>
                <w:color w:val="000000"/>
                <w:sz w:val="18"/>
                <w:szCs w:val="18"/>
                <w:lang w:eastAsia="en-GB"/>
              </w:rPr>
              <w:t xml:space="preserve"> 120mg/0.5ml </w:t>
            </w:r>
            <w:proofErr w:type="spellStart"/>
            <w:r w:rsidRPr="00316E96">
              <w:rPr>
                <w:rFonts w:eastAsia="Times New Roman" w:cstheme="minorHAnsi"/>
                <w:color w:val="000000"/>
                <w:sz w:val="18"/>
                <w:szCs w:val="18"/>
                <w:lang w:eastAsia="en-GB"/>
              </w:rPr>
              <w:t>Pfs</w:t>
            </w:r>
            <w:proofErr w:type="spellEnd"/>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737.94</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0605010S0BCAGBS</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Saizen_Inj</w:t>
            </w:r>
            <w:proofErr w:type="spellEnd"/>
            <w:r w:rsidRPr="00316E96">
              <w:rPr>
                <w:rFonts w:eastAsia="Times New Roman" w:cstheme="minorHAnsi"/>
                <w:color w:val="000000"/>
                <w:sz w:val="18"/>
                <w:szCs w:val="18"/>
                <w:lang w:eastAsia="en-GB"/>
              </w:rPr>
              <w:t xml:space="preserve"> 20mg/2.5ml Cart</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289.83</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090402000BBFHA0</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 xml:space="preserve">Elemental 028 </w:t>
            </w:r>
            <w:proofErr w:type="spellStart"/>
            <w:r w:rsidRPr="00316E96">
              <w:rPr>
                <w:rFonts w:eastAsia="Times New Roman" w:cstheme="minorHAnsi"/>
                <w:color w:val="000000"/>
                <w:sz w:val="18"/>
                <w:szCs w:val="18"/>
                <w:lang w:eastAsia="en-GB"/>
              </w:rPr>
              <w:t>Ex_Pdr</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Sach</w:t>
            </w:r>
            <w:proofErr w:type="spellEnd"/>
            <w:r w:rsidRPr="00316E96">
              <w:rPr>
                <w:rFonts w:eastAsia="Times New Roman" w:cstheme="minorHAnsi"/>
                <w:color w:val="000000"/>
                <w:sz w:val="18"/>
                <w:szCs w:val="18"/>
                <w:lang w:eastAsia="en-GB"/>
              </w:rPr>
              <w:t xml:space="preserve"> 100g (3 </w:t>
            </w:r>
            <w:proofErr w:type="spellStart"/>
            <w:r w:rsidRPr="00316E96">
              <w:rPr>
                <w:rFonts w:eastAsia="Times New Roman" w:cstheme="minorHAnsi"/>
                <w:color w:val="000000"/>
                <w:sz w:val="18"/>
                <w:szCs w:val="18"/>
                <w:lang w:eastAsia="en-GB"/>
              </w:rPr>
              <w:t>Flav</w:t>
            </w:r>
            <w:proofErr w:type="spellEnd"/>
            <w:r w:rsidRPr="00316E96">
              <w:rPr>
                <w:rFonts w:eastAsia="Times New Roman" w:cstheme="minorHAnsi"/>
                <w:color w:val="000000"/>
                <w:sz w:val="18"/>
                <w:szCs w:val="18"/>
                <w:lang w:eastAsia="en-GB"/>
              </w:rPr>
              <w:t>)</w:t>
            </w:r>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111.4</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0605010S0BBANAX</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Genotropin</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MiniQuick_Inj</w:t>
            </w:r>
            <w:proofErr w:type="spellEnd"/>
            <w:r w:rsidRPr="00316E96">
              <w:rPr>
                <w:rFonts w:eastAsia="Times New Roman" w:cstheme="minorHAnsi"/>
                <w:color w:val="000000"/>
                <w:sz w:val="18"/>
                <w:szCs w:val="18"/>
                <w:lang w:eastAsia="en-GB"/>
              </w:rPr>
              <w:t xml:space="preserve"> 800mcg </w:t>
            </w:r>
            <w:proofErr w:type="spellStart"/>
            <w:r w:rsidRPr="00316E96">
              <w:rPr>
                <w:rFonts w:eastAsia="Times New Roman" w:cstheme="minorHAnsi"/>
                <w:color w:val="000000"/>
                <w:sz w:val="18"/>
                <w:szCs w:val="18"/>
                <w:lang w:eastAsia="en-GB"/>
              </w:rPr>
              <w:t>Pfs</w:t>
            </w:r>
            <w:proofErr w:type="spellEnd"/>
            <w:r w:rsidRPr="00316E96">
              <w:rPr>
                <w:rFonts w:eastAsia="Times New Roman" w:cstheme="minorHAnsi"/>
                <w:color w:val="000000"/>
                <w:sz w:val="18"/>
                <w:szCs w:val="18"/>
                <w:lang w:eastAsia="en-GB"/>
              </w:rPr>
              <w:t xml:space="preserve"> Cart</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083.63</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0401010ACBBAAAA</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Xyrem_Oral</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Soln</w:t>
            </w:r>
            <w:proofErr w:type="spellEnd"/>
            <w:r w:rsidRPr="00316E96">
              <w:rPr>
                <w:rFonts w:eastAsia="Times New Roman" w:cstheme="minorHAnsi"/>
                <w:color w:val="000000"/>
                <w:sz w:val="18"/>
                <w:szCs w:val="18"/>
                <w:lang w:eastAsia="en-GB"/>
              </w:rPr>
              <w:t xml:space="preserve"> 500mg/ml</w:t>
            </w:r>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082.59</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0605010S0BCAFBR</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Saizen_Inj</w:t>
            </w:r>
            <w:proofErr w:type="spellEnd"/>
            <w:r w:rsidRPr="00316E96">
              <w:rPr>
                <w:rFonts w:eastAsia="Times New Roman" w:cstheme="minorHAnsi"/>
                <w:color w:val="000000"/>
                <w:sz w:val="18"/>
                <w:szCs w:val="18"/>
                <w:lang w:eastAsia="en-GB"/>
              </w:rPr>
              <w:t xml:space="preserve"> 12mg/1.5ml Cart</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031.87</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090402000BBIXA0</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Modulen</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IBD_Pdr</w:t>
            </w:r>
            <w:proofErr w:type="spellEnd"/>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012.07</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0605010S0BDAEAT</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val="es-CL" w:eastAsia="en-GB"/>
              </w:rPr>
            </w:pPr>
            <w:proofErr w:type="spellStart"/>
            <w:r w:rsidRPr="00316E96">
              <w:rPr>
                <w:rFonts w:eastAsia="Times New Roman" w:cstheme="minorHAnsi"/>
                <w:color w:val="000000"/>
                <w:sz w:val="18"/>
                <w:szCs w:val="18"/>
                <w:lang w:val="es-CL" w:eastAsia="en-GB"/>
              </w:rPr>
              <w:t>Humatrope_Inj</w:t>
            </w:r>
            <w:proofErr w:type="spellEnd"/>
            <w:r w:rsidRPr="00316E96">
              <w:rPr>
                <w:rFonts w:eastAsia="Times New Roman" w:cstheme="minorHAnsi"/>
                <w:color w:val="000000"/>
                <w:sz w:val="18"/>
                <w:szCs w:val="18"/>
                <w:lang w:val="es-CL" w:eastAsia="en-GB"/>
              </w:rPr>
              <w:t xml:space="preserve"> 36u </w:t>
            </w:r>
            <w:proofErr w:type="spellStart"/>
            <w:r w:rsidRPr="00316E96">
              <w:rPr>
                <w:rFonts w:eastAsia="Times New Roman" w:cstheme="minorHAnsi"/>
                <w:color w:val="000000"/>
                <w:sz w:val="18"/>
                <w:szCs w:val="18"/>
                <w:lang w:val="es-CL" w:eastAsia="en-GB"/>
              </w:rPr>
              <w:t>Cart</w:t>
            </w:r>
            <w:proofErr w:type="spellEnd"/>
            <w:r w:rsidRPr="00316E96">
              <w:rPr>
                <w:rFonts w:eastAsia="Times New Roman" w:cstheme="minorHAnsi"/>
                <w:color w:val="000000"/>
                <w:sz w:val="18"/>
                <w:szCs w:val="18"/>
                <w:lang w:val="es-CL" w:eastAsia="en-GB"/>
              </w:rPr>
              <w:t xml:space="preserve"> + </w:t>
            </w:r>
            <w:proofErr w:type="spellStart"/>
            <w:r w:rsidRPr="00316E96">
              <w:rPr>
                <w:rFonts w:eastAsia="Times New Roman" w:cstheme="minorHAnsi"/>
                <w:color w:val="000000"/>
                <w:sz w:val="18"/>
                <w:szCs w:val="18"/>
                <w:lang w:val="es-CL" w:eastAsia="en-GB"/>
              </w:rPr>
              <w:t>Dil</w:t>
            </w:r>
            <w:proofErr w:type="spellEnd"/>
            <w:r w:rsidRPr="00316E96">
              <w:rPr>
                <w:rFonts w:eastAsia="Times New Roman" w:cstheme="minorHAnsi"/>
                <w:color w:val="000000"/>
                <w:sz w:val="18"/>
                <w:szCs w:val="18"/>
                <w:lang w:val="es-CL" w:eastAsia="en-GB"/>
              </w:rPr>
              <w:t xml:space="preserve"> (12mg)</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r>
              <w:rPr>
                <w:rFonts w:eastAsia="Times New Roman" w:cstheme="minorHAnsi"/>
                <w:color w:val="000000"/>
                <w:sz w:val="18"/>
                <w:szCs w:val="18"/>
                <w:lang w:eastAsia="en-GB"/>
              </w:rPr>
              <w:t>,</w:t>
            </w:r>
            <w:r w:rsidRPr="00316E96">
              <w:rPr>
                <w:rFonts w:eastAsia="Times New Roman" w:cstheme="minorHAnsi"/>
                <w:color w:val="000000"/>
                <w:sz w:val="18"/>
                <w:szCs w:val="18"/>
                <w:lang w:eastAsia="en-GB"/>
              </w:rPr>
              <w:t>001.61</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090401000BBHKA0</w:t>
            </w:r>
          </w:p>
        </w:tc>
        <w:tc>
          <w:tcPr>
            <w:tcW w:w="36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 xml:space="preserve">Phlexy-10_Drink Mix </w:t>
            </w:r>
            <w:proofErr w:type="spellStart"/>
            <w:r w:rsidRPr="00316E96">
              <w:rPr>
                <w:rFonts w:eastAsia="Times New Roman" w:cstheme="minorHAnsi"/>
                <w:color w:val="000000"/>
                <w:sz w:val="18"/>
                <w:szCs w:val="18"/>
                <w:lang w:eastAsia="en-GB"/>
              </w:rPr>
              <w:t>Pdr</w:t>
            </w:r>
            <w:proofErr w:type="spellEnd"/>
            <w:r w:rsidRPr="00316E96">
              <w:rPr>
                <w:rFonts w:eastAsia="Times New Roman" w:cstheme="minorHAnsi"/>
                <w:color w:val="000000"/>
                <w:sz w:val="18"/>
                <w:szCs w:val="18"/>
                <w:lang w:eastAsia="en-GB"/>
              </w:rPr>
              <w:t xml:space="preserve"> </w:t>
            </w:r>
            <w:proofErr w:type="spellStart"/>
            <w:r w:rsidRPr="00316E96">
              <w:rPr>
                <w:rFonts w:eastAsia="Times New Roman" w:cstheme="minorHAnsi"/>
                <w:color w:val="000000"/>
                <w:sz w:val="18"/>
                <w:szCs w:val="18"/>
                <w:lang w:eastAsia="en-GB"/>
              </w:rPr>
              <w:t>Sach</w:t>
            </w:r>
            <w:proofErr w:type="spellEnd"/>
            <w:r w:rsidRPr="00316E96">
              <w:rPr>
                <w:rFonts w:eastAsia="Times New Roman" w:cstheme="minorHAnsi"/>
                <w:color w:val="000000"/>
                <w:sz w:val="18"/>
                <w:szCs w:val="18"/>
                <w:lang w:eastAsia="en-GB"/>
              </w:rPr>
              <w:t xml:space="preserve"> 20g(3 </w:t>
            </w:r>
            <w:proofErr w:type="spellStart"/>
            <w:r w:rsidRPr="00316E96">
              <w:rPr>
                <w:rFonts w:eastAsia="Times New Roman" w:cstheme="minorHAnsi"/>
                <w:color w:val="000000"/>
                <w:sz w:val="18"/>
                <w:szCs w:val="18"/>
                <w:lang w:eastAsia="en-GB"/>
              </w:rPr>
              <w:t>Flav</w:t>
            </w:r>
            <w:proofErr w:type="spellEnd"/>
            <w:r w:rsidRPr="00316E96">
              <w:rPr>
                <w:rFonts w:eastAsia="Times New Roman" w:cstheme="minorHAnsi"/>
                <w:color w:val="000000"/>
                <w:sz w:val="18"/>
                <w:szCs w:val="18"/>
                <w:lang w:eastAsia="en-GB"/>
              </w:rPr>
              <w:t>)</w:t>
            </w:r>
          </w:p>
        </w:tc>
        <w:tc>
          <w:tcPr>
            <w:tcW w:w="58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5F5F5"/>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999.37</w:t>
            </w:r>
          </w:p>
        </w:tc>
      </w:tr>
      <w:tr w:rsidR="00316E96" w:rsidRPr="00316E96" w:rsidTr="00316E96">
        <w:trPr>
          <w:trHeight w:val="300"/>
          <w:jc w:val="center"/>
        </w:trPr>
        <w:tc>
          <w:tcPr>
            <w:tcW w:w="1840" w:type="dxa"/>
            <w:tcBorders>
              <w:top w:val="nil"/>
              <w:left w:val="single" w:sz="4" w:space="0" w:color="auto"/>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lastRenderedPageBreak/>
              <w:t>0604011D0AAALAL</w:t>
            </w:r>
          </w:p>
        </w:tc>
        <w:tc>
          <w:tcPr>
            <w:tcW w:w="36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proofErr w:type="spellStart"/>
            <w:r w:rsidRPr="00316E96">
              <w:rPr>
                <w:rFonts w:eastAsia="Times New Roman" w:cstheme="minorHAnsi"/>
                <w:color w:val="000000"/>
                <w:sz w:val="18"/>
                <w:szCs w:val="18"/>
                <w:lang w:eastAsia="en-GB"/>
              </w:rPr>
              <w:t>Ethinylestr_Tab</w:t>
            </w:r>
            <w:proofErr w:type="spellEnd"/>
            <w:r w:rsidRPr="00316E96">
              <w:rPr>
                <w:rFonts w:eastAsia="Times New Roman" w:cstheme="minorHAnsi"/>
                <w:color w:val="000000"/>
                <w:sz w:val="18"/>
                <w:szCs w:val="18"/>
                <w:lang w:eastAsia="en-GB"/>
              </w:rPr>
              <w:t xml:space="preserve"> 2mcg</w:t>
            </w:r>
          </w:p>
        </w:tc>
        <w:tc>
          <w:tcPr>
            <w:tcW w:w="58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316E96" w:rsidRPr="00316E96" w:rsidRDefault="00316E96" w:rsidP="00316E96">
            <w:pPr>
              <w:spacing w:after="0" w:line="240" w:lineRule="auto"/>
              <w:jc w:val="center"/>
              <w:rPr>
                <w:rFonts w:eastAsia="Times New Roman" w:cstheme="minorHAnsi"/>
                <w:color w:val="000000"/>
                <w:sz w:val="18"/>
                <w:szCs w:val="18"/>
                <w:lang w:eastAsia="en-GB"/>
              </w:rPr>
            </w:pPr>
            <w:r w:rsidRPr="00316E96">
              <w:rPr>
                <w:rFonts w:eastAsia="Times New Roman" w:cstheme="minorHAnsi"/>
                <w:color w:val="000000"/>
                <w:sz w:val="18"/>
                <w:szCs w:val="18"/>
                <w:lang w:eastAsia="en-GB"/>
              </w:rPr>
              <w:t>984.99</w:t>
            </w:r>
          </w:p>
        </w:tc>
      </w:tr>
    </w:tbl>
    <w:p w:rsidR="00E5292B" w:rsidRPr="00E5292B" w:rsidRDefault="00E5292B" w:rsidP="00251ACC">
      <w:pPr>
        <w:jc w:val="both"/>
      </w:pPr>
    </w:p>
    <w:p w:rsidR="00C45C1E" w:rsidRDefault="00C45C1E" w:rsidP="00D555C9">
      <w:pPr>
        <w:jc w:val="both"/>
        <w:rPr>
          <w:b/>
          <w:i/>
        </w:rPr>
      </w:pPr>
    </w:p>
    <w:p w:rsidR="007960E6" w:rsidRDefault="007960E6" w:rsidP="00D555C9">
      <w:pPr>
        <w:jc w:val="both"/>
        <w:rPr>
          <w:b/>
          <w:i/>
        </w:rPr>
      </w:pPr>
      <w:r w:rsidRPr="00D154A2">
        <w:rPr>
          <w:b/>
          <w:i/>
        </w:rPr>
        <w:t xml:space="preserve">Question </w:t>
      </w:r>
      <w:r w:rsidR="00AA5E83">
        <w:rPr>
          <w:b/>
          <w:i/>
        </w:rPr>
        <w:t>A.</w:t>
      </w:r>
      <w:r w:rsidRPr="00D154A2">
        <w:rPr>
          <w:b/>
          <w:i/>
        </w:rPr>
        <w:t>3</w:t>
      </w:r>
    </w:p>
    <w:p w:rsidR="00D154A2" w:rsidRDefault="00D154A2" w:rsidP="00C06F79">
      <w:pPr>
        <w:pStyle w:val="ListParagraph"/>
        <w:numPr>
          <w:ilvl w:val="0"/>
          <w:numId w:val="2"/>
        </w:numPr>
        <w:jc w:val="both"/>
      </w:pPr>
      <w:r>
        <w:t xml:space="preserve">Across all practices, </w:t>
      </w:r>
      <w:r w:rsidR="00993193">
        <w:t xml:space="preserve">prescriptions for </w:t>
      </w:r>
      <w:r w:rsidR="00993193" w:rsidRPr="00D154A2">
        <w:t>1</w:t>
      </w:r>
      <w:r w:rsidR="00993193">
        <w:t>,</w:t>
      </w:r>
      <w:r w:rsidR="00993193" w:rsidRPr="00D154A2">
        <w:t>330</w:t>
      </w:r>
      <w:r w:rsidR="00993193">
        <w:t>,</w:t>
      </w:r>
      <w:r w:rsidR="00993193" w:rsidRPr="00D154A2">
        <w:t>453</w:t>
      </w:r>
      <w:r w:rsidR="00993193">
        <w:t xml:space="preserve"> different drugs </w:t>
      </w:r>
      <w:r>
        <w:t>belonging to Chapter 2 of the BNF were issued during April, 2018</w:t>
      </w:r>
      <w:r w:rsidR="00993193">
        <w:t>, amounting to a</w:t>
      </w:r>
      <w:r w:rsidR="00993193" w:rsidRPr="00993193">
        <w:t xml:space="preserve"> total </w:t>
      </w:r>
      <w:r w:rsidR="00993193">
        <w:t xml:space="preserve">of </w:t>
      </w:r>
      <w:r w:rsidR="00993193" w:rsidRPr="00993193">
        <w:t>26,449,832</w:t>
      </w:r>
      <w:r w:rsidR="00993193">
        <w:t xml:space="preserve"> </w:t>
      </w:r>
      <w:r w:rsidR="00993193" w:rsidRPr="00993193">
        <w:t xml:space="preserve">prescriptions given by </w:t>
      </w:r>
      <w:r w:rsidR="00993193">
        <w:t xml:space="preserve">practices throughout England, and </w:t>
      </w:r>
      <w:r w:rsidR="00993193" w:rsidRPr="00993193">
        <w:t xml:space="preserve">the total cost </w:t>
      </w:r>
      <w:r w:rsidR="00993193">
        <w:t>amounted to</w:t>
      </w:r>
      <w:r w:rsidR="00993193" w:rsidRPr="00993193">
        <w:t xml:space="preserve"> £5,448,656,348</w:t>
      </w:r>
      <w:r w:rsidR="00993193">
        <w:t>.</w:t>
      </w:r>
    </w:p>
    <w:p w:rsidR="00C06F79" w:rsidRDefault="00C06F79" w:rsidP="00DA34C8">
      <w:pPr>
        <w:pStyle w:val="ListParagraph"/>
        <w:numPr>
          <w:ilvl w:val="0"/>
          <w:numId w:val="2"/>
        </w:numPr>
        <w:jc w:val="both"/>
      </w:pPr>
      <w:r w:rsidRPr="00C06F79">
        <w:t xml:space="preserve">For antidepressant drugs, the total amount of the prescriptions given by practices </w:t>
      </w:r>
      <w:r w:rsidR="00DA34C8">
        <w:t xml:space="preserve">was 5,715,873 and </w:t>
      </w:r>
      <w:r w:rsidR="00DA34C8" w:rsidRPr="00DA34C8">
        <w:t xml:space="preserve">the total cost </w:t>
      </w:r>
      <w:r w:rsidR="00DA34C8">
        <w:t>was of</w:t>
      </w:r>
      <w:r w:rsidR="0093642C">
        <w:t xml:space="preserve"> </w:t>
      </w:r>
      <w:r w:rsidR="00DA34C8" w:rsidRPr="00DA34C8">
        <w:t>£925,174,735</w:t>
      </w:r>
      <w:r w:rsidR="00DA34C8">
        <w:t>.</w:t>
      </w:r>
    </w:p>
    <w:p w:rsidR="00656320" w:rsidRPr="00D154A2" w:rsidRDefault="00656320" w:rsidP="00656320">
      <w:pPr>
        <w:ind w:firstLine="720"/>
        <w:jc w:val="both"/>
      </w:pPr>
      <w:r>
        <w:t xml:space="preserve">The amount of prescriptions as well as the spending on CVD medication by the NHS is over five times the amounts for antidepressant drugs. One of the reasons for this </w:t>
      </w:r>
      <w:r w:rsidR="005A1843">
        <w:t>discrepancy is that the Chapter 2 of BNF covers a broader group of medications, easily surpassing the group for antidepressant drugs.</w:t>
      </w:r>
    </w:p>
    <w:p w:rsidR="007960E6" w:rsidRDefault="007960E6" w:rsidP="00D555C9">
      <w:pPr>
        <w:jc w:val="both"/>
        <w:rPr>
          <w:b/>
          <w:i/>
        </w:rPr>
      </w:pPr>
      <w:r w:rsidRPr="000353CE">
        <w:rPr>
          <w:b/>
          <w:i/>
        </w:rPr>
        <w:t xml:space="preserve">Question </w:t>
      </w:r>
      <w:r w:rsidR="00AA5E83" w:rsidRPr="000353CE">
        <w:rPr>
          <w:b/>
          <w:i/>
        </w:rPr>
        <w:t>A.</w:t>
      </w:r>
      <w:r w:rsidRPr="000353CE">
        <w:rPr>
          <w:b/>
          <w:i/>
        </w:rPr>
        <w:t>4</w:t>
      </w:r>
    </w:p>
    <w:p w:rsidR="00E6467B" w:rsidRDefault="00E6467B" w:rsidP="00E6467B">
      <w:pPr>
        <w:ind w:firstLine="720"/>
      </w:pPr>
      <w:r w:rsidRPr="00E6467B">
        <w:t xml:space="preserve">The total cost of the prescriptions given by all England practices </w:t>
      </w:r>
      <w:r>
        <w:t>during the month of April was</w:t>
      </w:r>
      <w:r w:rsidRPr="00E6467B">
        <w:t xml:space="preserve"> £20,836,681,997.</w:t>
      </w:r>
    </w:p>
    <w:p w:rsidR="00035DD5" w:rsidRDefault="00E6467B" w:rsidP="00E6467B">
      <w:pPr>
        <w:jc w:val="center"/>
        <w:rPr>
          <w:b/>
          <w:i/>
        </w:rPr>
      </w:pPr>
      <w:r>
        <w:rPr>
          <w:noProof/>
          <w:lang w:eastAsia="en-GB"/>
        </w:rPr>
        <w:drawing>
          <wp:inline distT="0" distB="0" distL="0" distR="0" wp14:anchorId="4D2A703B" wp14:editId="70206325">
            <wp:extent cx="3729771" cy="2772518"/>
            <wp:effectExtent l="0" t="0" r="4445" b="8890"/>
            <wp:docPr id="9" name="Picture 9" descr="C:\Users\JuanPablo\Desktop\UCL\scatter plot all london practices april 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Pablo\Desktop\UCL\scatter plot all london practices april 20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313" cy="2778868"/>
                    </a:xfrm>
                    <a:prstGeom prst="rect">
                      <a:avLst/>
                    </a:prstGeom>
                    <a:noFill/>
                    <a:ln>
                      <a:noFill/>
                    </a:ln>
                  </pic:spPr>
                </pic:pic>
              </a:graphicData>
            </a:graphic>
          </wp:inline>
        </w:drawing>
      </w:r>
    </w:p>
    <w:p w:rsidR="00871CE4" w:rsidRDefault="00871CE4" w:rsidP="005246A5">
      <w:pPr>
        <w:ind w:firstLine="720"/>
        <w:jc w:val="center"/>
        <w:rPr>
          <w:sz w:val="18"/>
        </w:rPr>
      </w:pPr>
      <w:r w:rsidRPr="005246A5">
        <w:rPr>
          <w:sz w:val="18"/>
        </w:rPr>
        <w:t>Figure</w:t>
      </w:r>
      <w:r w:rsidRPr="005246A5">
        <w:rPr>
          <w:sz w:val="18"/>
        </w:rPr>
        <w:t xml:space="preserve"> 1: Scatter plot with monthly total spending </w:t>
      </w:r>
      <w:r w:rsidR="005246A5">
        <w:rPr>
          <w:sz w:val="18"/>
        </w:rPr>
        <w:t>per</w:t>
      </w:r>
      <w:r w:rsidR="005246A5" w:rsidRPr="005246A5">
        <w:rPr>
          <w:sz w:val="18"/>
        </w:rPr>
        <w:t xml:space="preserve"> </w:t>
      </w:r>
      <w:r w:rsidR="005246A5">
        <w:rPr>
          <w:sz w:val="18"/>
        </w:rPr>
        <w:t xml:space="preserve">registered patients at an </w:t>
      </w:r>
      <w:r w:rsidR="005246A5" w:rsidRPr="005246A5">
        <w:rPr>
          <w:sz w:val="18"/>
        </w:rPr>
        <w:t>individual practice.</w:t>
      </w:r>
    </w:p>
    <w:p w:rsidR="005246A5" w:rsidRDefault="005246A5" w:rsidP="00C45C1E">
      <w:pPr>
        <w:ind w:firstLine="720"/>
        <w:jc w:val="both"/>
        <w:rPr>
          <w:sz w:val="18"/>
        </w:rPr>
      </w:pPr>
    </w:p>
    <w:p w:rsidR="005246A5" w:rsidRPr="005246A5" w:rsidRDefault="005246A5" w:rsidP="00C45C1E">
      <w:pPr>
        <w:ind w:firstLine="720"/>
        <w:jc w:val="both"/>
      </w:pPr>
      <w:r>
        <w:t>There appears to be points denoting practices that although register a number of patients over 30,000, report a monthly total spending that deviates a substantial amount from the trend line. These practices could be “dummy” practices or the result of a merger or splitting of practices.</w:t>
      </w:r>
      <w:r w:rsidR="00C45C1E">
        <w:t xml:space="preserve"> As seen in figure 2, the majority of practices issue prescriptions in the range of </w:t>
      </w:r>
      <w:r w:rsidR="00C45C1E" w:rsidRPr="00C45C1E">
        <w:t>£</w:t>
      </w:r>
      <w:r w:rsidR="00C45C1E">
        <w:t xml:space="preserve">10 to </w:t>
      </w:r>
      <w:r w:rsidR="00C45C1E" w:rsidRPr="00C45C1E">
        <w:t>£</w:t>
      </w:r>
      <w:r w:rsidR="00C45C1E">
        <w:t>12.</w:t>
      </w:r>
      <w:r w:rsidR="005A1843">
        <w:t xml:space="preserve"> Also, there are practices that are well above the average amount of patients registered. These practices could also be from mergers, or data reported incorrectly.</w:t>
      </w:r>
    </w:p>
    <w:p w:rsidR="00871CE4" w:rsidRPr="00035DD5" w:rsidRDefault="00871CE4" w:rsidP="00871CE4">
      <w:pPr>
        <w:rPr>
          <w:b/>
          <w:i/>
        </w:rPr>
      </w:pPr>
      <w:r>
        <w:rPr>
          <w:b/>
          <w:i/>
        </w:rPr>
        <w:tab/>
      </w:r>
    </w:p>
    <w:p w:rsidR="0093642C" w:rsidRDefault="00054AE8" w:rsidP="0093642C">
      <w:pPr>
        <w:jc w:val="center"/>
        <w:rPr>
          <w:b/>
          <w:i/>
          <w:sz w:val="28"/>
        </w:rPr>
      </w:pPr>
      <w:r>
        <w:rPr>
          <w:noProof/>
          <w:lang w:eastAsia="en-GB"/>
        </w:rPr>
        <w:lastRenderedPageBreak/>
        <w:drawing>
          <wp:inline distT="0" distB="0" distL="0" distR="0">
            <wp:extent cx="3681344" cy="2333447"/>
            <wp:effectExtent l="0" t="0" r="0" b="0"/>
            <wp:docPr id="3" name="Picture 3" descr="C:\Users\JuanPablo\Desktop\UCL\histogram 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Pablo\Desktop\UCL\histogram A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1910" cy="2352822"/>
                    </a:xfrm>
                    <a:prstGeom prst="rect">
                      <a:avLst/>
                    </a:prstGeom>
                    <a:noFill/>
                    <a:ln>
                      <a:noFill/>
                    </a:ln>
                  </pic:spPr>
                </pic:pic>
              </a:graphicData>
            </a:graphic>
          </wp:inline>
        </w:drawing>
      </w:r>
    </w:p>
    <w:p w:rsidR="005246A5" w:rsidRDefault="005246A5" w:rsidP="005246A5">
      <w:pPr>
        <w:jc w:val="center"/>
        <w:rPr>
          <w:sz w:val="18"/>
        </w:rPr>
      </w:pPr>
      <w:r>
        <w:rPr>
          <w:sz w:val="18"/>
        </w:rPr>
        <w:t>Figure 2: Distribution of monthly total prescription per registered patient at an individual practice.</w:t>
      </w:r>
      <w:r w:rsidR="00494DEE">
        <w:rPr>
          <w:sz w:val="18"/>
        </w:rPr>
        <w:t xml:space="preserve"> Note: a series of code snippets are included in the </w:t>
      </w:r>
      <w:proofErr w:type="spellStart"/>
      <w:r w:rsidR="00494DEE">
        <w:rPr>
          <w:sz w:val="18"/>
        </w:rPr>
        <w:t>IPython</w:t>
      </w:r>
      <w:proofErr w:type="spellEnd"/>
      <w:r w:rsidR="00494DEE">
        <w:rPr>
          <w:sz w:val="18"/>
        </w:rPr>
        <w:t xml:space="preserve"> Notebook in the attempt to fit the Gaussian curve.</w:t>
      </w:r>
    </w:p>
    <w:p w:rsidR="00494DEE" w:rsidRPr="005246A5" w:rsidRDefault="00494DEE" w:rsidP="005246A5">
      <w:pPr>
        <w:jc w:val="center"/>
        <w:rPr>
          <w:sz w:val="18"/>
        </w:rPr>
      </w:pPr>
    </w:p>
    <w:p w:rsidR="007960E6" w:rsidRPr="00BA4A3A" w:rsidRDefault="007960E6" w:rsidP="00D555C9">
      <w:pPr>
        <w:jc w:val="both"/>
        <w:rPr>
          <w:b/>
          <w:i/>
          <w:sz w:val="28"/>
        </w:rPr>
      </w:pPr>
      <w:r w:rsidRPr="00BA4A3A">
        <w:rPr>
          <w:b/>
          <w:i/>
          <w:sz w:val="28"/>
        </w:rPr>
        <w:t>Assignment B</w:t>
      </w:r>
    </w:p>
    <w:p w:rsidR="007960E6" w:rsidRDefault="007960E6" w:rsidP="00D555C9">
      <w:pPr>
        <w:jc w:val="both"/>
        <w:rPr>
          <w:b/>
          <w:i/>
        </w:rPr>
      </w:pPr>
      <w:r w:rsidRPr="00EF6E0F">
        <w:rPr>
          <w:b/>
          <w:i/>
        </w:rPr>
        <w:t xml:space="preserve">Question </w:t>
      </w:r>
      <w:r w:rsidR="00AA5E83">
        <w:rPr>
          <w:b/>
          <w:i/>
        </w:rPr>
        <w:t>B.</w:t>
      </w:r>
      <w:r w:rsidRPr="00EF6E0F">
        <w:rPr>
          <w:b/>
          <w:i/>
        </w:rPr>
        <w:t>1</w:t>
      </w:r>
    </w:p>
    <w:p w:rsidR="006D4775" w:rsidRPr="006D4775" w:rsidRDefault="00EF6E0F" w:rsidP="006D4775">
      <w:pPr>
        <w:jc w:val="both"/>
      </w:pPr>
      <w:r>
        <w:rPr>
          <w:b/>
          <w:i/>
        </w:rPr>
        <w:tab/>
      </w:r>
      <w:r w:rsidR="006D4775" w:rsidRPr="006D4775">
        <w:t>Iceland's population in the year 2010 was 318,041, and its total deaths during the same year were 2,019.</w:t>
      </w:r>
    </w:p>
    <w:p w:rsidR="006D4775" w:rsidRPr="006D4775" w:rsidRDefault="006D4775" w:rsidP="006D4775">
      <w:pPr>
        <w:ind w:firstLine="720"/>
        <w:jc w:val="both"/>
      </w:pPr>
      <w:r w:rsidRPr="006D4775">
        <w:t>New Zealand's population in the year 2010 was 4,367,360, and its total deaths during the same year were 28,649.</w:t>
      </w:r>
    </w:p>
    <w:p w:rsidR="00EF6E0F" w:rsidRPr="006D4775" w:rsidRDefault="006D4775" w:rsidP="006D4775">
      <w:pPr>
        <w:ind w:firstLine="720"/>
        <w:jc w:val="both"/>
        <w:rPr>
          <w:u w:val="single"/>
        </w:rPr>
      </w:pPr>
      <w:r w:rsidRPr="006D4775">
        <w:t>Italy's population in the year 2010 was 60,483,386, and its total deaths during the same year were 584,615.</w:t>
      </w:r>
    </w:p>
    <w:p w:rsidR="007960E6" w:rsidRDefault="007960E6" w:rsidP="00D555C9">
      <w:pPr>
        <w:jc w:val="both"/>
        <w:rPr>
          <w:b/>
          <w:i/>
        </w:rPr>
      </w:pPr>
      <w:r w:rsidRPr="006D4775">
        <w:rPr>
          <w:b/>
          <w:i/>
        </w:rPr>
        <w:t xml:space="preserve">Question </w:t>
      </w:r>
      <w:r w:rsidR="00AA5E83">
        <w:rPr>
          <w:b/>
          <w:i/>
        </w:rPr>
        <w:t>B.</w:t>
      </w:r>
      <w:r w:rsidRPr="006D4775">
        <w:rPr>
          <w:b/>
          <w:i/>
        </w:rPr>
        <w:t>2</w:t>
      </w:r>
    </w:p>
    <w:p w:rsidR="006D4775" w:rsidRDefault="00F73C20" w:rsidP="00F73C20">
      <w:pPr>
        <w:jc w:val="center"/>
      </w:pPr>
      <w:r>
        <w:rPr>
          <w:b/>
          <w:i/>
          <w:noProof/>
          <w:lang w:eastAsia="en-GB"/>
        </w:rPr>
        <w:drawing>
          <wp:inline distT="0" distB="0" distL="0" distR="0">
            <wp:extent cx="3237322" cy="2530856"/>
            <wp:effectExtent l="0" t="0" r="1270" b="3175"/>
            <wp:docPr id="2" name="Picture 2" descr="C:\Users\JuanPablo\Desktop\UCL\italy ICD-10 all years and 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Pablo\Desktop\UCL\italy ICD-10 all years and 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976" cy="2545439"/>
                    </a:xfrm>
                    <a:prstGeom prst="rect">
                      <a:avLst/>
                    </a:prstGeom>
                    <a:noFill/>
                    <a:ln>
                      <a:noFill/>
                    </a:ln>
                  </pic:spPr>
                </pic:pic>
              </a:graphicData>
            </a:graphic>
          </wp:inline>
        </w:drawing>
      </w:r>
    </w:p>
    <w:p w:rsidR="005246A5" w:rsidRDefault="005246A5" w:rsidP="005246A5">
      <w:pPr>
        <w:ind w:firstLine="720"/>
        <w:jc w:val="center"/>
        <w:rPr>
          <w:sz w:val="18"/>
        </w:rPr>
      </w:pPr>
      <w:r w:rsidRPr="005246A5">
        <w:rPr>
          <w:sz w:val="18"/>
        </w:rPr>
        <w:t>Figure 3: Distribution by age groups of all causes of death in Italy.</w:t>
      </w:r>
    </w:p>
    <w:p w:rsidR="0013088F" w:rsidRPr="0013088F" w:rsidRDefault="0013088F" w:rsidP="0013088F">
      <w:pPr>
        <w:ind w:firstLine="720"/>
      </w:pPr>
      <w:r>
        <w:t xml:space="preserve">It is possible to observe a certain amount of child mortality, which is highest for new-borns at 0 years of age, probably because of complications during pregnancy, at birth or from congenital </w:t>
      </w:r>
      <w:r>
        <w:lastRenderedPageBreak/>
        <w:t>diseases. After that period, child mortality decreases and starts to grow again after 10 years of age. The group with the higher mortality is the cohort between 80 and 84 years old.</w:t>
      </w:r>
    </w:p>
    <w:p w:rsidR="007960E6" w:rsidRDefault="007960E6" w:rsidP="00D555C9">
      <w:pPr>
        <w:jc w:val="both"/>
        <w:rPr>
          <w:b/>
          <w:i/>
        </w:rPr>
      </w:pPr>
      <w:r w:rsidRPr="00F61C43">
        <w:rPr>
          <w:b/>
          <w:i/>
        </w:rPr>
        <w:t xml:space="preserve">Question </w:t>
      </w:r>
      <w:r w:rsidR="00AA5E83">
        <w:rPr>
          <w:b/>
          <w:i/>
        </w:rPr>
        <w:t>B.</w:t>
      </w:r>
      <w:r w:rsidRPr="00F61C43">
        <w:rPr>
          <w:b/>
          <w:i/>
        </w:rPr>
        <w:t>3</w:t>
      </w:r>
    </w:p>
    <w:p w:rsidR="0026496E" w:rsidRPr="0026496E" w:rsidRDefault="0026496E" w:rsidP="00D555C9">
      <w:pPr>
        <w:jc w:val="both"/>
      </w:pPr>
      <w:r>
        <w:tab/>
        <w:t>Lung cancer has been the major cause of mortality by neoplasms during the period covered by the data</w:t>
      </w:r>
      <w:r w:rsidR="003329A5">
        <w:t xml:space="preserve"> (t</w:t>
      </w:r>
      <w:bookmarkStart w:id="0" w:name="_GoBack"/>
      <w:bookmarkEnd w:id="0"/>
      <w:r w:rsidR="003329A5">
        <w:t>able 5 and figure 4)</w:t>
      </w:r>
      <w:r>
        <w:t>. The category by itself has more deaths than the next two groups combined. Being smoking the main cause of lung cancer (12) governmental policies against tobacco commercialisation and in favour of informing the general population remain as the most critical steps against the disease.</w:t>
      </w:r>
    </w:p>
    <w:p w:rsidR="00E84D39" w:rsidRDefault="00F61C43" w:rsidP="00D555C9">
      <w:pPr>
        <w:jc w:val="both"/>
      </w:pPr>
      <w:r>
        <w:tab/>
        <w:t>Table 5: Top five causes of death in Italy across all years</w:t>
      </w:r>
      <w:r w:rsidR="00AA5E83">
        <w:t>. Codes obtained from ICD-10 Version 2016 (7)</w:t>
      </w:r>
      <w:r>
        <w:t>.</w:t>
      </w:r>
      <w:r w:rsidR="00AA5E83">
        <w:t xml:space="preserve"> </w:t>
      </w:r>
    </w:p>
    <w:tbl>
      <w:tblPr>
        <w:tblW w:w="7472" w:type="dxa"/>
        <w:jc w:val="center"/>
        <w:tblLook w:val="04A0" w:firstRow="1" w:lastRow="0" w:firstColumn="1" w:lastColumn="0" w:noHBand="0" w:noVBand="1"/>
      </w:tblPr>
      <w:tblGrid>
        <w:gridCol w:w="827"/>
        <w:gridCol w:w="4080"/>
        <w:gridCol w:w="940"/>
        <w:gridCol w:w="1625"/>
      </w:tblGrid>
      <w:tr w:rsidR="00E84D39" w:rsidRPr="00E84D39" w:rsidTr="00F61C43">
        <w:trPr>
          <w:trHeight w:val="300"/>
          <w:jc w:val="center"/>
        </w:trPr>
        <w:tc>
          <w:tcPr>
            <w:tcW w:w="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4D39" w:rsidRPr="00E84D39" w:rsidRDefault="00F61C43" w:rsidP="00E84D39">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ICD-10 Code</w:t>
            </w:r>
          </w:p>
        </w:tc>
        <w:tc>
          <w:tcPr>
            <w:tcW w:w="4080" w:type="dxa"/>
            <w:tcBorders>
              <w:top w:val="single" w:sz="4" w:space="0" w:color="auto"/>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b/>
                <w:bCs/>
                <w:color w:val="000000"/>
                <w:lang w:eastAsia="en-GB"/>
              </w:rPr>
            </w:pPr>
            <w:r w:rsidRPr="00E84D39">
              <w:rPr>
                <w:rFonts w:ascii="Calibri" w:eastAsia="Times New Roman" w:hAnsi="Calibri" w:cs="Calibri"/>
                <w:b/>
                <w:bCs/>
                <w:color w:val="000000"/>
                <w:lang w:eastAsia="en-GB"/>
              </w:rPr>
              <w:t>Cause</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b/>
                <w:bCs/>
                <w:color w:val="000000"/>
                <w:lang w:eastAsia="en-GB"/>
              </w:rPr>
            </w:pPr>
            <w:r w:rsidRPr="00E84D39">
              <w:rPr>
                <w:rFonts w:ascii="Calibri" w:eastAsia="Times New Roman" w:hAnsi="Calibri" w:cs="Calibri"/>
                <w:b/>
                <w:bCs/>
                <w:color w:val="000000"/>
                <w:lang w:eastAsia="en-GB"/>
              </w:rPr>
              <w:t>Deaths</w:t>
            </w:r>
          </w:p>
        </w:tc>
        <w:tc>
          <w:tcPr>
            <w:tcW w:w="1625" w:type="dxa"/>
            <w:tcBorders>
              <w:top w:val="single" w:sz="4" w:space="0" w:color="auto"/>
              <w:left w:val="nil"/>
              <w:bottom w:val="single" w:sz="4" w:space="0" w:color="auto"/>
              <w:right w:val="single" w:sz="4" w:space="0" w:color="auto"/>
            </w:tcBorders>
            <w:shd w:val="clear" w:color="000000" w:fill="FFFFFF"/>
            <w:noWrap/>
            <w:vAlign w:val="center"/>
            <w:hideMark/>
          </w:tcPr>
          <w:p w:rsidR="00E84D39" w:rsidRPr="00E84D39" w:rsidRDefault="00F61C43" w:rsidP="00F61C43">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Percentage of Overall Deaths</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C34</w:t>
            </w:r>
          </w:p>
        </w:tc>
        <w:tc>
          <w:tcPr>
            <w:tcW w:w="4080" w:type="dxa"/>
            <w:tcBorders>
              <w:top w:val="nil"/>
              <w:left w:val="nil"/>
              <w:bottom w:val="single" w:sz="4" w:space="0" w:color="auto"/>
              <w:right w:val="single" w:sz="4" w:space="0" w:color="auto"/>
            </w:tcBorders>
            <w:shd w:val="clear" w:color="000000" w:fill="F5F5F5"/>
            <w:noWrap/>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bronchus and lung</w:t>
            </w:r>
          </w:p>
        </w:tc>
        <w:tc>
          <w:tcPr>
            <w:tcW w:w="940" w:type="dxa"/>
            <w:tcBorders>
              <w:top w:val="nil"/>
              <w:left w:val="nil"/>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430,069</w:t>
            </w:r>
          </w:p>
        </w:tc>
        <w:tc>
          <w:tcPr>
            <w:tcW w:w="1625" w:type="dxa"/>
            <w:tcBorders>
              <w:top w:val="nil"/>
              <w:left w:val="nil"/>
              <w:bottom w:val="single" w:sz="4" w:space="0" w:color="auto"/>
              <w:right w:val="single" w:sz="4" w:space="0" w:color="auto"/>
            </w:tcBorders>
            <w:shd w:val="clear" w:color="000000" w:fill="F5F5F5"/>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5.63</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C18</w:t>
            </w:r>
          </w:p>
        </w:tc>
        <w:tc>
          <w:tcPr>
            <w:tcW w:w="4080" w:type="dxa"/>
            <w:tcBorders>
              <w:top w:val="nil"/>
              <w:left w:val="nil"/>
              <w:bottom w:val="single" w:sz="4" w:space="0" w:color="auto"/>
              <w:right w:val="single" w:sz="4" w:space="0" w:color="auto"/>
            </w:tcBorders>
            <w:shd w:val="clear" w:color="000000" w:fill="FFFFFF"/>
            <w:noWrap/>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colon</w:t>
            </w:r>
          </w:p>
        </w:tc>
        <w:tc>
          <w:tcPr>
            <w:tcW w:w="94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182,802</w:t>
            </w:r>
          </w:p>
        </w:tc>
        <w:tc>
          <w:tcPr>
            <w:tcW w:w="1625" w:type="dxa"/>
            <w:tcBorders>
              <w:top w:val="nil"/>
              <w:left w:val="nil"/>
              <w:bottom w:val="single" w:sz="4" w:space="0" w:color="auto"/>
              <w:right w:val="single" w:sz="4" w:space="0" w:color="auto"/>
            </w:tcBorders>
            <w:shd w:val="clear" w:color="000000" w:fill="FFFFFF"/>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2.39</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C50</w:t>
            </w:r>
          </w:p>
        </w:tc>
        <w:tc>
          <w:tcPr>
            <w:tcW w:w="4080" w:type="dxa"/>
            <w:tcBorders>
              <w:top w:val="nil"/>
              <w:left w:val="nil"/>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breast</w:t>
            </w:r>
          </w:p>
        </w:tc>
        <w:tc>
          <w:tcPr>
            <w:tcW w:w="940" w:type="dxa"/>
            <w:tcBorders>
              <w:top w:val="nil"/>
              <w:left w:val="nil"/>
              <w:bottom w:val="single" w:sz="4" w:space="0" w:color="auto"/>
              <w:right w:val="single" w:sz="4" w:space="0" w:color="auto"/>
            </w:tcBorders>
            <w:shd w:val="clear" w:color="000000" w:fill="F5F5F5"/>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156,002</w:t>
            </w:r>
          </w:p>
        </w:tc>
        <w:tc>
          <w:tcPr>
            <w:tcW w:w="1625" w:type="dxa"/>
            <w:tcBorders>
              <w:top w:val="nil"/>
              <w:left w:val="nil"/>
              <w:bottom w:val="single" w:sz="4" w:space="0" w:color="auto"/>
              <w:right w:val="single" w:sz="4" w:space="0" w:color="auto"/>
            </w:tcBorders>
            <w:shd w:val="clear" w:color="000000" w:fill="F5F5F5"/>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2.04</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C16</w:t>
            </w:r>
          </w:p>
        </w:tc>
        <w:tc>
          <w:tcPr>
            <w:tcW w:w="408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stomach</w:t>
            </w:r>
          </w:p>
        </w:tc>
        <w:tc>
          <w:tcPr>
            <w:tcW w:w="94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132,676</w:t>
            </w:r>
          </w:p>
        </w:tc>
        <w:tc>
          <w:tcPr>
            <w:tcW w:w="1625" w:type="dxa"/>
            <w:tcBorders>
              <w:top w:val="nil"/>
              <w:left w:val="nil"/>
              <w:bottom w:val="single" w:sz="4" w:space="0" w:color="auto"/>
              <w:right w:val="single" w:sz="4" w:space="0" w:color="auto"/>
            </w:tcBorders>
            <w:shd w:val="clear" w:color="000000" w:fill="FFFFFF"/>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1.74</w:t>
            </w:r>
          </w:p>
        </w:tc>
      </w:tr>
      <w:tr w:rsidR="00E84D39" w:rsidRPr="00E84D39" w:rsidTr="00F61C43">
        <w:trPr>
          <w:trHeight w:val="300"/>
          <w:jc w:val="center"/>
        </w:trPr>
        <w:tc>
          <w:tcPr>
            <w:tcW w:w="827" w:type="dxa"/>
            <w:tcBorders>
              <w:top w:val="nil"/>
              <w:left w:val="single" w:sz="4" w:space="0" w:color="auto"/>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C25</w:t>
            </w:r>
          </w:p>
        </w:tc>
        <w:tc>
          <w:tcPr>
            <w:tcW w:w="408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rPr>
                <w:rFonts w:ascii="Calibri" w:eastAsia="Times New Roman" w:hAnsi="Calibri" w:cs="Calibri"/>
                <w:color w:val="000000"/>
                <w:lang w:eastAsia="en-GB"/>
              </w:rPr>
            </w:pPr>
            <w:r w:rsidRPr="00E84D39">
              <w:rPr>
                <w:rFonts w:ascii="Calibri" w:eastAsia="Times New Roman" w:hAnsi="Calibri" w:cs="Calibri"/>
                <w:color w:val="000000"/>
                <w:lang w:eastAsia="en-GB"/>
              </w:rPr>
              <w:t>Malignant neoplasm of pancreas</w:t>
            </w:r>
          </w:p>
        </w:tc>
        <w:tc>
          <w:tcPr>
            <w:tcW w:w="940" w:type="dxa"/>
            <w:tcBorders>
              <w:top w:val="nil"/>
              <w:left w:val="nil"/>
              <w:bottom w:val="single" w:sz="4" w:space="0" w:color="auto"/>
              <w:right w:val="single" w:sz="4" w:space="0" w:color="auto"/>
            </w:tcBorders>
            <w:shd w:val="clear" w:color="000000" w:fill="FFFFFF"/>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132,125</w:t>
            </w:r>
          </w:p>
        </w:tc>
        <w:tc>
          <w:tcPr>
            <w:tcW w:w="1625" w:type="dxa"/>
            <w:tcBorders>
              <w:top w:val="nil"/>
              <w:left w:val="nil"/>
              <w:bottom w:val="single" w:sz="4" w:space="0" w:color="auto"/>
              <w:right w:val="single" w:sz="4" w:space="0" w:color="auto"/>
            </w:tcBorders>
            <w:shd w:val="clear" w:color="000000" w:fill="FFFFFF"/>
            <w:noWrap/>
            <w:vAlign w:val="center"/>
            <w:hideMark/>
          </w:tcPr>
          <w:p w:rsidR="00E84D39" w:rsidRPr="00E84D39" w:rsidRDefault="00E84D39" w:rsidP="00E84D39">
            <w:pPr>
              <w:spacing w:after="0" w:line="240" w:lineRule="auto"/>
              <w:jc w:val="center"/>
              <w:rPr>
                <w:rFonts w:ascii="Calibri" w:eastAsia="Times New Roman" w:hAnsi="Calibri" w:cs="Calibri"/>
                <w:color w:val="000000"/>
                <w:lang w:eastAsia="en-GB"/>
              </w:rPr>
            </w:pPr>
            <w:r w:rsidRPr="00E84D39">
              <w:rPr>
                <w:rFonts w:ascii="Calibri" w:eastAsia="Times New Roman" w:hAnsi="Calibri" w:cs="Calibri"/>
                <w:color w:val="000000"/>
                <w:lang w:eastAsia="en-GB"/>
              </w:rPr>
              <w:t>1.73</w:t>
            </w:r>
          </w:p>
        </w:tc>
      </w:tr>
    </w:tbl>
    <w:p w:rsidR="005246A5" w:rsidRDefault="005246A5" w:rsidP="00971128">
      <w:pPr>
        <w:rPr>
          <w:rFonts w:ascii="Calibri" w:eastAsia="Times New Roman" w:hAnsi="Calibri" w:cs="Calibri"/>
          <w:b/>
          <w:bCs/>
          <w:noProof/>
          <w:color w:val="000000"/>
          <w:lang w:eastAsia="en-GB"/>
        </w:rPr>
      </w:pPr>
    </w:p>
    <w:p w:rsidR="005246A5" w:rsidRDefault="005246A5" w:rsidP="00971128">
      <w:pPr>
        <w:rPr>
          <w:rFonts w:ascii="Calibri" w:eastAsia="Times New Roman" w:hAnsi="Calibri" w:cs="Calibri"/>
          <w:b/>
          <w:bCs/>
          <w:noProof/>
          <w:color w:val="000000"/>
          <w:lang w:eastAsia="en-GB"/>
        </w:rPr>
      </w:pPr>
    </w:p>
    <w:p w:rsidR="00E84D39" w:rsidRDefault="00600921" w:rsidP="00F61C43">
      <w:pPr>
        <w:jc w:val="center"/>
      </w:pPr>
      <w:r>
        <w:rPr>
          <w:rFonts w:ascii="Calibri" w:eastAsia="Times New Roman" w:hAnsi="Calibri" w:cs="Calibri"/>
          <w:b/>
          <w:bCs/>
          <w:noProof/>
          <w:color w:val="000000"/>
          <w:lang w:eastAsia="en-GB"/>
        </w:rPr>
        <w:drawing>
          <wp:inline distT="0" distB="0" distL="0" distR="0">
            <wp:extent cx="3614036" cy="1726083"/>
            <wp:effectExtent l="0" t="0" r="5715" b="0"/>
            <wp:docPr id="5" name="Picture 5" descr="C:\Users\JuanPablo\Desktop\UCL\italy top 5 neoplasm deaths 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Pablo\Desktop\UCL\italy top 5 neoplasm deaths pie 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1072" cy="1743772"/>
                    </a:xfrm>
                    <a:prstGeom prst="rect">
                      <a:avLst/>
                    </a:prstGeom>
                    <a:noFill/>
                    <a:ln>
                      <a:noFill/>
                    </a:ln>
                  </pic:spPr>
                </pic:pic>
              </a:graphicData>
            </a:graphic>
          </wp:inline>
        </w:drawing>
      </w:r>
    </w:p>
    <w:p w:rsidR="005246A5" w:rsidRPr="005246A5" w:rsidRDefault="005246A5" w:rsidP="005246A5">
      <w:pPr>
        <w:jc w:val="center"/>
        <w:rPr>
          <w:rFonts w:ascii="Calibri" w:eastAsia="Times New Roman" w:hAnsi="Calibri" w:cs="Calibri"/>
          <w:bCs/>
          <w:noProof/>
          <w:color w:val="000000"/>
          <w:sz w:val="18"/>
          <w:lang w:eastAsia="en-GB"/>
        </w:rPr>
      </w:pPr>
      <w:r w:rsidRPr="005246A5">
        <w:rPr>
          <w:rFonts w:ascii="Calibri" w:eastAsia="Times New Roman" w:hAnsi="Calibri" w:cs="Calibri"/>
          <w:bCs/>
          <w:noProof/>
          <w:color w:val="000000"/>
          <w:sz w:val="18"/>
          <w:lang w:eastAsia="en-GB"/>
        </w:rPr>
        <w:t xml:space="preserve">Figure </w:t>
      </w:r>
      <w:r w:rsidRPr="005246A5">
        <w:rPr>
          <w:rFonts w:ascii="Calibri" w:eastAsia="Times New Roman" w:hAnsi="Calibri" w:cs="Calibri"/>
          <w:bCs/>
          <w:noProof/>
          <w:color w:val="000000"/>
          <w:sz w:val="18"/>
          <w:lang w:eastAsia="en-GB"/>
        </w:rPr>
        <w:t>4</w:t>
      </w:r>
      <w:r w:rsidRPr="005246A5">
        <w:rPr>
          <w:rFonts w:ascii="Calibri" w:eastAsia="Times New Roman" w:hAnsi="Calibri" w:cs="Calibri"/>
          <w:bCs/>
          <w:noProof/>
          <w:color w:val="000000"/>
          <w:sz w:val="18"/>
          <w:lang w:eastAsia="en-GB"/>
        </w:rPr>
        <w:t>:  Top Five causes of death across all years and age groups.</w:t>
      </w:r>
      <w:r w:rsidR="00C45C1E">
        <w:rPr>
          <w:rFonts w:ascii="Calibri" w:eastAsia="Times New Roman" w:hAnsi="Calibri" w:cs="Calibri"/>
          <w:bCs/>
          <w:noProof/>
          <w:color w:val="000000"/>
          <w:sz w:val="18"/>
          <w:lang w:eastAsia="en-GB"/>
        </w:rPr>
        <w:t xml:space="preserve"> Percentages given as from between these five catgories.</w:t>
      </w:r>
    </w:p>
    <w:p w:rsidR="00F61C43" w:rsidRDefault="00F61C43" w:rsidP="00F61C43">
      <w:pPr>
        <w:jc w:val="center"/>
      </w:pPr>
    </w:p>
    <w:p w:rsidR="007960E6" w:rsidRPr="002627D8" w:rsidRDefault="007960E6" w:rsidP="007E76F8">
      <w:pPr>
        <w:rPr>
          <w:b/>
          <w:i/>
        </w:rPr>
      </w:pPr>
      <w:r w:rsidRPr="002627D8">
        <w:rPr>
          <w:b/>
          <w:i/>
        </w:rPr>
        <w:t xml:space="preserve">Question </w:t>
      </w:r>
      <w:r w:rsidR="00AA5E83">
        <w:rPr>
          <w:b/>
          <w:i/>
        </w:rPr>
        <w:t>B.</w:t>
      </w:r>
      <w:r w:rsidRPr="002627D8">
        <w:rPr>
          <w:b/>
          <w:i/>
        </w:rPr>
        <w:t>4</w:t>
      </w:r>
    </w:p>
    <w:p w:rsidR="002627D8" w:rsidRDefault="002627D8" w:rsidP="00C45C1E">
      <w:pPr>
        <w:ind w:firstLine="720"/>
        <w:jc w:val="both"/>
      </w:pPr>
      <w:r>
        <w:t>There is a difference between age groups for mortality by neoplasms in Australia during 2010. T</w:t>
      </w:r>
      <w:r w:rsidRPr="002627D8">
        <w:t xml:space="preserve">he top five age groups that </w:t>
      </w:r>
      <w:r>
        <w:t>had</w:t>
      </w:r>
      <w:r w:rsidRPr="002627D8">
        <w:t xml:space="preserve"> the hig</w:t>
      </w:r>
      <w:r>
        <w:t>hest mortality during said year are presented in table</w:t>
      </w:r>
      <w:r w:rsidR="004F2288">
        <w:t xml:space="preserve"> 6.</w:t>
      </w:r>
    </w:p>
    <w:p w:rsidR="002627D8" w:rsidRDefault="002627D8" w:rsidP="007E76F8">
      <w:r>
        <w:tab/>
        <w:t xml:space="preserve">Table 6: Top 5 age groups </w:t>
      </w:r>
      <w:r w:rsidR="004F2288">
        <w:t>whose mortality was a result of neoplasms in Australia, 2010.</w:t>
      </w:r>
    </w:p>
    <w:tbl>
      <w:tblPr>
        <w:tblW w:w="2405" w:type="dxa"/>
        <w:jc w:val="center"/>
        <w:tblLook w:val="04A0" w:firstRow="1" w:lastRow="0" w:firstColumn="1" w:lastColumn="0" w:noHBand="0" w:noVBand="1"/>
      </w:tblPr>
      <w:tblGrid>
        <w:gridCol w:w="1555"/>
        <w:gridCol w:w="850"/>
      </w:tblGrid>
      <w:tr w:rsidR="002627D8" w:rsidRPr="002627D8" w:rsidTr="00AA5E83">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627D8" w:rsidRPr="002627D8" w:rsidRDefault="002627D8" w:rsidP="002627D8">
            <w:pPr>
              <w:spacing w:after="0" w:line="240" w:lineRule="auto"/>
              <w:jc w:val="center"/>
              <w:rPr>
                <w:rFonts w:ascii="Arial" w:eastAsia="Times New Roman" w:hAnsi="Arial" w:cs="Arial"/>
                <w:b/>
                <w:bCs/>
                <w:color w:val="000000"/>
                <w:sz w:val="18"/>
                <w:szCs w:val="18"/>
                <w:lang w:eastAsia="en-GB"/>
              </w:rPr>
            </w:pPr>
            <w:r w:rsidRPr="002627D8">
              <w:rPr>
                <w:rFonts w:ascii="Arial" w:eastAsia="Times New Roman" w:hAnsi="Arial" w:cs="Arial"/>
                <w:b/>
                <w:bCs/>
                <w:color w:val="000000"/>
                <w:sz w:val="18"/>
                <w:szCs w:val="18"/>
                <w:lang w:eastAsia="en-GB"/>
              </w:rPr>
              <w:t>Age group</w:t>
            </w:r>
          </w:p>
        </w:tc>
        <w:tc>
          <w:tcPr>
            <w:tcW w:w="850" w:type="dxa"/>
            <w:tcBorders>
              <w:top w:val="single" w:sz="4" w:space="0" w:color="auto"/>
              <w:left w:val="nil"/>
              <w:bottom w:val="single" w:sz="4" w:space="0" w:color="auto"/>
              <w:right w:val="single" w:sz="4" w:space="0" w:color="auto"/>
            </w:tcBorders>
            <w:shd w:val="clear" w:color="000000" w:fill="FFFFFF"/>
            <w:noWrap/>
            <w:vAlign w:val="center"/>
            <w:hideMark/>
          </w:tcPr>
          <w:p w:rsidR="002627D8" w:rsidRPr="002627D8" w:rsidRDefault="002627D8" w:rsidP="002627D8">
            <w:pPr>
              <w:spacing w:after="0" w:line="240" w:lineRule="auto"/>
              <w:jc w:val="center"/>
              <w:rPr>
                <w:rFonts w:ascii="Arial" w:eastAsia="Times New Roman" w:hAnsi="Arial" w:cs="Arial"/>
                <w:b/>
                <w:bCs/>
                <w:color w:val="000000"/>
                <w:sz w:val="18"/>
                <w:szCs w:val="18"/>
                <w:lang w:eastAsia="en-GB"/>
              </w:rPr>
            </w:pPr>
            <w:r w:rsidRPr="002627D8">
              <w:rPr>
                <w:rFonts w:ascii="Arial" w:eastAsia="Times New Roman" w:hAnsi="Arial" w:cs="Arial"/>
                <w:b/>
                <w:bCs/>
                <w:color w:val="000000"/>
                <w:sz w:val="18"/>
                <w:szCs w:val="18"/>
                <w:lang w:eastAsia="en-GB"/>
              </w:rPr>
              <w:t>Deaths</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80-84 years</w:t>
            </w:r>
          </w:p>
        </w:tc>
        <w:tc>
          <w:tcPr>
            <w:tcW w:w="850" w:type="dxa"/>
            <w:tcBorders>
              <w:top w:val="nil"/>
              <w:left w:val="nil"/>
              <w:bottom w:val="single" w:sz="4" w:space="0" w:color="auto"/>
              <w:right w:val="single" w:sz="4" w:space="0" w:color="auto"/>
            </w:tcBorders>
            <w:shd w:val="clear" w:color="000000" w:fill="F5F5F5"/>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7,167</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75-79 years</w:t>
            </w:r>
          </w:p>
        </w:tc>
        <w:tc>
          <w:tcPr>
            <w:tcW w:w="850" w:type="dxa"/>
            <w:tcBorders>
              <w:top w:val="nil"/>
              <w:left w:val="nil"/>
              <w:bottom w:val="single" w:sz="4" w:space="0" w:color="auto"/>
              <w:right w:val="single" w:sz="4" w:space="0" w:color="auto"/>
            </w:tcBorders>
            <w:shd w:val="clear" w:color="000000" w:fill="FFFFFF"/>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6,291</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70-74 years</w:t>
            </w:r>
          </w:p>
        </w:tc>
        <w:tc>
          <w:tcPr>
            <w:tcW w:w="850" w:type="dxa"/>
            <w:tcBorders>
              <w:top w:val="nil"/>
              <w:left w:val="nil"/>
              <w:bottom w:val="single" w:sz="4" w:space="0" w:color="auto"/>
              <w:right w:val="single" w:sz="4" w:space="0" w:color="auto"/>
            </w:tcBorders>
            <w:shd w:val="clear" w:color="000000" w:fill="F5F5F5"/>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5,713</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85-89 years</w:t>
            </w:r>
          </w:p>
        </w:tc>
        <w:tc>
          <w:tcPr>
            <w:tcW w:w="850" w:type="dxa"/>
            <w:tcBorders>
              <w:top w:val="nil"/>
              <w:left w:val="nil"/>
              <w:bottom w:val="single" w:sz="4" w:space="0" w:color="auto"/>
              <w:right w:val="single" w:sz="4" w:space="0" w:color="auto"/>
            </w:tcBorders>
            <w:shd w:val="clear" w:color="000000" w:fill="FFFFFF"/>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5,520</w:t>
            </w:r>
          </w:p>
        </w:tc>
      </w:tr>
      <w:tr w:rsidR="002627D8" w:rsidRPr="002627D8" w:rsidTr="00AA5E83">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2627D8" w:rsidRPr="002627D8" w:rsidRDefault="002627D8" w:rsidP="002627D8">
            <w:pPr>
              <w:spacing w:after="0" w:line="240" w:lineRule="auto"/>
              <w:jc w:val="center"/>
              <w:rPr>
                <w:rFonts w:ascii="Calibri" w:eastAsia="Times New Roman" w:hAnsi="Calibri" w:cs="Calibri"/>
                <w:color w:val="000000"/>
                <w:lang w:eastAsia="en-GB"/>
              </w:rPr>
            </w:pPr>
            <w:r w:rsidRPr="002627D8">
              <w:rPr>
                <w:rFonts w:ascii="Calibri" w:eastAsia="Times New Roman" w:hAnsi="Calibri" w:cs="Calibri"/>
                <w:color w:val="000000"/>
                <w:lang w:eastAsia="en-GB"/>
              </w:rPr>
              <w:t>65-69 years</w:t>
            </w:r>
          </w:p>
        </w:tc>
        <w:tc>
          <w:tcPr>
            <w:tcW w:w="850" w:type="dxa"/>
            <w:tcBorders>
              <w:top w:val="nil"/>
              <w:left w:val="nil"/>
              <w:bottom w:val="single" w:sz="4" w:space="0" w:color="auto"/>
              <w:right w:val="single" w:sz="4" w:space="0" w:color="auto"/>
            </w:tcBorders>
            <w:shd w:val="clear" w:color="000000" w:fill="F5F5F5"/>
            <w:noWrap/>
            <w:vAlign w:val="center"/>
            <w:hideMark/>
          </w:tcPr>
          <w:p w:rsidR="002627D8" w:rsidRPr="002627D8" w:rsidRDefault="002627D8" w:rsidP="002627D8">
            <w:pPr>
              <w:spacing w:after="0" w:line="240" w:lineRule="auto"/>
              <w:jc w:val="center"/>
              <w:rPr>
                <w:rFonts w:ascii="Arial" w:eastAsia="Times New Roman" w:hAnsi="Arial" w:cs="Arial"/>
                <w:color w:val="000000"/>
                <w:sz w:val="18"/>
                <w:szCs w:val="18"/>
                <w:lang w:eastAsia="en-GB"/>
              </w:rPr>
            </w:pPr>
            <w:r w:rsidRPr="002627D8">
              <w:rPr>
                <w:rFonts w:ascii="Arial" w:eastAsia="Times New Roman" w:hAnsi="Arial" w:cs="Arial"/>
                <w:color w:val="000000"/>
                <w:sz w:val="18"/>
                <w:szCs w:val="18"/>
                <w:lang w:eastAsia="en-GB"/>
              </w:rPr>
              <w:t>4,768</w:t>
            </w:r>
          </w:p>
        </w:tc>
      </w:tr>
    </w:tbl>
    <w:p w:rsidR="002627D8" w:rsidRDefault="002627D8" w:rsidP="007E76F8">
      <w:r>
        <w:lastRenderedPageBreak/>
        <w:tab/>
      </w:r>
    </w:p>
    <w:p w:rsidR="002627D8" w:rsidRDefault="002627D8" w:rsidP="00DE45A2">
      <w:pPr>
        <w:ind w:firstLine="720"/>
      </w:pPr>
      <w:r w:rsidRPr="002627D8">
        <w:t>Given the age of the groups with the highest mortality</w:t>
      </w:r>
      <w:r w:rsidR="004F2288">
        <w:t xml:space="preserve"> in the population</w:t>
      </w:r>
      <w:r w:rsidRPr="002627D8">
        <w:t>, this suggests that age is one of the biggest factors for appearance of neoplasms.</w:t>
      </w:r>
    </w:p>
    <w:p w:rsidR="007960E6" w:rsidRDefault="007960E6" w:rsidP="00D555C9">
      <w:pPr>
        <w:jc w:val="both"/>
        <w:rPr>
          <w:b/>
          <w:i/>
        </w:rPr>
      </w:pPr>
      <w:r w:rsidRPr="00DE45A2">
        <w:rPr>
          <w:b/>
          <w:i/>
        </w:rPr>
        <w:t xml:space="preserve">Question </w:t>
      </w:r>
      <w:r w:rsidR="00AA5E83">
        <w:rPr>
          <w:b/>
          <w:i/>
        </w:rPr>
        <w:t>B.</w:t>
      </w:r>
      <w:r w:rsidRPr="00DE45A2">
        <w:rPr>
          <w:b/>
          <w:i/>
        </w:rPr>
        <w:t>5</w:t>
      </w:r>
    </w:p>
    <w:p w:rsidR="00DE45A2" w:rsidRPr="00AA5E83" w:rsidRDefault="0006108D" w:rsidP="0006108D">
      <w:pPr>
        <w:jc w:val="both"/>
        <w:rPr>
          <w:rFonts w:cstheme="minorHAnsi"/>
        </w:rPr>
      </w:pPr>
      <w:r w:rsidRPr="0006108D">
        <w:tab/>
        <w:t>In the year 2010, 289 people out of every 100,000</w:t>
      </w:r>
      <w:r w:rsidR="004F2288">
        <w:t xml:space="preserve"> </w:t>
      </w:r>
      <w:r w:rsidR="00CC4811">
        <w:t xml:space="preserve">people </w:t>
      </w:r>
      <w:r w:rsidRPr="0006108D">
        <w:t xml:space="preserve">died </w:t>
      </w:r>
      <w:r w:rsidR="004F2288">
        <w:t>from</w:t>
      </w:r>
      <w:r w:rsidRPr="0006108D">
        <w:t xml:space="preserve"> neoplasms in Italy.</w:t>
      </w:r>
      <w:r>
        <w:t xml:space="preserve"> D</w:t>
      </w:r>
      <w:r w:rsidR="004F2288">
        <w:t>uring the same period</w:t>
      </w:r>
      <w:r>
        <w:t xml:space="preserve">, </w:t>
      </w:r>
      <w:r w:rsidRPr="0006108D">
        <w:t xml:space="preserve">194 people out of every 100,000 </w:t>
      </w:r>
      <w:r w:rsidR="00CC4811">
        <w:t xml:space="preserve">people </w:t>
      </w:r>
      <w:r w:rsidRPr="0006108D">
        <w:t>died of neoplasms in Australia.</w:t>
      </w:r>
      <w:r>
        <w:t xml:space="preserve"> Italy has</w:t>
      </w:r>
      <w:r w:rsidR="004F2288">
        <w:t xml:space="preserve"> a frequency</w:t>
      </w:r>
      <w:r>
        <w:t xml:space="preserve"> </w:t>
      </w:r>
      <w:r w:rsidR="004F2288">
        <w:t>of neoplasm deaths</w:t>
      </w:r>
      <w:r w:rsidR="00CC4811">
        <w:t>,</w:t>
      </w:r>
      <w:r w:rsidR="004F2288">
        <w:t xml:space="preserve"> </w:t>
      </w:r>
      <w:r w:rsidR="00CC4811">
        <w:t xml:space="preserve">in the whole population, of </w:t>
      </w:r>
      <w:r>
        <w:t xml:space="preserve">almost 50% more </w:t>
      </w:r>
      <w:r w:rsidR="004F2288">
        <w:rPr>
          <w:rFonts w:cstheme="minorHAnsi"/>
        </w:rPr>
        <w:t>than those from</w:t>
      </w:r>
      <w:r w:rsidRPr="00AA5E83">
        <w:rPr>
          <w:rFonts w:cstheme="minorHAnsi"/>
        </w:rPr>
        <w:t xml:space="preserve"> Australia.</w:t>
      </w:r>
    </w:p>
    <w:p w:rsidR="00AA2D4A" w:rsidRDefault="00AA2D4A" w:rsidP="00C45C1E">
      <w:pPr>
        <w:shd w:val="clear" w:color="auto" w:fill="FFFFFF"/>
        <w:spacing w:after="0" w:line="240" w:lineRule="auto"/>
        <w:ind w:firstLine="360"/>
        <w:jc w:val="both"/>
        <w:rPr>
          <w:rFonts w:eastAsia="Times New Roman" w:cstheme="minorHAnsi"/>
          <w:color w:val="000000"/>
          <w:lang w:eastAsia="en-GB"/>
        </w:rPr>
      </w:pPr>
      <w:r w:rsidRPr="00AA2D4A">
        <w:rPr>
          <w:rFonts w:eastAsia="Times New Roman" w:cstheme="minorHAnsi"/>
          <w:color w:val="000000"/>
          <w:lang w:eastAsia="en-GB"/>
        </w:rPr>
        <w:t>The top five causes of death in</w:t>
      </w:r>
      <w:r w:rsidR="006D46C4">
        <w:rPr>
          <w:rFonts w:eastAsia="Times New Roman" w:cstheme="minorHAnsi"/>
          <w:color w:val="000000"/>
          <w:lang w:eastAsia="en-GB"/>
        </w:rPr>
        <w:t xml:space="preserve"> Australia and</w:t>
      </w:r>
      <w:r w:rsidRPr="00AA2D4A">
        <w:rPr>
          <w:rFonts w:eastAsia="Times New Roman" w:cstheme="minorHAnsi"/>
          <w:color w:val="000000"/>
          <w:lang w:eastAsia="en-GB"/>
        </w:rPr>
        <w:t xml:space="preserve"> Italy in the Neoplasm category during the year 2010 </w:t>
      </w:r>
      <w:r w:rsidR="006D46C4">
        <w:rPr>
          <w:rFonts w:eastAsia="Times New Roman" w:cstheme="minorHAnsi"/>
          <w:color w:val="000000"/>
          <w:lang w:eastAsia="en-GB"/>
        </w:rPr>
        <w:t xml:space="preserve">are detailed in table 7 and figure </w:t>
      </w:r>
      <w:r w:rsidR="00C45C1E">
        <w:rPr>
          <w:rFonts w:eastAsia="Times New Roman" w:cstheme="minorHAnsi"/>
          <w:color w:val="000000"/>
          <w:lang w:eastAsia="en-GB"/>
        </w:rPr>
        <w:t>5</w:t>
      </w:r>
      <w:r w:rsidR="006D46C4">
        <w:rPr>
          <w:rFonts w:eastAsia="Times New Roman" w:cstheme="minorHAnsi"/>
          <w:color w:val="000000"/>
          <w:lang w:eastAsia="en-GB"/>
        </w:rPr>
        <w:t xml:space="preserve"> (7)</w:t>
      </w:r>
      <w:r w:rsidR="004F2288">
        <w:rPr>
          <w:rFonts w:eastAsia="Times New Roman" w:cstheme="minorHAnsi"/>
          <w:color w:val="000000"/>
          <w:lang w:eastAsia="en-GB"/>
        </w:rPr>
        <w:t>.</w:t>
      </w:r>
      <w:r w:rsidR="00CC4811">
        <w:rPr>
          <w:rFonts w:eastAsia="Times New Roman" w:cstheme="minorHAnsi"/>
          <w:color w:val="000000"/>
          <w:lang w:eastAsia="en-GB"/>
        </w:rPr>
        <w:t xml:space="preserve"> In contrast with the previous comparison against the total population, the main causes of death have very similar frequencies when are compared against the overall deaths during the same period. This suggests that the factors, and the susceptibility to these factors, are similar between both countries.</w:t>
      </w:r>
    </w:p>
    <w:p w:rsidR="004F2288" w:rsidRDefault="004F2288" w:rsidP="00AA2D4A">
      <w:pPr>
        <w:shd w:val="clear" w:color="auto" w:fill="FFFFFF"/>
        <w:spacing w:after="0" w:line="240" w:lineRule="auto"/>
        <w:ind w:firstLine="360"/>
        <w:rPr>
          <w:rFonts w:eastAsia="Times New Roman" w:cstheme="minorHAnsi"/>
          <w:color w:val="000000"/>
          <w:lang w:eastAsia="en-GB"/>
        </w:rPr>
      </w:pPr>
    </w:p>
    <w:p w:rsidR="004F2288" w:rsidRDefault="004F2288" w:rsidP="00AA2D4A">
      <w:pPr>
        <w:shd w:val="clear" w:color="auto" w:fill="FFFFFF"/>
        <w:spacing w:after="0" w:line="240" w:lineRule="auto"/>
        <w:ind w:firstLine="360"/>
        <w:rPr>
          <w:rFonts w:eastAsia="Times New Roman" w:cstheme="minorHAnsi"/>
          <w:color w:val="000000"/>
          <w:lang w:eastAsia="en-GB"/>
        </w:rPr>
      </w:pPr>
      <w:r>
        <w:rPr>
          <w:rFonts w:eastAsia="Times New Roman" w:cstheme="minorHAnsi"/>
          <w:color w:val="000000"/>
          <w:lang w:eastAsia="en-GB"/>
        </w:rPr>
        <w:t>Table 7: Top 5 causes of death from the neoplasm category in Australia and Italy, 2010.</w:t>
      </w:r>
    </w:p>
    <w:tbl>
      <w:tblPr>
        <w:tblW w:w="3964" w:type="dxa"/>
        <w:jc w:val="center"/>
        <w:tblLook w:val="04A0" w:firstRow="1" w:lastRow="0" w:firstColumn="1" w:lastColumn="0" w:noHBand="0" w:noVBand="1"/>
      </w:tblPr>
      <w:tblGrid>
        <w:gridCol w:w="987"/>
        <w:gridCol w:w="1843"/>
        <w:gridCol w:w="1134"/>
      </w:tblGrid>
      <w:tr w:rsidR="004F2288" w:rsidRPr="006D46C4" w:rsidTr="004D7660">
        <w:trPr>
          <w:trHeight w:val="720"/>
          <w:jc w:val="center"/>
        </w:trPr>
        <w:tc>
          <w:tcPr>
            <w:tcW w:w="98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Country</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Cause</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Frequency every 100,000 deaths</w:t>
            </w:r>
          </w:p>
        </w:tc>
      </w:tr>
      <w:tr w:rsidR="004F2288" w:rsidRPr="006D46C4" w:rsidTr="004D7660">
        <w:trPr>
          <w:trHeight w:val="300"/>
          <w:jc w:val="center"/>
        </w:trPr>
        <w:tc>
          <w:tcPr>
            <w:tcW w:w="987" w:type="dxa"/>
            <w:vMerge w:val="restart"/>
            <w:tcBorders>
              <w:top w:val="nil"/>
              <w:left w:val="single" w:sz="4" w:space="0" w:color="auto"/>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Australia</w:t>
            </w:r>
          </w:p>
        </w:tc>
        <w:tc>
          <w:tcPr>
            <w:tcW w:w="1843"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C34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Lung</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5,644.3</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C61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Prostate</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2,255.5</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C50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Breast</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1,997.6</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C80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No specification</w:t>
            </w:r>
            <w:r>
              <w:rPr>
                <w:rFonts w:ascii="Arial" w:eastAsia="Times New Roman" w:hAnsi="Arial" w:cs="Arial"/>
                <w:color w:val="000000"/>
                <w:sz w:val="18"/>
                <w:szCs w:val="18"/>
                <w:lang w:eastAsia="en-GB"/>
              </w:rPr>
              <w:t xml:space="preserve"> of site</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1,939.7</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C25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Pancreas</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1,696.5</w:t>
            </w:r>
          </w:p>
        </w:tc>
      </w:tr>
      <w:tr w:rsidR="004F2288" w:rsidRPr="006D46C4" w:rsidTr="004D7660">
        <w:trPr>
          <w:trHeight w:val="300"/>
          <w:jc w:val="center"/>
        </w:trPr>
        <w:tc>
          <w:tcPr>
            <w:tcW w:w="987"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b/>
                <w:bCs/>
                <w:color w:val="000000"/>
                <w:sz w:val="18"/>
                <w:szCs w:val="18"/>
                <w:lang w:eastAsia="en-GB"/>
              </w:rPr>
            </w:pPr>
            <w:r w:rsidRPr="006D46C4">
              <w:rPr>
                <w:rFonts w:ascii="Arial" w:eastAsia="Times New Roman" w:hAnsi="Arial" w:cs="Arial"/>
                <w:b/>
                <w:bCs/>
                <w:color w:val="000000"/>
                <w:sz w:val="18"/>
                <w:szCs w:val="18"/>
                <w:lang w:eastAsia="en-GB"/>
              </w:rPr>
              <w:t>Italy</w:t>
            </w: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C34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Lung</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5,763.8</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C18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Colon</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2,488.3</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C50</w:t>
            </w:r>
            <w:r>
              <w:rPr>
                <w:rFonts w:eastAsia="Times New Roman" w:cstheme="minorHAnsi"/>
                <w:color w:val="000000"/>
                <w:lang w:eastAsia="en-GB"/>
              </w:rPr>
              <w:t xml:space="preserve"> - </w:t>
            </w:r>
            <w:r w:rsidRPr="006D46C4">
              <w:rPr>
                <w:rFonts w:ascii="Arial" w:eastAsia="Times New Roman" w:hAnsi="Arial" w:cs="Arial"/>
                <w:color w:val="000000"/>
                <w:sz w:val="18"/>
                <w:szCs w:val="18"/>
                <w:lang w:eastAsia="en-GB"/>
              </w:rPr>
              <w:t>Breast</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2,093.3</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5F5F5"/>
            <w:noWrap/>
            <w:vAlign w:val="center"/>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C25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Pancreas</w:t>
            </w:r>
          </w:p>
        </w:tc>
        <w:tc>
          <w:tcPr>
            <w:tcW w:w="1134" w:type="dxa"/>
            <w:tcBorders>
              <w:top w:val="nil"/>
              <w:left w:val="nil"/>
              <w:bottom w:val="single" w:sz="4" w:space="0" w:color="auto"/>
              <w:right w:val="single" w:sz="4" w:space="0" w:color="auto"/>
            </w:tcBorders>
            <w:shd w:val="clear" w:color="000000" w:fill="F5F5F5"/>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1,798.1</w:t>
            </w:r>
          </w:p>
        </w:tc>
      </w:tr>
      <w:tr w:rsidR="004F2288" w:rsidRPr="006D46C4" w:rsidTr="004D7660">
        <w:trPr>
          <w:trHeight w:val="300"/>
          <w:jc w:val="center"/>
        </w:trPr>
        <w:tc>
          <w:tcPr>
            <w:tcW w:w="987" w:type="dxa"/>
            <w:vMerge/>
            <w:tcBorders>
              <w:top w:val="nil"/>
              <w:left w:val="single" w:sz="4" w:space="0" w:color="auto"/>
              <w:bottom w:val="single" w:sz="4" w:space="0" w:color="auto"/>
              <w:right w:val="single" w:sz="4" w:space="0" w:color="auto"/>
            </w:tcBorders>
            <w:vAlign w:val="center"/>
            <w:hideMark/>
          </w:tcPr>
          <w:p w:rsidR="004F2288" w:rsidRPr="006D46C4" w:rsidRDefault="004F2288" w:rsidP="004D7660">
            <w:pPr>
              <w:spacing w:after="0" w:line="240" w:lineRule="auto"/>
              <w:rPr>
                <w:rFonts w:ascii="Arial" w:eastAsia="Times New Roman" w:hAnsi="Arial" w:cs="Arial"/>
                <w:b/>
                <w:bCs/>
                <w:color w:val="000000"/>
                <w:sz w:val="18"/>
                <w:szCs w:val="18"/>
                <w:lang w:eastAsia="en-GB"/>
              </w:rPr>
            </w:pPr>
          </w:p>
        </w:tc>
        <w:tc>
          <w:tcPr>
            <w:tcW w:w="1843"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AA2D4A">
              <w:rPr>
                <w:rFonts w:eastAsia="Times New Roman" w:cstheme="minorHAnsi"/>
                <w:color w:val="000000"/>
                <w:lang w:eastAsia="en-GB"/>
              </w:rPr>
              <w:t xml:space="preserve">C16 </w:t>
            </w:r>
            <w:r>
              <w:rPr>
                <w:rFonts w:eastAsia="Times New Roman" w:cstheme="minorHAnsi"/>
                <w:color w:val="000000"/>
                <w:lang w:eastAsia="en-GB"/>
              </w:rPr>
              <w:t xml:space="preserve">- </w:t>
            </w:r>
            <w:r w:rsidRPr="006D46C4">
              <w:rPr>
                <w:rFonts w:ascii="Arial" w:eastAsia="Times New Roman" w:hAnsi="Arial" w:cs="Arial"/>
                <w:color w:val="000000"/>
                <w:sz w:val="18"/>
                <w:szCs w:val="18"/>
                <w:lang w:eastAsia="en-GB"/>
              </w:rPr>
              <w:t>Stomach</w:t>
            </w:r>
          </w:p>
        </w:tc>
        <w:tc>
          <w:tcPr>
            <w:tcW w:w="1134" w:type="dxa"/>
            <w:tcBorders>
              <w:top w:val="nil"/>
              <w:left w:val="nil"/>
              <w:bottom w:val="single" w:sz="4" w:space="0" w:color="auto"/>
              <w:right w:val="single" w:sz="4" w:space="0" w:color="auto"/>
            </w:tcBorders>
            <w:shd w:val="clear" w:color="000000" w:fill="FFFFFF"/>
            <w:noWrap/>
            <w:vAlign w:val="center"/>
            <w:hideMark/>
          </w:tcPr>
          <w:p w:rsidR="004F2288" w:rsidRPr="006D46C4" w:rsidRDefault="004F2288" w:rsidP="004D7660">
            <w:pPr>
              <w:spacing w:after="0" w:line="240" w:lineRule="auto"/>
              <w:jc w:val="center"/>
              <w:rPr>
                <w:rFonts w:ascii="Arial" w:eastAsia="Times New Roman" w:hAnsi="Arial" w:cs="Arial"/>
                <w:color w:val="000000"/>
                <w:sz w:val="18"/>
                <w:szCs w:val="18"/>
                <w:lang w:eastAsia="en-GB"/>
              </w:rPr>
            </w:pPr>
            <w:r w:rsidRPr="006D46C4">
              <w:rPr>
                <w:rFonts w:ascii="Arial" w:eastAsia="Times New Roman" w:hAnsi="Arial" w:cs="Arial"/>
                <w:color w:val="000000"/>
                <w:sz w:val="18"/>
                <w:szCs w:val="18"/>
                <w:lang w:eastAsia="en-GB"/>
              </w:rPr>
              <w:t>1,723.4</w:t>
            </w:r>
          </w:p>
        </w:tc>
      </w:tr>
    </w:tbl>
    <w:p w:rsidR="004F2288" w:rsidRDefault="004F2288" w:rsidP="00AA2D4A">
      <w:pPr>
        <w:shd w:val="clear" w:color="auto" w:fill="FFFFFF"/>
        <w:spacing w:after="0" w:line="240" w:lineRule="auto"/>
        <w:ind w:firstLine="360"/>
        <w:rPr>
          <w:rFonts w:eastAsia="Times New Roman" w:cstheme="minorHAnsi"/>
          <w:color w:val="000000"/>
          <w:lang w:eastAsia="en-GB"/>
        </w:rPr>
      </w:pPr>
    </w:p>
    <w:p w:rsidR="004F2288" w:rsidRDefault="004F2288" w:rsidP="00AA2D4A">
      <w:pPr>
        <w:shd w:val="clear" w:color="auto" w:fill="FFFFFF"/>
        <w:spacing w:after="0" w:line="240" w:lineRule="auto"/>
        <w:ind w:firstLine="360"/>
        <w:rPr>
          <w:rFonts w:eastAsia="Times New Roman" w:cstheme="minorHAnsi"/>
          <w:color w:val="000000"/>
          <w:lang w:eastAsia="en-GB"/>
        </w:rPr>
      </w:pPr>
    </w:p>
    <w:p w:rsidR="004F2288" w:rsidRDefault="004F2288" w:rsidP="00AA2D4A">
      <w:pPr>
        <w:shd w:val="clear" w:color="auto" w:fill="FFFFFF"/>
        <w:spacing w:after="0" w:line="240" w:lineRule="auto"/>
        <w:ind w:firstLine="360"/>
        <w:rPr>
          <w:rFonts w:eastAsia="Times New Roman" w:cstheme="minorHAnsi"/>
          <w:color w:val="000000"/>
          <w:lang w:eastAsia="en-GB"/>
        </w:rPr>
      </w:pPr>
    </w:p>
    <w:p w:rsidR="004F2288" w:rsidRDefault="004F2288" w:rsidP="00AA2D4A">
      <w:pPr>
        <w:shd w:val="clear" w:color="auto" w:fill="FFFFFF"/>
        <w:spacing w:after="0" w:line="240" w:lineRule="auto"/>
        <w:ind w:firstLine="360"/>
        <w:rPr>
          <w:rFonts w:eastAsia="Times New Roman" w:cstheme="minorHAnsi"/>
          <w:color w:val="000000"/>
          <w:lang w:eastAsia="en-GB"/>
        </w:rPr>
      </w:pPr>
      <w:r>
        <w:rPr>
          <w:rFonts w:eastAsia="Times New Roman" w:cstheme="minorHAnsi"/>
          <w:noProof/>
          <w:color w:val="000000"/>
          <w:lang w:eastAsia="en-GB"/>
        </w:rPr>
        <w:lastRenderedPageBreak/>
        <w:drawing>
          <wp:inline distT="0" distB="0" distL="0" distR="0" wp14:anchorId="57889046" wp14:editId="2D13BA4D">
            <wp:extent cx="5727700" cy="2860040"/>
            <wp:effectExtent l="0" t="0" r="6350" b="0"/>
            <wp:docPr id="8" name="Picture 8" descr="C:\Users\JuanPablo\Desktop\UCL\australia italy top 5 neoplasm deaths stacked bar chart 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Pablo\Desktop\UCL\australia italy top 5 neoplasm deaths stacked bar chart 20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860040"/>
                    </a:xfrm>
                    <a:prstGeom prst="rect">
                      <a:avLst/>
                    </a:prstGeom>
                    <a:noFill/>
                    <a:ln>
                      <a:noFill/>
                    </a:ln>
                  </pic:spPr>
                </pic:pic>
              </a:graphicData>
            </a:graphic>
          </wp:inline>
        </w:drawing>
      </w:r>
    </w:p>
    <w:p w:rsidR="00C45C1E" w:rsidRPr="00C45C1E" w:rsidRDefault="00C45C1E" w:rsidP="00C45C1E">
      <w:pPr>
        <w:shd w:val="clear" w:color="auto" w:fill="FFFFFF"/>
        <w:spacing w:after="0" w:line="240" w:lineRule="auto"/>
        <w:ind w:firstLine="360"/>
        <w:jc w:val="center"/>
        <w:rPr>
          <w:rFonts w:eastAsia="Times New Roman" w:cstheme="minorHAnsi"/>
          <w:color w:val="000000"/>
          <w:sz w:val="18"/>
          <w:lang w:eastAsia="en-GB"/>
        </w:rPr>
      </w:pPr>
      <w:r>
        <w:rPr>
          <w:rFonts w:eastAsia="Times New Roman" w:cstheme="minorHAnsi"/>
          <w:color w:val="000000"/>
          <w:sz w:val="18"/>
          <w:lang w:eastAsia="en-GB"/>
        </w:rPr>
        <w:t>Figure 5: Stacked bar plot of the top five neoplasm related deaths during 2010 in Australia and Italy.</w:t>
      </w:r>
    </w:p>
    <w:p w:rsidR="00281384" w:rsidRDefault="003B601D" w:rsidP="00C45C1E">
      <w:pPr>
        <w:shd w:val="clear" w:color="auto" w:fill="FFFFFF"/>
        <w:spacing w:before="240" w:after="0" w:line="240" w:lineRule="auto"/>
        <w:ind w:firstLine="360"/>
        <w:jc w:val="both"/>
        <w:rPr>
          <w:rFonts w:eastAsia="Times New Roman" w:cstheme="minorHAnsi"/>
          <w:color w:val="000000"/>
          <w:lang w:eastAsia="en-GB"/>
        </w:rPr>
      </w:pPr>
      <w:r>
        <w:rPr>
          <w:rFonts w:eastAsia="Times New Roman" w:cstheme="minorHAnsi"/>
          <w:color w:val="000000"/>
          <w:lang w:eastAsia="en-GB"/>
        </w:rPr>
        <w:t xml:space="preserve">It is of interest to note that </w:t>
      </w:r>
      <w:r w:rsidR="00300BDD">
        <w:rPr>
          <w:rFonts w:eastAsia="Times New Roman" w:cstheme="minorHAnsi"/>
          <w:color w:val="000000"/>
          <w:lang w:eastAsia="en-GB"/>
        </w:rPr>
        <w:t>for both countries, lung and bronchus cance</w:t>
      </w:r>
      <w:r w:rsidR="007A3A60">
        <w:rPr>
          <w:rFonts w:eastAsia="Times New Roman" w:cstheme="minorHAnsi"/>
          <w:color w:val="000000"/>
          <w:lang w:eastAsia="en-GB"/>
        </w:rPr>
        <w:t xml:space="preserve">r is one the </w:t>
      </w:r>
      <w:r w:rsidR="00300BDD">
        <w:rPr>
          <w:rFonts w:eastAsia="Times New Roman" w:cstheme="minorHAnsi"/>
          <w:color w:val="000000"/>
          <w:lang w:eastAsia="en-GB"/>
        </w:rPr>
        <w:t>highest cause</w:t>
      </w:r>
      <w:r w:rsidR="006D46C4">
        <w:rPr>
          <w:rFonts w:eastAsia="Times New Roman" w:cstheme="minorHAnsi"/>
          <w:color w:val="000000"/>
          <w:lang w:eastAsia="en-GB"/>
        </w:rPr>
        <w:t>s</w:t>
      </w:r>
      <w:r w:rsidR="00300BDD">
        <w:rPr>
          <w:rFonts w:eastAsia="Times New Roman" w:cstheme="minorHAnsi"/>
          <w:color w:val="000000"/>
          <w:lang w:eastAsia="en-GB"/>
        </w:rPr>
        <w:t xml:space="preserve"> of death</w:t>
      </w:r>
      <w:r w:rsidR="007A3A60">
        <w:rPr>
          <w:rFonts w:eastAsia="Times New Roman" w:cstheme="minorHAnsi"/>
          <w:color w:val="000000"/>
          <w:lang w:eastAsia="en-GB"/>
        </w:rPr>
        <w:t xml:space="preserve"> between neoplasms</w:t>
      </w:r>
      <w:r w:rsidR="00300BDD">
        <w:rPr>
          <w:rFonts w:eastAsia="Times New Roman" w:cstheme="minorHAnsi"/>
          <w:color w:val="000000"/>
          <w:lang w:eastAsia="en-GB"/>
        </w:rPr>
        <w:t>, corroborating what has been reported in previous studies</w:t>
      </w:r>
      <w:r w:rsidR="007A3A60">
        <w:rPr>
          <w:rFonts w:eastAsia="Times New Roman" w:cstheme="minorHAnsi"/>
          <w:color w:val="000000"/>
          <w:lang w:eastAsia="en-GB"/>
        </w:rPr>
        <w:t xml:space="preserve"> on a worldwide level</w:t>
      </w:r>
      <w:r w:rsidR="00300BDD">
        <w:rPr>
          <w:rFonts w:eastAsia="Times New Roman" w:cstheme="minorHAnsi"/>
          <w:color w:val="000000"/>
          <w:lang w:eastAsia="en-GB"/>
        </w:rPr>
        <w:t xml:space="preserve"> (8, 9)</w:t>
      </w:r>
      <w:r w:rsidR="006D46C4">
        <w:rPr>
          <w:rFonts w:eastAsia="Times New Roman" w:cstheme="minorHAnsi"/>
          <w:color w:val="000000"/>
          <w:lang w:eastAsia="en-GB"/>
        </w:rPr>
        <w:t xml:space="preserve">. Also, </w:t>
      </w:r>
      <w:r w:rsidR="00D126F7">
        <w:rPr>
          <w:rFonts w:eastAsia="Times New Roman" w:cstheme="minorHAnsi"/>
          <w:color w:val="000000"/>
          <w:lang w:eastAsia="en-GB"/>
        </w:rPr>
        <w:t>three</w:t>
      </w:r>
      <w:r w:rsidR="006D46C4">
        <w:rPr>
          <w:rFonts w:eastAsia="Times New Roman" w:cstheme="minorHAnsi"/>
          <w:color w:val="000000"/>
          <w:lang w:eastAsia="en-GB"/>
        </w:rPr>
        <w:t xml:space="preserve"> of the top causes for Italy, </w:t>
      </w:r>
      <w:r w:rsidR="00D126F7">
        <w:rPr>
          <w:rFonts w:eastAsia="Times New Roman" w:cstheme="minorHAnsi"/>
          <w:color w:val="000000"/>
          <w:lang w:eastAsia="en-GB"/>
        </w:rPr>
        <w:t xml:space="preserve">pancreas, </w:t>
      </w:r>
      <w:r w:rsidR="006D46C4">
        <w:rPr>
          <w:rFonts w:eastAsia="Times New Roman" w:cstheme="minorHAnsi"/>
          <w:color w:val="000000"/>
          <w:lang w:eastAsia="en-GB"/>
        </w:rPr>
        <w:t>colon and stomach, are commonly related to lifestyle habits, like diet</w:t>
      </w:r>
      <w:r w:rsidR="00D126F7">
        <w:rPr>
          <w:rFonts w:eastAsia="Times New Roman" w:cstheme="minorHAnsi"/>
          <w:color w:val="000000"/>
          <w:lang w:eastAsia="en-GB"/>
        </w:rPr>
        <w:t xml:space="preserve"> and alcohol consumption</w:t>
      </w:r>
      <w:r w:rsidR="006D46C4">
        <w:rPr>
          <w:rFonts w:eastAsia="Times New Roman" w:cstheme="minorHAnsi"/>
          <w:color w:val="000000"/>
          <w:lang w:eastAsia="en-GB"/>
        </w:rPr>
        <w:t>.</w:t>
      </w:r>
      <w:r w:rsidR="00281384" w:rsidRPr="00281384">
        <w:rPr>
          <w:rFonts w:eastAsia="Times New Roman" w:cstheme="minorHAnsi"/>
          <w:color w:val="000000"/>
          <w:lang w:eastAsia="en-GB"/>
        </w:rPr>
        <w:t xml:space="preserve"> </w:t>
      </w:r>
      <w:r w:rsidR="00CC4811">
        <w:rPr>
          <w:rFonts w:eastAsia="Times New Roman" w:cstheme="minorHAnsi"/>
          <w:color w:val="000000"/>
          <w:lang w:eastAsia="en-GB"/>
        </w:rPr>
        <w:t xml:space="preserve">Breast cancer is predominant in both countries, in contrast with neoplasms of prostate, </w:t>
      </w:r>
      <w:r w:rsidR="00D126F7">
        <w:rPr>
          <w:rFonts w:eastAsia="Times New Roman" w:cstheme="minorHAnsi"/>
          <w:color w:val="000000"/>
          <w:lang w:eastAsia="en-GB"/>
        </w:rPr>
        <w:t>which is only one of the top causes in Australia.</w:t>
      </w:r>
    </w:p>
    <w:p w:rsidR="006F5851" w:rsidRPr="00AA5E83" w:rsidRDefault="006F5851" w:rsidP="00C45C1E">
      <w:pPr>
        <w:shd w:val="clear" w:color="auto" w:fill="FFFFFF"/>
        <w:spacing w:before="240" w:after="0" w:line="240" w:lineRule="auto"/>
        <w:ind w:firstLine="360"/>
        <w:jc w:val="both"/>
        <w:rPr>
          <w:rFonts w:cstheme="minorHAnsi"/>
        </w:rPr>
      </w:pPr>
      <w:r>
        <w:rPr>
          <w:rFonts w:eastAsia="Times New Roman" w:cstheme="minorHAnsi"/>
          <w:color w:val="000000"/>
          <w:lang w:eastAsia="en-GB"/>
        </w:rPr>
        <w:t xml:space="preserve">Another point for interest for the data from Australia is the fact that carcinomas without specification </w:t>
      </w:r>
      <w:r w:rsidR="00A73B58">
        <w:rPr>
          <w:rFonts w:eastAsia="Times New Roman" w:cstheme="minorHAnsi"/>
          <w:color w:val="000000"/>
          <w:lang w:eastAsia="en-GB"/>
        </w:rPr>
        <w:t xml:space="preserve">site </w:t>
      </w:r>
      <w:r>
        <w:rPr>
          <w:rFonts w:eastAsia="Times New Roman" w:cstheme="minorHAnsi"/>
          <w:color w:val="000000"/>
          <w:lang w:eastAsia="en-GB"/>
        </w:rPr>
        <w:t xml:space="preserve">came between one of the top causes of neoplasms deaths. These are neoplasms where the site of origin </w:t>
      </w:r>
      <w:r w:rsidR="00A73B58">
        <w:rPr>
          <w:rFonts w:eastAsia="Times New Roman" w:cstheme="minorHAnsi"/>
          <w:color w:val="000000"/>
          <w:lang w:eastAsia="en-GB"/>
        </w:rPr>
        <w:t xml:space="preserve">which origin is unknown and the disease has already disseminated and nowadays remains one principal causes of neoplasms deaths in the country (7, 10, </w:t>
      </w:r>
      <w:proofErr w:type="gramStart"/>
      <w:r w:rsidR="00A73B58">
        <w:rPr>
          <w:rFonts w:eastAsia="Times New Roman" w:cstheme="minorHAnsi"/>
          <w:color w:val="000000"/>
          <w:lang w:eastAsia="en-GB"/>
        </w:rPr>
        <w:t>11</w:t>
      </w:r>
      <w:proofErr w:type="gramEnd"/>
      <w:r w:rsidR="00A73B58">
        <w:rPr>
          <w:rFonts w:eastAsia="Times New Roman" w:cstheme="minorHAnsi"/>
          <w:color w:val="000000"/>
          <w:lang w:eastAsia="en-GB"/>
        </w:rPr>
        <w:t>).</w:t>
      </w:r>
    </w:p>
    <w:p w:rsidR="00C45C1E" w:rsidRDefault="00C45C1E" w:rsidP="00D555C9">
      <w:pPr>
        <w:jc w:val="both"/>
        <w:rPr>
          <w:rFonts w:eastAsia="Times New Roman" w:cstheme="minorHAnsi"/>
          <w:color w:val="000000"/>
          <w:lang w:eastAsia="en-GB"/>
        </w:rPr>
      </w:pPr>
    </w:p>
    <w:p w:rsidR="00227832" w:rsidRPr="00C45C1E" w:rsidRDefault="00227832" w:rsidP="00D555C9">
      <w:pPr>
        <w:jc w:val="both"/>
        <w:rPr>
          <w:b/>
        </w:rPr>
      </w:pPr>
      <w:r w:rsidRPr="00C45C1E">
        <w:rPr>
          <w:b/>
        </w:rPr>
        <w:t xml:space="preserve">References: </w:t>
      </w:r>
    </w:p>
    <w:p w:rsidR="008507F3" w:rsidRDefault="009C531F" w:rsidP="00644893">
      <w:pPr>
        <w:pStyle w:val="ListParagraph"/>
        <w:numPr>
          <w:ilvl w:val="0"/>
          <w:numId w:val="1"/>
        </w:numPr>
        <w:jc w:val="both"/>
      </w:pPr>
      <w:r w:rsidRPr="009C531F">
        <w:t>Practice Level Prescribing - presentation level data - April 2018</w:t>
      </w:r>
      <w:r>
        <w:t xml:space="preserve">. </w:t>
      </w:r>
      <w:hyperlink r:id="rId13" w:history="1">
        <w:r w:rsidR="008507F3" w:rsidRPr="00F13B41">
          <w:rPr>
            <w:rStyle w:val="Hyperlink"/>
          </w:rPr>
          <w:t>https://digital.nhs.uk/data-and-information/publications/statistical/practice-level-prescrib</w:t>
        </w:r>
        <w:r w:rsidR="008507F3" w:rsidRPr="00F13B41">
          <w:rPr>
            <w:rStyle w:val="Hyperlink"/>
          </w:rPr>
          <w:t>i</w:t>
        </w:r>
        <w:r w:rsidR="008507F3" w:rsidRPr="00F13B41">
          <w:rPr>
            <w:rStyle w:val="Hyperlink"/>
          </w:rPr>
          <w:t>ng-data/april-2018</w:t>
        </w:r>
      </w:hyperlink>
      <w:r w:rsidR="008507F3">
        <w:t xml:space="preserve">. Accessed </w:t>
      </w:r>
      <w:r w:rsidR="00BD72DA">
        <w:t>29/12/201</w:t>
      </w:r>
      <w:r w:rsidR="0025581C">
        <w:t>8.</w:t>
      </w:r>
    </w:p>
    <w:p w:rsidR="0025581C" w:rsidRDefault="009C531F" w:rsidP="009C531F">
      <w:pPr>
        <w:pStyle w:val="ListParagraph"/>
        <w:numPr>
          <w:ilvl w:val="0"/>
          <w:numId w:val="1"/>
        </w:numPr>
        <w:jc w:val="both"/>
      </w:pPr>
      <w:r w:rsidRPr="009C531F">
        <w:t>Practice level prescribing - glossary of terms</w:t>
      </w:r>
      <w:r>
        <w:t xml:space="preserve">. </w:t>
      </w:r>
      <w:hyperlink r:id="rId14" w:history="1">
        <w:r w:rsidR="007E76F8" w:rsidRPr="002B65EA">
          <w:rPr>
            <w:rStyle w:val="Hyperlink"/>
          </w:rPr>
          <w:t>htt</w:t>
        </w:r>
        <w:r w:rsidR="007E76F8" w:rsidRPr="002B65EA">
          <w:rPr>
            <w:rStyle w:val="Hyperlink"/>
          </w:rPr>
          <w:t>p</w:t>
        </w:r>
        <w:r w:rsidR="007E76F8" w:rsidRPr="002B65EA">
          <w:rPr>
            <w:rStyle w:val="Hyperlink"/>
          </w:rPr>
          <w:t>s://digital.nhs.uk/data-and-information/areas-of-interest/prescribing/practice-level-prescribing-in-england-a-summary/practice-level-prescribing-glossary-of-terms</w:t>
        </w:r>
      </w:hyperlink>
      <w:r w:rsidR="0025581C">
        <w:t>.</w:t>
      </w:r>
      <w:r w:rsidR="007E76F8">
        <w:t xml:space="preserve"> </w:t>
      </w:r>
      <w:r w:rsidR="0025581C">
        <w:t xml:space="preserve">Accessed 16/01/2019. </w:t>
      </w:r>
    </w:p>
    <w:p w:rsidR="0025581C" w:rsidRDefault="009C531F" w:rsidP="009C531F">
      <w:pPr>
        <w:pStyle w:val="ListParagraph"/>
        <w:numPr>
          <w:ilvl w:val="0"/>
          <w:numId w:val="1"/>
        </w:numPr>
        <w:jc w:val="both"/>
      </w:pPr>
      <w:r w:rsidRPr="009C531F">
        <w:t>Patients Registered at a GP Practice, April 2018</w:t>
      </w:r>
      <w:r>
        <w:t xml:space="preserve">. </w:t>
      </w:r>
      <w:hyperlink r:id="rId15" w:history="1">
        <w:r w:rsidR="0025581C" w:rsidRPr="00F13B41">
          <w:rPr>
            <w:rStyle w:val="Hyperlink"/>
          </w:rPr>
          <w:t>h</w:t>
        </w:r>
        <w:r w:rsidR="0025581C" w:rsidRPr="00F13B41">
          <w:rPr>
            <w:rStyle w:val="Hyperlink"/>
          </w:rPr>
          <w:t>t</w:t>
        </w:r>
        <w:r w:rsidR="0025581C" w:rsidRPr="00F13B41">
          <w:rPr>
            <w:rStyle w:val="Hyperlink"/>
          </w:rPr>
          <w:t>tps://digital.nhs.uk/data-and-information/publications/statistical/patients-registered-at-a-gp-practice/patients-registered-at-a-gp-practice-april-2018-special-topic---registered-patients-compared-to-the-projected-resident-population-in-england</w:t>
        </w:r>
      </w:hyperlink>
      <w:r w:rsidR="0025581C">
        <w:t>. Accessed 29/12/2018.</w:t>
      </w:r>
    </w:p>
    <w:p w:rsidR="0024576F" w:rsidRDefault="009C531F" w:rsidP="009C531F">
      <w:pPr>
        <w:pStyle w:val="ListParagraph"/>
        <w:numPr>
          <w:ilvl w:val="0"/>
          <w:numId w:val="1"/>
        </w:numPr>
        <w:jc w:val="both"/>
      </w:pPr>
      <w:r w:rsidRPr="009C531F">
        <w:t>Practice level prescribing data: more information</w:t>
      </w:r>
      <w:r>
        <w:t xml:space="preserve">. </w:t>
      </w:r>
      <w:hyperlink r:id="rId16" w:history="1">
        <w:r w:rsidR="00905CC1" w:rsidRPr="002B65EA">
          <w:rPr>
            <w:rStyle w:val="Hyperlink"/>
          </w:rPr>
          <w:t>https:/</w:t>
        </w:r>
        <w:r w:rsidR="00905CC1" w:rsidRPr="002B65EA">
          <w:rPr>
            <w:rStyle w:val="Hyperlink"/>
          </w:rPr>
          <w:t>/</w:t>
        </w:r>
        <w:r w:rsidR="00905CC1" w:rsidRPr="002B65EA">
          <w:rPr>
            <w:rStyle w:val="Hyperlink"/>
          </w:rPr>
          <w:t>digital.nhs.uk/data-and-information/areas-of-interest/prescribing/practice-level-prescribing-in-england-a-summary/practice-level-prescribing-data-more-information</w:t>
        </w:r>
      </w:hyperlink>
      <w:r w:rsidR="00905CC1">
        <w:t>. Accessed 19/01</w:t>
      </w:r>
      <w:r w:rsidR="00386F51">
        <w:t>/2019</w:t>
      </w:r>
      <w:r w:rsidR="00905CC1">
        <w:t>.</w:t>
      </w:r>
    </w:p>
    <w:p w:rsidR="00386F51" w:rsidRDefault="009C531F" w:rsidP="009C531F">
      <w:pPr>
        <w:pStyle w:val="ListParagraph"/>
        <w:numPr>
          <w:ilvl w:val="0"/>
          <w:numId w:val="1"/>
        </w:numPr>
        <w:jc w:val="both"/>
      </w:pPr>
      <w:r w:rsidRPr="009C531F">
        <w:t>Prescribing Data: BNF Codes</w:t>
      </w:r>
      <w:r>
        <w:t xml:space="preserve">. </w:t>
      </w:r>
      <w:r w:rsidR="006A5D4B">
        <w:t xml:space="preserve">EBM </w:t>
      </w:r>
      <w:proofErr w:type="spellStart"/>
      <w:r w:rsidR="006A5D4B">
        <w:t>Datalab</w:t>
      </w:r>
      <w:proofErr w:type="spellEnd"/>
      <w:r w:rsidR="006A5D4B">
        <w:t>, University of Oxford</w:t>
      </w:r>
      <w:r>
        <w:t xml:space="preserve">. </w:t>
      </w:r>
      <w:hyperlink r:id="rId17" w:history="1">
        <w:r w:rsidR="00386F51" w:rsidRPr="002B65EA">
          <w:rPr>
            <w:rStyle w:val="Hyperlink"/>
          </w:rPr>
          <w:t>htt</w:t>
        </w:r>
        <w:r w:rsidR="00386F51" w:rsidRPr="002B65EA">
          <w:rPr>
            <w:rStyle w:val="Hyperlink"/>
          </w:rPr>
          <w:t>p</w:t>
        </w:r>
        <w:r w:rsidR="00386F51" w:rsidRPr="002B65EA">
          <w:rPr>
            <w:rStyle w:val="Hyperlink"/>
          </w:rPr>
          <w:t>s://ebmdatalab.net/prescribing-data-bnf-codes/</w:t>
        </w:r>
      </w:hyperlink>
      <w:r w:rsidR="00386F51">
        <w:t>. Accessed 19/01/2019</w:t>
      </w:r>
    </w:p>
    <w:p w:rsidR="00386F51" w:rsidRDefault="006A5D4B" w:rsidP="00386F51">
      <w:pPr>
        <w:pStyle w:val="ListParagraph"/>
        <w:numPr>
          <w:ilvl w:val="0"/>
          <w:numId w:val="1"/>
        </w:numPr>
        <w:jc w:val="both"/>
      </w:pPr>
      <w:r>
        <w:t xml:space="preserve">Open Prescribing. </w:t>
      </w:r>
      <w:hyperlink r:id="rId18" w:history="1">
        <w:r w:rsidR="00386F51" w:rsidRPr="002B65EA">
          <w:rPr>
            <w:rStyle w:val="Hyperlink"/>
          </w:rPr>
          <w:t>https:</w:t>
        </w:r>
        <w:r w:rsidR="00386F51" w:rsidRPr="002B65EA">
          <w:rPr>
            <w:rStyle w:val="Hyperlink"/>
          </w:rPr>
          <w:t>/</w:t>
        </w:r>
        <w:r w:rsidR="00386F51" w:rsidRPr="002B65EA">
          <w:rPr>
            <w:rStyle w:val="Hyperlink"/>
          </w:rPr>
          <w:t>/openprescribing.net/bnf/</w:t>
        </w:r>
      </w:hyperlink>
      <w:r w:rsidR="00386F51">
        <w:t>. Accessed 19/01/2019</w:t>
      </w:r>
    </w:p>
    <w:p w:rsidR="00AA5E83" w:rsidRDefault="00455A6E" w:rsidP="00455A6E">
      <w:pPr>
        <w:pStyle w:val="ListParagraph"/>
        <w:numPr>
          <w:ilvl w:val="0"/>
          <w:numId w:val="1"/>
        </w:numPr>
        <w:jc w:val="both"/>
      </w:pPr>
      <w:r w:rsidRPr="00455A6E">
        <w:t>ICD-10 Version:</w:t>
      </w:r>
      <w:r>
        <w:t xml:space="preserve"> </w:t>
      </w:r>
      <w:r w:rsidRPr="00455A6E">
        <w:t>2016</w:t>
      </w:r>
      <w:r>
        <w:t xml:space="preserve">. </w:t>
      </w:r>
      <w:hyperlink r:id="rId19" w:history="1">
        <w:r w:rsidR="00AA5E83" w:rsidRPr="002B65EA">
          <w:rPr>
            <w:rStyle w:val="Hyperlink"/>
          </w:rPr>
          <w:t>https://icd.who.int/browse10/2016/en</w:t>
        </w:r>
      </w:hyperlink>
      <w:r w:rsidR="00AA5E83">
        <w:t xml:space="preserve">. Accessed 16/01/2019. </w:t>
      </w:r>
    </w:p>
    <w:p w:rsidR="007A3A60" w:rsidRDefault="00300BDD" w:rsidP="007A3A60">
      <w:pPr>
        <w:pStyle w:val="ListParagraph"/>
        <w:numPr>
          <w:ilvl w:val="0"/>
          <w:numId w:val="1"/>
        </w:numPr>
        <w:jc w:val="both"/>
      </w:pPr>
      <w:proofErr w:type="spellStart"/>
      <w:r>
        <w:lastRenderedPageBreak/>
        <w:t>Didkowska</w:t>
      </w:r>
      <w:proofErr w:type="spellEnd"/>
      <w:r>
        <w:t xml:space="preserve"> J, </w:t>
      </w:r>
      <w:proofErr w:type="spellStart"/>
      <w:r>
        <w:t>Wojciechowska</w:t>
      </w:r>
      <w:proofErr w:type="spellEnd"/>
      <w:r>
        <w:t xml:space="preserve"> U,</w:t>
      </w:r>
      <w:r w:rsidR="007A3A60">
        <w:t xml:space="preserve"> </w:t>
      </w:r>
      <w:proofErr w:type="spellStart"/>
      <w:r>
        <w:t>Mańczuk</w:t>
      </w:r>
      <w:proofErr w:type="spellEnd"/>
      <w:r>
        <w:t xml:space="preserve"> M, </w:t>
      </w:r>
      <w:proofErr w:type="spellStart"/>
      <w:r>
        <w:t>Łobaszewski</w:t>
      </w:r>
      <w:proofErr w:type="spellEnd"/>
      <w:r>
        <w:t xml:space="preserve"> J. Lung cancer epidemiology:</w:t>
      </w:r>
      <w:r w:rsidR="007A3A60">
        <w:t xml:space="preserve"> </w:t>
      </w:r>
      <w:r>
        <w:t xml:space="preserve">contemporary and future challenges worldwide. Ann </w:t>
      </w:r>
      <w:proofErr w:type="spellStart"/>
      <w:r>
        <w:t>Transl</w:t>
      </w:r>
      <w:proofErr w:type="spellEnd"/>
      <w:r w:rsidR="007A3A60">
        <w:t xml:space="preserve"> </w:t>
      </w:r>
      <w:r>
        <w:t>Med 2016</w:t>
      </w:r>
      <w:proofErr w:type="gramStart"/>
      <w:r>
        <w:t>;4</w:t>
      </w:r>
      <w:proofErr w:type="gramEnd"/>
      <w:r>
        <w:t xml:space="preserve">(8):150. </w:t>
      </w:r>
      <w:proofErr w:type="spellStart"/>
      <w:proofErr w:type="gramStart"/>
      <w:r>
        <w:t>doi</w:t>
      </w:r>
      <w:proofErr w:type="spellEnd"/>
      <w:proofErr w:type="gramEnd"/>
      <w:r>
        <w:t>: 10.21037/atm.2016.03.11</w:t>
      </w:r>
      <w:r w:rsidR="007A3A60">
        <w:t>.</w:t>
      </w:r>
    </w:p>
    <w:p w:rsidR="007960E6" w:rsidRDefault="007A3A60" w:rsidP="007A3A60">
      <w:pPr>
        <w:pStyle w:val="ListParagraph"/>
        <w:numPr>
          <w:ilvl w:val="0"/>
          <w:numId w:val="1"/>
        </w:numPr>
        <w:jc w:val="both"/>
      </w:pPr>
      <w:r w:rsidRPr="007A3A60">
        <w:t>Torre, L. A., Bray, F</w:t>
      </w:r>
      <w:proofErr w:type="gramStart"/>
      <w:r w:rsidRPr="007A3A60">
        <w:t>. ,</w:t>
      </w:r>
      <w:proofErr w:type="gramEnd"/>
      <w:r w:rsidRPr="007A3A60">
        <w:t xml:space="preserve"> Siegel, R. L., </w:t>
      </w:r>
      <w:proofErr w:type="spellStart"/>
      <w:r w:rsidRPr="007A3A60">
        <w:t>Ferlay</w:t>
      </w:r>
      <w:proofErr w:type="spellEnd"/>
      <w:r w:rsidRPr="007A3A60">
        <w:t xml:space="preserve">, J. , </w:t>
      </w:r>
      <w:proofErr w:type="spellStart"/>
      <w:r w:rsidRPr="007A3A60">
        <w:t>Lortet‐Tieulent</w:t>
      </w:r>
      <w:proofErr w:type="spellEnd"/>
      <w:r w:rsidRPr="007A3A60">
        <w:t xml:space="preserve">, J. and </w:t>
      </w:r>
      <w:proofErr w:type="spellStart"/>
      <w:r w:rsidRPr="007A3A60">
        <w:t>Jemal</w:t>
      </w:r>
      <w:proofErr w:type="spellEnd"/>
      <w:r w:rsidRPr="007A3A60">
        <w:t>, A. (2015), Global cancer statistics, 2012. CA: A Cancer Journal for Clinicians, 65: 87-108. doi:10.3322/caac.21262</w:t>
      </w:r>
      <w:r>
        <w:t>.</w:t>
      </w:r>
    </w:p>
    <w:p w:rsidR="00A73B58" w:rsidRDefault="00A73B58" w:rsidP="00A73B58">
      <w:pPr>
        <w:pStyle w:val="ListParagraph"/>
        <w:numPr>
          <w:ilvl w:val="0"/>
          <w:numId w:val="1"/>
        </w:numPr>
        <w:jc w:val="both"/>
      </w:pPr>
      <w:r w:rsidRPr="00A73B58">
        <w:rPr>
          <w:lang w:val="es-CL"/>
        </w:rPr>
        <w:t xml:space="preserve">2019 ICD-10-CM Diagnosis </w:t>
      </w:r>
      <w:proofErr w:type="spellStart"/>
      <w:r w:rsidRPr="00A73B58">
        <w:rPr>
          <w:lang w:val="es-CL"/>
        </w:rPr>
        <w:t>Code</w:t>
      </w:r>
      <w:proofErr w:type="spellEnd"/>
      <w:r w:rsidRPr="00A73B58">
        <w:rPr>
          <w:lang w:val="es-CL"/>
        </w:rPr>
        <w:t xml:space="preserve"> C80.0. </w:t>
      </w:r>
      <w:hyperlink r:id="rId20" w:history="1">
        <w:r w:rsidRPr="002B65EA">
          <w:rPr>
            <w:rStyle w:val="Hyperlink"/>
          </w:rPr>
          <w:t>https://www.icd10data.com/ICD10CM/Codes/C00-D49/C76-C80/C80-/C80.0</w:t>
        </w:r>
      </w:hyperlink>
      <w:r>
        <w:t>. Accessed 20/01/19</w:t>
      </w:r>
    </w:p>
    <w:p w:rsidR="00A73B58" w:rsidRDefault="00A73B58" w:rsidP="00A73B58">
      <w:pPr>
        <w:pStyle w:val="ListParagraph"/>
        <w:numPr>
          <w:ilvl w:val="0"/>
          <w:numId w:val="1"/>
        </w:numPr>
        <w:jc w:val="both"/>
      </w:pPr>
      <w:r w:rsidRPr="00A73B58">
        <w:t>Cancer of unknown primary statistics</w:t>
      </w:r>
      <w:r>
        <w:t xml:space="preserve">, Australian Government. </w:t>
      </w:r>
      <w:hyperlink r:id="rId21" w:history="1">
        <w:r w:rsidR="0026496E" w:rsidRPr="00C07FDA">
          <w:rPr>
            <w:rStyle w:val="Hyperlink"/>
          </w:rPr>
          <w:t xml:space="preserve">https://unknown-primary-cancer.canceraustralia.gov.au/statistics. </w:t>
        </w:r>
        <w:r w:rsidR="0026496E" w:rsidRPr="0026496E">
          <w:rPr>
            <w:rStyle w:val="Hyperlink"/>
            <w:color w:val="auto"/>
            <w:u w:val="none"/>
          </w:rPr>
          <w:t>Accessed 20/01/19</w:t>
        </w:r>
      </w:hyperlink>
    </w:p>
    <w:p w:rsidR="0026496E" w:rsidRDefault="0026496E" w:rsidP="0026496E">
      <w:pPr>
        <w:pStyle w:val="ListParagraph"/>
        <w:numPr>
          <w:ilvl w:val="0"/>
          <w:numId w:val="1"/>
        </w:numPr>
        <w:jc w:val="both"/>
      </w:pPr>
      <w:r>
        <w:t xml:space="preserve">Causes, lung cancer, NHS. </w:t>
      </w:r>
      <w:hyperlink r:id="rId22" w:history="1">
        <w:r w:rsidRPr="00C07FDA">
          <w:rPr>
            <w:rStyle w:val="Hyperlink"/>
          </w:rPr>
          <w:t>https://www.nhs.uk/conditions/lung-cancer/causes/</w:t>
        </w:r>
      </w:hyperlink>
      <w:r>
        <w:t xml:space="preserve">. Accessed </w:t>
      </w:r>
      <w:r w:rsidRPr="0026496E">
        <w:t>20/01/19</w:t>
      </w:r>
    </w:p>
    <w:p w:rsidR="00A73B58" w:rsidRPr="007960E6" w:rsidRDefault="00A73B58" w:rsidP="00A73B58">
      <w:pPr>
        <w:pStyle w:val="ListParagraph"/>
        <w:jc w:val="both"/>
      </w:pPr>
    </w:p>
    <w:sectPr w:rsidR="00A73B58" w:rsidRPr="007960E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B04" w:rsidRDefault="00571B04" w:rsidP="00CF2D46">
      <w:pPr>
        <w:spacing w:after="0" w:line="240" w:lineRule="auto"/>
      </w:pPr>
      <w:r>
        <w:separator/>
      </w:r>
    </w:p>
  </w:endnote>
  <w:endnote w:type="continuationSeparator" w:id="0">
    <w:p w:rsidR="00571B04" w:rsidRDefault="00571B04" w:rsidP="00CF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14306"/>
      <w:docPartObj>
        <w:docPartGallery w:val="Page Numbers (Bottom of Page)"/>
        <w:docPartUnique/>
      </w:docPartObj>
    </w:sdtPr>
    <w:sdtEndPr>
      <w:rPr>
        <w:noProof/>
      </w:rPr>
    </w:sdtEndPr>
    <w:sdtContent>
      <w:p w:rsidR="00316E96" w:rsidRDefault="00316E96">
        <w:pPr>
          <w:pStyle w:val="Footer"/>
          <w:jc w:val="right"/>
        </w:pPr>
        <w:r>
          <w:fldChar w:fldCharType="begin"/>
        </w:r>
        <w:r>
          <w:instrText xml:space="preserve"> PAGE   \* MERGEFORMAT </w:instrText>
        </w:r>
        <w:r>
          <w:fldChar w:fldCharType="separate"/>
        </w:r>
        <w:r w:rsidR="003329A5">
          <w:rPr>
            <w:noProof/>
          </w:rPr>
          <w:t>10</w:t>
        </w:r>
        <w:r>
          <w:rPr>
            <w:noProof/>
          </w:rPr>
          <w:fldChar w:fldCharType="end"/>
        </w:r>
      </w:p>
    </w:sdtContent>
  </w:sdt>
  <w:p w:rsidR="00316E96" w:rsidRDefault="00316E96">
    <w:pPr>
      <w:pStyle w:val="Footer"/>
    </w:pPr>
    <w:r>
      <w:rPr>
        <w:rFonts w:ascii="Helvetica" w:hAnsi="Helvetica" w:cs="Helvetica"/>
        <w:color w:val="333333"/>
        <w:sz w:val="21"/>
        <w:szCs w:val="21"/>
        <w:shd w:val="clear" w:color="auto" w:fill="FFFFFF"/>
      </w:rPr>
      <w:t>YSBL5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B04" w:rsidRDefault="00571B04" w:rsidP="00CF2D46">
      <w:pPr>
        <w:spacing w:after="0" w:line="240" w:lineRule="auto"/>
      </w:pPr>
      <w:r>
        <w:separator/>
      </w:r>
    </w:p>
  </w:footnote>
  <w:footnote w:type="continuationSeparator" w:id="0">
    <w:p w:rsidR="00571B04" w:rsidRDefault="00571B04" w:rsidP="00CF2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D711B"/>
    <w:multiLevelType w:val="multilevel"/>
    <w:tmpl w:val="C82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BF5BC7"/>
    <w:multiLevelType w:val="hybridMultilevel"/>
    <w:tmpl w:val="C2889540"/>
    <w:lvl w:ilvl="0" w:tplc="47AC15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D596DB4"/>
    <w:multiLevelType w:val="hybridMultilevel"/>
    <w:tmpl w:val="B356A0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801706"/>
    <w:multiLevelType w:val="multilevel"/>
    <w:tmpl w:val="E5AA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E6"/>
    <w:rsid w:val="000353CE"/>
    <w:rsid w:val="00035DD5"/>
    <w:rsid w:val="00054AE8"/>
    <w:rsid w:val="0006108D"/>
    <w:rsid w:val="001069B7"/>
    <w:rsid w:val="0013088F"/>
    <w:rsid w:val="001A125B"/>
    <w:rsid w:val="001C4867"/>
    <w:rsid w:val="001E4107"/>
    <w:rsid w:val="00227832"/>
    <w:rsid w:val="0024576F"/>
    <w:rsid w:val="00251ACC"/>
    <w:rsid w:val="0025581C"/>
    <w:rsid w:val="0026206B"/>
    <w:rsid w:val="002627D8"/>
    <w:rsid w:val="0026496E"/>
    <w:rsid w:val="00275396"/>
    <w:rsid w:val="00281384"/>
    <w:rsid w:val="00293E88"/>
    <w:rsid w:val="00300BDD"/>
    <w:rsid w:val="00302970"/>
    <w:rsid w:val="00316E96"/>
    <w:rsid w:val="003329A5"/>
    <w:rsid w:val="00375F99"/>
    <w:rsid w:val="00386F51"/>
    <w:rsid w:val="003B601D"/>
    <w:rsid w:val="003E652D"/>
    <w:rsid w:val="004024C5"/>
    <w:rsid w:val="00426DCE"/>
    <w:rsid w:val="00455A6E"/>
    <w:rsid w:val="00494DEE"/>
    <w:rsid w:val="004A3EF1"/>
    <w:rsid w:val="004D7660"/>
    <w:rsid w:val="004F2288"/>
    <w:rsid w:val="004F5EB6"/>
    <w:rsid w:val="00512364"/>
    <w:rsid w:val="005246A5"/>
    <w:rsid w:val="00571B04"/>
    <w:rsid w:val="005A1843"/>
    <w:rsid w:val="005E65C8"/>
    <w:rsid w:val="005F5799"/>
    <w:rsid w:val="00600921"/>
    <w:rsid w:val="00644893"/>
    <w:rsid w:val="00656320"/>
    <w:rsid w:val="006A0472"/>
    <w:rsid w:val="006A5D4B"/>
    <w:rsid w:val="006C0DA9"/>
    <w:rsid w:val="006D46C4"/>
    <w:rsid w:val="006D4775"/>
    <w:rsid w:val="006F5851"/>
    <w:rsid w:val="00757C5E"/>
    <w:rsid w:val="00764115"/>
    <w:rsid w:val="0077266C"/>
    <w:rsid w:val="007960E6"/>
    <w:rsid w:val="007A3A60"/>
    <w:rsid w:val="007D2B0F"/>
    <w:rsid w:val="007E76F8"/>
    <w:rsid w:val="008507F3"/>
    <w:rsid w:val="00871CE4"/>
    <w:rsid w:val="008720F4"/>
    <w:rsid w:val="008D439E"/>
    <w:rsid w:val="00905CC1"/>
    <w:rsid w:val="009112FB"/>
    <w:rsid w:val="00925787"/>
    <w:rsid w:val="0093642C"/>
    <w:rsid w:val="00971128"/>
    <w:rsid w:val="009805D4"/>
    <w:rsid w:val="00993193"/>
    <w:rsid w:val="009C531F"/>
    <w:rsid w:val="009E252B"/>
    <w:rsid w:val="00A3251B"/>
    <w:rsid w:val="00A44BBF"/>
    <w:rsid w:val="00A73B58"/>
    <w:rsid w:val="00AA2D4A"/>
    <w:rsid w:val="00AA5E83"/>
    <w:rsid w:val="00AD4F59"/>
    <w:rsid w:val="00B73C2F"/>
    <w:rsid w:val="00B90C1A"/>
    <w:rsid w:val="00BA4A3A"/>
    <w:rsid w:val="00BD23D2"/>
    <w:rsid w:val="00BD72DA"/>
    <w:rsid w:val="00C06F79"/>
    <w:rsid w:val="00C45C1E"/>
    <w:rsid w:val="00C92627"/>
    <w:rsid w:val="00CC4811"/>
    <w:rsid w:val="00CC7CF6"/>
    <w:rsid w:val="00CD6D89"/>
    <w:rsid w:val="00CE7989"/>
    <w:rsid w:val="00CF15B2"/>
    <w:rsid w:val="00CF2D46"/>
    <w:rsid w:val="00D126F7"/>
    <w:rsid w:val="00D154A2"/>
    <w:rsid w:val="00D17703"/>
    <w:rsid w:val="00D555C9"/>
    <w:rsid w:val="00DA34C8"/>
    <w:rsid w:val="00DE45A2"/>
    <w:rsid w:val="00DF7E2C"/>
    <w:rsid w:val="00E44F85"/>
    <w:rsid w:val="00E5292B"/>
    <w:rsid w:val="00E6467B"/>
    <w:rsid w:val="00E84D39"/>
    <w:rsid w:val="00E925AB"/>
    <w:rsid w:val="00EC0A18"/>
    <w:rsid w:val="00EF6E0F"/>
    <w:rsid w:val="00F61C43"/>
    <w:rsid w:val="00F73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09608-1BE9-4A57-971E-F83DC466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D46"/>
  </w:style>
  <w:style w:type="paragraph" w:styleId="Footer">
    <w:name w:val="footer"/>
    <w:basedOn w:val="Normal"/>
    <w:link w:val="FooterChar"/>
    <w:uiPriority w:val="99"/>
    <w:unhideWhenUsed/>
    <w:rsid w:val="00CF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D46"/>
  </w:style>
  <w:style w:type="character" w:styleId="Hyperlink">
    <w:name w:val="Hyperlink"/>
    <w:basedOn w:val="DefaultParagraphFont"/>
    <w:uiPriority w:val="99"/>
    <w:unhideWhenUsed/>
    <w:rsid w:val="008507F3"/>
    <w:rPr>
      <w:color w:val="0563C1" w:themeColor="hyperlink"/>
      <w:u w:val="single"/>
    </w:rPr>
  </w:style>
  <w:style w:type="paragraph" w:styleId="ListParagraph">
    <w:name w:val="List Paragraph"/>
    <w:basedOn w:val="Normal"/>
    <w:uiPriority w:val="34"/>
    <w:qFormat/>
    <w:rsid w:val="00644893"/>
    <w:pPr>
      <w:ind w:left="720"/>
      <w:contextualSpacing/>
    </w:pPr>
  </w:style>
  <w:style w:type="paragraph" w:styleId="HTMLPreformatted">
    <w:name w:val="HTML Preformatted"/>
    <w:basedOn w:val="Normal"/>
    <w:link w:val="HTMLPreformattedChar"/>
    <w:uiPriority w:val="99"/>
    <w:semiHidden/>
    <w:unhideWhenUsed/>
    <w:rsid w:val="00D1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7703"/>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AA2D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C5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4314">
      <w:bodyDiv w:val="1"/>
      <w:marLeft w:val="0"/>
      <w:marRight w:val="0"/>
      <w:marTop w:val="0"/>
      <w:marBottom w:val="0"/>
      <w:divBdr>
        <w:top w:val="none" w:sz="0" w:space="0" w:color="auto"/>
        <w:left w:val="none" w:sz="0" w:space="0" w:color="auto"/>
        <w:bottom w:val="none" w:sz="0" w:space="0" w:color="auto"/>
        <w:right w:val="none" w:sz="0" w:space="0" w:color="auto"/>
      </w:divBdr>
    </w:div>
    <w:div w:id="235823579">
      <w:bodyDiv w:val="1"/>
      <w:marLeft w:val="0"/>
      <w:marRight w:val="0"/>
      <w:marTop w:val="0"/>
      <w:marBottom w:val="0"/>
      <w:divBdr>
        <w:top w:val="none" w:sz="0" w:space="0" w:color="auto"/>
        <w:left w:val="none" w:sz="0" w:space="0" w:color="auto"/>
        <w:bottom w:val="none" w:sz="0" w:space="0" w:color="auto"/>
        <w:right w:val="none" w:sz="0" w:space="0" w:color="auto"/>
      </w:divBdr>
    </w:div>
    <w:div w:id="466239740">
      <w:bodyDiv w:val="1"/>
      <w:marLeft w:val="0"/>
      <w:marRight w:val="0"/>
      <w:marTop w:val="0"/>
      <w:marBottom w:val="0"/>
      <w:divBdr>
        <w:top w:val="none" w:sz="0" w:space="0" w:color="auto"/>
        <w:left w:val="none" w:sz="0" w:space="0" w:color="auto"/>
        <w:bottom w:val="none" w:sz="0" w:space="0" w:color="auto"/>
        <w:right w:val="none" w:sz="0" w:space="0" w:color="auto"/>
      </w:divBdr>
    </w:div>
    <w:div w:id="498620813">
      <w:bodyDiv w:val="1"/>
      <w:marLeft w:val="0"/>
      <w:marRight w:val="0"/>
      <w:marTop w:val="0"/>
      <w:marBottom w:val="0"/>
      <w:divBdr>
        <w:top w:val="none" w:sz="0" w:space="0" w:color="auto"/>
        <w:left w:val="none" w:sz="0" w:space="0" w:color="auto"/>
        <w:bottom w:val="none" w:sz="0" w:space="0" w:color="auto"/>
        <w:right w:val="none" w:sz="0" w:space="0" w:color="auto"/>
      </w:divBdr>
      <w:divsChild>
        <w:div w:id="564806026">
          <w:marLeft w:val="0"/>
          <w:marRight w:val="0"/>
          <w:marTop w:val="0"/>
          <w:marBottom w:val="0"/>
          <w:divBdr>
            <w:top w:val="single" w:sz="6" w:space="4" w:color="ABABAB"/>
            <w:left w:val="single" w:sz="6" w:space="4" w:color="ABABAB"/>
            <w:bottom w:val="single" w:sz="6" w:space="4" w:color="ABABAB"/>
            <w:right w:val="single" w:sz="6" w:space="4" w:color="ABABAB"/>
          </w:divBdr>
          <w:divsChild>
            <w:div w:id="84810581">
              <w:marLeft w:val="0"/>
              <w:marRight w:val="0"/>
              <w:marTop w:val="0"/>
              <w:marBottom w:val="0"/>
              <w:divBdr>
                <w:top w:val="none" w:sz="0" w:space="0" w:color="auto"/>
                <w:left w:val="none" w:sz="0" w:space="0" w:color="auto"/>
                <w:bottom w:val="none" w:sz="0" w:space="0" w:color="auto"/>
                <w:right w:val="none" w:sz="0" w:space="0" w:color="auto"/>
              </w:divBdr>
              <w:divsChild>
                <w:div w:id="1482235940">
                  <w:marLeft w:val="0"/>
                  <w:marRight w:val="0"/>
                  <w:marTop w:val="0"/>
                  <w:marBottom w:val="0"/>
                  <w:divBdr>
                    <w:top w:val="none" w:sz="0" w:space="0" w:color="auto"/>
                    <w:left w:val="none" w:sz="0" w:space="0" w:color="auto"/>
                    <w:bottom w:val="none" w:sz="0" w:space="0" w:color="auto"/>
                    <w:right w:val="none" w:sz="0" w:space="0" w:color="auto"/>
                  </w:divBdr>
                  <w:divsChild>
                    <w:div w:id="10745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50608">
      <w:bodyDiv w:val="1"/>
      <w:marLeft w:val="0"/>
      <w:marRight w:val="0"/>
      <w:marTop w:val="0"/>
      <w:marBottom w:val="0"/>
      <w:divBdr>
        <w:top w:val="none" w:sz="0" w:space="0" w:color="auto"/>
        <w:left w:val="none" w:sz="0" w:space="0" w:color="auto"/>
        <w:bottom w:val="none" w:sz="0" w:space="0" w:color="auto"/>
        <w:right w:val="none" w:sz="0" w:space="0" w:color="auto"/>
      </w:divBdr>
    </w:div>
    <w:div w:id="595483765">
      <w:bodyDiv w:val="1"/>
      <w:marLeft w:val="0"/>
      <w:marRight w:val="0"/>
      <w:marTop w:val="0"/>
      <w:marBottom w:val="0"/>
      <w:divBdr>
        <w:top w:val="none" w:sz="0" w:space="0" w:color="auto"/>
        <w:left w:val="none" w:sz="0" w:space="0" w:color="auto"/>
        <w:bottom w:val="none" w:sz="0" w:space="0" w:color="auto"/>
        <w:right w:val="none" w:sz="0" w:space="0" w:color="auto"/>
      </w:divBdr>
    </w:div>
    <w:div w:id="723022504">
      <w:bodyDiv w:val="1"/>
      <w:marLeft w:val="0"/>
      <w:marRight w:val="0"/>
      <w:marTop w:val="0"/>
      <w:marBottom w:val="0"/>
      <w:divBdr>
        <w:top w:val="none" w:sz="0" w:space="0" w:color="auto"/>
        <w:left w:val="none" w:sz="0" w:space="0" w:color="auto"/>
        <w:bottom w:val="none" w:sz="0" w:space="0" w:color="auto"/>
        <w:right w:val="none" w:sz="0" w:space="0" w:color="auto"/>
      </w:divBdr>
    </w:div>
    <w:div w:id="913975222">
      <w:bodyDiv w:val="1"/>
      <w:marLeft w:val="0"/>
      <w:marRight w:val="0"/>
      <w:marTop w:val="0"/>
      <w:marBottom w:val="0"/>
      <w:divBdr>
        <w:top w:val="none" w:sz="0" w:space="0" w:color="auto"/>
        <w:left w:val="none" w:sz="0" w:space="0" w:color="auto"/>
        <w:bottom w:val="none" w:sz="0" w:space="0" w:color="auto"/>
        <w:right w:val="none" w:sz="0" w:space="0" w:color="auto"/>
      </w:divBdr>
    </w:div>
    <w:div w:id="1170019490">
      <w:bodyDiv w:val="1"/>
      <w:marLeft w:val="0"/>
      <w:marRight w:val="0"/>
      <w:marTop w:val="0"/>
      <w:marBottom w:val="0"/>
      <w:divBdr>
        <w:top w:val="none" w:sz="0" w:space="0" w:color="auto"/>
        <w:left w:val="none" w:sz="0" w:space="0" w:color="auto"/>
        <w:bottom w:val="none" w:sz="0" w:space="0" w:color="auto"/>
        <w:right w:val="none" w:sz="0" w:space="0" w:color="auto"/>
      </w:divBdr>
    </w:div>
    <w:div w:id="1402756559">
      <w:bodyDiv w:val="1"/>
      <w:marLeft w:val="0"/>
      <w:marRight w:val="0"/>
      <w:marTop w:val="0"/>
      <w:marBottom w:val="0"/>
      <w:divBdr>
        <w:top w:val="none" w:sz="0" w:space="0" w:color="auto"/>
        <w:left w:val="none" w:sz="0" w:space="0" w:color="auto"/>
        <w:bottom w:val="none" w:sz="0" w:space="0" w:color="auto"/>
        <w:right w:val="none" w:sz="0" w:space="0" w:color="auto"/>
      </w:divBdr>
    </w:div>
    <w:div w:id="1407648684">
      <w:bodyDiv w:val="1"/>
      <w:marLeft w:val="0"/>
      <w:marRight w:val="0"/>
      <w:marTop w:val="0"/>
      <w:marBottom w:val="0"/>
      <w:divBdr>
        <w:top w:val="none" w:sz="0" w:space="0" w:color="auto"/>
        <w:left w:val="none" w:sz="0" w:space="0" w:color="auto"/>
        <w:bottom w:val="none" w:sz="0" w:space="0" w:color="auto"/>
        <w:right w:val="none" w:sz="0" w:space="0" w:color="auto"/>
      </w:divBdr>
    </w:div>
    <w:div w:id="1753425430">
      <w:bodyDiv w:val="1"/>
      <w:marLeft w:val="0"/>
      <w:marRight w:val="0"/>
      <w:marTop w:val="0"/>
      <w:marBottom w:val="0"/>
      <w:divBdr>
        <w:top w:val="none" w:sz="0" w:space="0" w:color="auto"/>
        <w:left w:val="none" w:sz="0" w:space="0" w:color="auto"/>
        <w:bottom w:val="none" w:sz="0" w:space="0" w:color="auto"/>
        <w:right w:val="none" w:sz="0" w:space="0" w:color="auto"/>
      </w:divBdr>
    </w:div>
    <w:div w:id="1849176586">
      <w:bodyDiv w:val="1"/>
      <w:marLeft w:val="0"/>
      <w:marRight w:val="0"/>
      <w:marTop w:val="0"/>
      <w:marBottom w:val="0"/>
      <w:divBdr>
        <w:top w:val="none" w:sz="0" w:space="0" w:color="auto"/>
        <w:left w:val="none" w:sz="0" w:space="0" w:color="auto"/>
        <w:bottom w:val="none" w:sz="0" w:space="0" w:color="auto"/>
        <w:right w:val="none" w:sz="0" w:space="0" w:color="auto"/>
      </w:divBdr>
    </w:div>
    <w:div w:id="1974751140">
      <w:bodyDiv w:val="1"/>
      <w:marLeft w:val="0"/>
      <w:marRight w:val="0"/>
      <w:marTop w:val="0"/>
      <w:marBottom w:val="0"/>
      <w:divBdr>
        <w:top w:val="none" w:sz="0" w:space="0" w:color="auto"/>
        <w:left w:val="none" w:sz="0" w:space="0" w:color="auto"/>
        <w:bottom w:val="none" w:sz="0" w:space="0" w:color="auto"/>
        <w:right w:val="none" w:sz="0" w:space="0" w:color="auto"/>
      </w:divBdr>
    </w:div>
    <w:div w:id="20785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gital.nhs.uk/data-and-information/publications/statistical/practice-level-prescribing-data/april-2018" TargetMode="External"/><Relationship Id="rId18" Type="http://schemas.openxmlformats.org/officeDocument/2006/relationships/hyperlink" Target="https://openprescribing.net/bnf/" TargetMode="External"/><Relationship Id="rId3" Type="http://schemas.openxmlformats.org/officeDocument/2006/relationships/styles" Target="styles.xml"/><Relationship Id="rId21" Type="http://schemas.openxmlformats.org/officeDocument/2006/relationships/hyperlink" Target="https://unknown-primary-cancer.canceraustralia.gov.au/statistics.%20Accessed%2020/01/1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bmdatalab.net/prescribing-data-bnf-cod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gital.nhs.uk/data-and-information/areas-of-interest/prescribing/practice-level-prescribing-in-england-a-summary/practice-level-prescribing-data-more-information" TargetMode="External"/><Relationship Id="rId20" Type="http://schemas.openxmlformats.org/officeDocument/2006/relationships/hyperlink" Target="https://www.icd10data.com/ICD10CM/Codes/C00-D49/C76-C80/C80-/C8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gital.nhs.uk/data-and-information/publications/statistical/patients-registered-at-a-gp-practice/patients-registered-at-a-gp-practice-april-2018-special-topic---registered-patients-compared-to-the-projected-resident-population-in-england"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icd.who.int/browse10/2016/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gital.nhs.uk/data-and-information/areas-of-interest/prescribing/practice-level-prescribing-in-england-a-summary/practice-level-prescribing-glossary-of-terms" TargetMode="External"/><Relationship Id="rId22" Type="http://schemas.openxmlformats.org/officeDocument/2006/relationships/hyperlink" Target="https://www.nhs.uk/conditions/lung-cancer/c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D9280-71D9-45CA-9BE5-49E5EF13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JuanPablo</dc:creator>
  <cp:keywords/>
  <dc:description/>
  <cp:lastModifiedBy>JuanPablo</cp:lastModifiedBy>
  <cp:revision>6</cp:revision>
  <dcterms:created xsi:type="dcterms:W3CDTF">2019-01-21T09:13:00Z</dcterms:created>
  <dcterms:modified xsi:type="dcterms:W3CDTF">2019-01-21T11:29:00Z</dcterms:modified>
</cp:coreProperties>
</file>