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3.jpg" ContentType="image/jpeg"/>
  <Override PartName="/word/media/rId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667000" cy="88787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eOMIX_logo_long.jp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887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The e-OMIX project aims to develop and deploy a cutting-edge bioinformatic hub that meets the demand for integrated multiomics data solutions.</w:t>
      </w:r>
    </w:p>
    <w:p>
      <w:pPr>
        <w:pStyle w:val="BodyText"/>
      </w:pPr>
      <w:r>
        <w:t xml:space="preserve">With the recent development of different type of</w:t>
      </w:r>
      <w:r>
        <w:t xml:space="preserve"> </w:t>
      </w:r>
      <w:r>
        <w:t xml:space="preserve">“</w:t>
      </w:r>
      <w:r>
        <w:t xml:space="preserve">omics</w:t>
      </w:r>
      <w:r>
        <w:t xml:space="preserve">”</w:t>
      </w:r>
      <w:r>
        <w:t xml:space="preserve"> </w:t>
      </w:r>
      <w:r>
        <w:t xml:space="preserve">methods (technologies able to characterize and quantify entire spectra of biomolecular content, such as DNA- and RNA-sequencing, mass spectrometry applied to proteins, etc.), biologists have been able to generate large datasets accounting for a wide range of cellular processes. Integrating these different streams of data however, revealed to be an arduous task, both for technical and theoretical reasons.</w:t>
      </w:r>
    </w:p>
    <w:p>
      <w:pPr>
        <w:pStyle w:val="BodyText"/>
      </w:pPr>
      <w:r>
        <w:t xml:space="preserve">e-OMIX strives to overcome these obstacles by combining the integration, management, storage, sharing and analysis of different types of multiomics data in a single platform. The end product will be a set of open-source tools tailored for local academic institutions, healthcare networks and R&amp;D departments conducting either fundamental or applied research, with the ambition to drive the development of new therapeutics, help identifying novel biomarkers, and accelerate the comprehension of complex cellular processes.</w:t>
      </w:r>
    </w:p>
    <w:p>
      <w:pPr>
        <w:pStyle w:val="BodyText"/>
      </w:pPr>
      <w:r>
        <w:br/>
      </w:r>
      <w:r>
        <w:br/>
      </w:r>
    </w:p>
    <w:p>
      <w:pPr>
        <w:pStyle w:val="BodyText"/>
      </w:pPr>
      <w:hyperlink r:id="rId26">
        <w:r>
          <w:drawing>
            <wp:inline>
              <wp:extent cx="2667000" cy="616206"/>
              <wp:effectExtent b="0" l="0" r="0" t="0"/>
              <wp:docPr descr="" title="" id="24" name="Picture"/>
              <a:graphic>
                <a:graphicData uri="http://schemas.openxmlformats.org/drawingml/2006/picture">
                  <pic:pic>
                    <pic:nvPicPr>
                      <pic:cNvPr descr="logo_UCLouvain_format_jpg_RVB.jpg" id="25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7000" cy="6162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  <w:hyperlink r:id="rId30">
        <w:r>
          <w:drawing>
            <wp:inline>
              <wp:extent cx="2667000" cy="591378"/>
              <wp:effectExtent b="0" l="0" r="0" t="0"/>
              <wp:docPr descr="" title="" id="28" name="Picture"/>
              <a:graphic>
                <a:graphicData uri="http://schemas.openxmlformats.org/drawingml/2006/picture">
                  <pic:pic>
                    <pic:nvPicPr>
                      <pic:cNvPr descr="logo_UE+wallonie+FWB.jpg" id="29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7000" cy="59137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hyperlink" Id="rId30" Target="https://www.enmieux.be/" TargetMode="External" /><Relationship Type="http://schemas.openxmlformats.org/officeDocument/2006/relationships/hyperlink" Id="rId26" Target="https://www.uclouvain.b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www.enmieux.be/" TargetMode="External" /><Relationship Type="http://schemas.openxmlformats.org/officeDocument/2006/relationships/hyperlink" Id="rId26" Target="https://www.uclouvain.b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2023-11-15T15:37:25Z</dcterms:created>
  <dcterms:modified xsi:type="dcterms:W3CDTF">2023-11-15T15:37:25Z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