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65D"/>
          <w:sz w:val="60"/>
        </w:rPr>
        <w:t>LEAF-EB</w:t>
      </w:r>
    </w:p>
    <w:p>
      <w:pPr>
        <w:jc w:val="center"/>
      </w:pPr>
      <w:r>
        <w:rPr>
          <w:rFonts w:ascii="Aptos Display" w:hAnsi="Aptos Display"/>
          <w:color w:val="2F5597"/>
          <w:sz w:val="32"/>
        </w:rPr>
        <w:t>Long-term Energy Analysis Framework - Electricity Balance</w:t>
      </w:r>
    </w:p>
    <w:p>
      <w:pPr>
        <w:spacing w:before="240"/>
        <w:jc w:val="center"/>
      </w:pPr>
      <w:r>
        <w:rPr>
          <w:rFonts w:ascii="Aptos Display" w:hAnsi="Aptos Display"/>
          <w:b/>
          <w:color w:val="222222"/>
          <w:sz w:val="44"/>
        </w:rPr>
        <w:t>User Manual</w:t>
      </w:r>
    </w:p>
    <w:p>
      <w:pPr>
        <w:jc w:val="center"/>
      </w:pPr>
      <w:r>
        <w:rPr>
          <w:rFonts w:ascii="Aptos" w:hAnsi="Aptos"/>
          <w:color w:val="666666"/>
          <w:sz w:val="22"/>
        </w:rPr>
        <w:t>Public release 2026.08.27</w:t>
      </w:r>
    </w:p>
    <w:p>
      <w:pPr>
        <w:spacing w:before="700"/>
        <w:jc w:val="center"/>
      </w:pPr>
      <w:r>
        <w:rPr>
          <w:rFonts w:ascii="Aptos" w:hAnsi="Aptos"/>
          <w:color w:val="222222"/>
          <w:sz w:val="19"/>
        </w:rPr>
        <w:t>Iván Merino Rodríguez · Francisco Álvarez-Velarde · Alejandro Prada Valverde · Pablo Romojaro · Constanza Mora Inzunza · Victor J. Casas-Molina</w:t>
      </w:r>
    </w:p>
    <w:tbl>
      <w:tblPr>
        <w:tblW w:type="auto" w:w="0"/>
        <w:jc w:val="center"/>
        <w:tblLook w:firstColumn="1" w:firstRow="1" w:lastColumn="0" w:lastRow="0" w:noHBand="0" w:noVBand="1" w:val="04A0"/>
      </w:tblPr>
      <w:tblGrid>
        <w:gridCol w:w="10200"/>
      </w:tblGrid>
      <w:tr>
        <w:tc>
          <w:tcPr>
            <w:tcW w:type="dxa" w:w="10200"/>
            <w:shd w:fill="D9EAF7"/>
            <w:tcMar>
              <w:top w:w="120" w:type="dxa"/>
              <w:start w:w="140" w:type="dxa"/>
              <w:bottom w:w="120" w:type="dxa"/>
              <w:end w:w="140" w:type="dxa"/>
            </w:tcMar>
          </w:tcPr>
          <w:p>
            <w:pPr>
              <w:spacing w:after="20"/>
            </w:pPr>
            <w:r>
              <w:rPr>
                <w:rFonts w:ascii="Aptos" w:hAnsi="Aptos"/>
                <w:b/>
                <w:color w:val="17365D"/>
                <w:sz w:val="19"/>
              </w:rPr>
              <w:t xml:space="preserve">Purpose  </w:t>
            </w:r>
            <w:r>
              <w:rPr>
                <w:rFonts w:ascii="Aptos" w:hAnsi="Aptos"/>
                <w:color w:val="222222"/>
                <w:sz w:val="19"/>
              </w:rPr>
              <w:t>This manual is organized around the six public examples distributed with LEAF-EB. Start with Example 01 and move forward only when you need the next capability. Every example is self-contained and commented directly in YAML with #.</w:t>
            </w:r>
          </w:p>
        </w:tc>
      </w:tr>
    </w:tbl>
    <w:p>
      <w:pPr>
        <w:spacing w:after="0"/>
      </w:pPr>
    </w:p>
    <w:p>
      <w:pPr>
        <w:spacing w:before="360"/>
        <w:jc w:val="center"/>
      </w:pPr>
      <w:r>
        <w:rPr>
          <w:rFonts w:ascii="Aptos" w:hAnsi="Aptos"/>
          <w:color w:val="666666"/>
          <w:sz w:val="18"/>
        </w:rPr>
        <w:t>Universidad Católica del Maule · CIEMAT · SCK CEN · Ghent University-imec</w:t>
      </w:r>
    </w:p>
    <w:p>
      <w:r>
        <w:br w:type="page"/>
      </w:r>
    </w:p>
    <w:p>
      <w:pPr>
        <w:pStyle w:val="Heading1"/>
        <w:keepNext/>
      </w:pPr>
      <w:r>
        <w:t>Start here</w:t>
      </w:r>
    </w:p>
    <w:p>
      <w:pPr>
        <w:spacing w:after="100" w:line="259" w:lineRule="auto"/>
      </w:pPr>
      <w:r>
        <w:rPr>
          <w:rFonts w:ascii="Aptos" w:hAnsi="Aptos"/>
          <w:sz w:val="20"/>
        </w:rPr>
        <w:t>LEAF-EB constructs and evaluates long-term electricity scenarios from user-defined assumptions and historical data. The assumptions may come from external planning or optimization studies, policy targets or published scenarios, or they may be defined directly in LEAF-EB. The framework constructs daily or hourly electricity balances while retaining historical temporal structure and can represent storage, commodity conversion and nuclear operating rules without optimizing the future generation mix.</w:t>
      </w:r>
    </w:p>
    <w:p>
      <w:pPr>
        <w:pStyle w:val="Heading2"/>
        <w:keepNext/>
      </w:pPr>
      <w:r>
        <w:t>The public examples are the manual</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17365D"/>
          </w:tcPr>
          <w:p>
            <w:pPr>
              <w:spacing w:after="20"/>
            </w:pPr>
            <w:r>
              <w:rPr>
                <w:rFonts w:ascii="Aptos" w:hAnsi="Aptos"/>
                <w:b/>
                <w:color w:val="FFFFFF"/>
                <w:sz w:val="18"/>
              </w:rPr>
              <w:t>Example</w:t>
            </w:r>
          </w:p>
        </w:tc>
        <w:tc>
          <w:tcPr>
            <w:tcW w:type="dxa" w:w="2550"/>
            <w:shd w:fill="17365D"/>
          </w:tcPr>
          <w:p>
            <w:pPr>
              <w:spacing w:after="20"/>
            </w:pPr>
            <w:r>
              <w:rPr>
                <w:rFonts w:ascii="Aptos" w:hAnsi="Aptos"/>
                <w:b/>
                <w:color w:val="FFFFFF"/>
                <w:sz w:val="18"/>
              </w:rPr>
              <w:t>What it adds</w:t>
            </w:r>
          </w:p>
        </w:tc>
        <w:tc>
          <w:tcPr>
            <w:tcW w:type="dxa" w:w="2550"/>
            <w:shd w:fill="17365D"/>
          </w:tcPr>
          <w:p>
            <w:pPr>
              <w:spacing w:after="20"/>
            </w:pPr>
            <w:r>
              <w:rPr>
                <w:rFonts w:ascii="Aptos" w:hAnsi="Aptos"/>
                <w:b/>
                <w:color w:val="FFFFFF"/>
                <w:sz w:val="18"/>
              </w:rPr>
              <w:t>Resolution</w:t>
            </w:r>
          </w:p>
        </w:tc>
        <w:tc>
          <w:tcPr>
            <w:tcW w:type="dxa" w:w="2550"/>
            <w:shd w:fill="17365D"/>
          </w:tcPr>
          <w:p>
            <w:pPr>
              <w:spacing w:after="20"/>
            </w:pPr>
            <w:r>
              <w:rPr>
                <w:rFonts w:ascii="Aptos" w:hAnsi="Aptos"/>
                <w:b/>
                <w:color w:val="FFFFFF"/>
                <w:sz w:val="18"/>
              </w:rPr>
              <w:t>Dataset</w:t>
            </w:r>
          </w:p>
        </w:tc>
      </w:tr>
      <w:tr>
        <w:tc>
          <w:tcPr>
            <w:tcW w:type="dxa" w:w="2550"/>
            <w:vAlign w:val="center"/>
            <w:shd w:fill="D9EAF7"/>
          </w:tcPr>
          <w:p>
            <w:pPr>
              <w:spacing w:after="20"/>
            </w:pPr>
            <w:r>
              <w:rPr>
                <w:rFonts w:ascii="Aptos" w:hAnsi="Aptos"/>
                <w:sz w:val="17"/>
              </w:rPr>
              <w:t>01 basic</w:t>
            </w:r>
          </w:p>
        </w:tc>
        <w:tc>
          <w:tcPr>
            <w:tcW w:type="dxa" w:w="2550"/>
            <w:vAlign w:val="center"/>
          </w:tcPr>
          <w:p>
            <w:pPr>
              <w:spacing w:after="20"/>
            </w:pPr>
            <w:r>
              <w:rPr>
                <w:rFonts w:ascii="Aptos" w:hAnsi="Aptos"/>
                <w:sz w:val="17"/>
              </w:rPr>
              <w:t>Deterministic balance</w:t>
            </w:r>
          </w:p>
        </w:tc>
        <w:tc>
          <w:tcPr>
            <w:tcW w:type="dxa" w:w="2550"/>
            <w:vAlign w:val="center"/>
          </w:tcPr>
          <w:p>
            <w:pPr>
              <w:spacing w:after="20"/>
            </w:pPr>
            <w:r>
              <w:rPr>
                <w:rFonts w:ascii="Aptos" w:hAnsi="Aptos"/>
                <w:sz w:val="17"/>
              </w:rPr>
              <w:t>Daily</w:t>
            </w:r>
          </w:p>
        </w:tc>
        <w:tc>
          <w:tcPr>
            <w:tcW w:type="dxa" w:w="2550"/>
            <w:vAlign w:val="center"/>
          </w:tcPr>
          <w:p>
            <w:pPr>
              <w:spacing w:after="20"/>
            </w:pPr>
            <w:r>
              <w:rPr>
                <w:rFonts w:ascii="Aptos" w:hAnsi="Aptos"/>
                <w:sz w:val="17"/>
              </w:rPr>
              <w:t>Daily synthetic</w:t>
            </w:r>
          </w:p>
        </w:tc>
      </w:tr>
      <w:tr>
        <w:tc>
          <w:tcPr>
            <w:tcW w:type="dxa" w:w="2550"/>
            <w:vAlign w:val="center"/>
            <w:shd w:fill="D9EAF7"/>
          </w:tcPr>
          <w:p>
            <w:pPr>
              <w:spacing w:after="20"/>
            </w:pPr>
            <w:r>
              <w:rPr>
                <w:rFonts w:ascii="Aptos" w:hAnsi="Aptos"/>
                <w:sz w:val="17"/>
              </w:rPr>
              <w:t>02 Monte Carlo</w:t>
            </w:r>
          </w:p>
        </w:tc>
        <w:tc>
          <w:tcPr>
            <w:tcW w:type="dxa" w:w="2550"/>
            <w:vAlign w:val="center"/>
          </w:tcPr>
          <w:p>
            <w:pPr>
              <w:spacing w:after="20"/>
            </w:pPr>
            <w:r>
              <w:rPr>
                <w:rFonts w:ascii="Aptos" w:hAnsi="Aptos"/>
                <w:sz w:val="17"/>
              </w:rPr>
              <w:t>Temporal uncertainty</w:t>
            </w:r>
          </w:p>
        </w:tc>
        <w:tc>
          <w:tcPr>
            <w:tcW w:type="dxa" w:w="2550"/>
            <w:vAlign w:val="center"/>
          </w:tcPr>
          <w:p>
            <w:pPr>
              <w:spacing w:after="20"/>
            </w:pPr>
            <w:r>
              <w:rPr>
                <w:rFonts w:ascii="Aptos" w:hAnsi="Aptos"/>
                <w:sz w:val="17"/>
              </w:rPr>
              <w:t>Daily</w:t>
            </w:r>
          </w:p>
        </w:tc>
        <w:tc>
          <w:tcPr>
            <w:tcW w:type="dxa" w:w="2550"/>
            <w:vAlign w:val="center"/>
          </w:tcPr>
          <w:p>
            <w:pPr>
              <w:spacing w:after="20"/>
            </w:pPr>
            <w:r>
              <w:rPr>
                <w:rFonts w:ascii="Aptos" w:hAnsi="Aptos"/>
                <w:sz w:val="17"/>
              </w:rPr>
              <w:t>Daily synthetic</w:t>
            </w:r>
          </w:p>
        </w:tc>
      </w:tr>
      <w:tr>
        <w:tc>
          <w:tcPr>
            <w:tcW w:type="dxa" w:w="2550"/>
            <w:vAlign w:val="center"/>
            <w:shd w:fill="D9EAF7"/>
          </w:tcPr>
          <w:p>
            <w:pPr>
              <w:spacing w:after="20"/>
            </w:pPr>
            <w:r>
              <w:rPr>
                <w:rFonts w:ascii="Aptos" w:hAnsi="Aptos"/>
                <w:sz w:val="17"/>
              </w:rPr>
              <w:t>03 BESS</w:t>
            </w:r>
          </w:p>
        </w:tc>
        <w:tc>
          <w:tcPr>
            <w:tcW w:type="dxa" w:w="2550"/>
            <w:vAlign w:val="center"/>
          </w:tcPr>
          <w:p>
            <w:pPr>
              <w:spacing w:after="20"/>
            </w:pPr>
            <w:r>
              <w:rPr>
                <w:rFonts w:ascii="Aptos" w:hAnsi="Aptos"/>
                <w:sz w:val="17"/>
              </w:rPr>
              <w:t>Battery storage</w:t>
            </w:r>
          </w:p>
        </w:tc>
        <w:tc>
          <w:tcPr>
            <w:tcW w:type="dxa" w:w="2550"/>
            <w:vAlign w:val="center"/>
          </w:tcPr>
          <w:p>
            <w:pPr>
              <w:spacing w:after="20"/>
            </w:pPr>
            <w:r>
              <w:rPr>
                <w:rFonts w:ascii="Aptos" w:hAnsi="Aptos"/>
                <w:sz w:val="17"/>
              </w:rPr>
              <w:t>Hourly</w:t>
            </w:r>
          </w:p>
        </w:tc>
        <w:tc>
          <w:tcPr>
            <w:tcW w:type="dxa" w:w="2550"/>
            <w:vAlign w:val="center"/>
          </w:tcPr>
          <w:p>
            <w:pPr>
              <w:spacing w:after="20"/>
            </w:pPr>
            <w:r>
              <w:rPr>
                <w:rFonts w:ascii="Aptos" w:hAnsi="Aptos"/>
                <w:sz w:val="17"/>
              </w:rPr>
              <w:t>Hourly synthetic</w:t>
            </w:r>
          </w:p>
        </w:tc>
      </w:tr>
      <w:tr>
        <w:tc>
          <w:tcPr>
            <w:tcW w:type="dxa" w:w="2550"/>
            <w:vAlign w:val="center"/>
            <w:shd w:fill="D9EAF7"/>
          </w:tcPr>
          <w:p>
            <w:pPr>
              <w:spacing w:after="20"/>
            </w:pPr>
            <w:r>
              <w:rPr>
                <w:rFonts w:ascii="Aptos" w:hAnsi="Aptos"/>
                <w:sz w:val="17"/>
              </w:rPr>
              <w:t>04 commodities</w:t>
            </w:r>
          </w:p>
        </w:tc>
        <w:tc>
          <w:tcPr>
            <w:tcW w:type="dxa" w:w="2550"/>
            <w:vAlign w:val="center"/>
          </w:tcPr>
          <w:p>
            <w:pPr>
              <w:spacing w:after="20"/>
            </w:pPr>
            <w:r>
              <w:rPr>
                <w:rFonts w:ascii="Aptos" w:hAnsi="Aptos"/>
                <w:sz w:val="17"/>
              </w:rPr>
              <w:t>CH4 storage/reconversion</w:t>
            </w:r>
          </w:p>
        </w:tc>
        <w:tc>
          <w:tcPr>
            <w:tcW w:type="dxa" w:w="2550"/>
            <w:vAlign w:val="center"/>
          </w:tcPr>
          <w:p>
            <w:pPr>
              <w:spacing w:after="20"/>
            </w:pPr>
            <w:r>
              <w:rPr>
                <w:rFonts w:ascii="Aptos" w:hAnsi="Aptos"/>
                <w:sz w:val="17"/>
              </w:rPr>
              <w:t>Hourly</w:t>
            </w:r>
          </w:p>
        </w:tc>
        <w:tc>
          <w:tcPr>
            <w:tcW w:type="dxa" w:w="2550"/>
            <w:vAlign w:val="center"/>
          </w:tcPr>
          <w:p>
            <w:pPr>
              <w:spacing w:after="20"/>
            </w:pPr>
            <w:r>
              <w:rPr>
                <w:rFonts w:ascii="Aptos" w:hAnsi="Aptos"/>
                <w:sz w:val="17"/>
              </w:rPr>
              <w:t>Hourly synthetic</w:t>
            </w:r>
          </w:p>
        </w:tc>
      </w:tr>
      <w:tr>
        <w:tc>
          <w:tcPr>
            <w:tcW w:type="dxa" w:w="2550"/>
            <w:vAlign w:val="center"/>
            <w:shd w:fill="D9EAF7"/>
          </w:tcPr>
          <w:p>
            <w:pPr>
              <w:spacing w:after="20"/>
            </w:pPr>
            <w:r>
              <w:rPr>
                <w:rFonts w:ascii="Aptos" w:hAnsi="Aptos"/>
                <w:sz w:val="17"/>
              </w:rPr>
              <w:t>05 nuclear constant</w:t>
            </w:r>
          </w:p>
        </w:tc>
        <w:tc>
          <w:tcPr>
            <w:tcW w:type="dxa" w:w="2550"/>
            <w:vAlign w:val="center"/>
          </w:tcPr>
          <w:p>
            <w:pPr>
              <w:spacing w:after="20"/>
            </w:pPr>
            <w:r>
              <w:rPr>
                <w:rFonts w:ascii="Aptos" w:hAnsi="Aptos"/>
                <w:sz w:val="17"/>
              </w:rPr>
              <w:t>Must-run + calendar refueling</w:t>
            </w:r>
          </w:p>
        </w:tc>
        <w:tc>
          <w:tcPr>
            <w:tcW w:type="dxa" w:w="2550"/>
            <w:vAlign w:val="center"/>
          </w:tcPr>
          <w:p>
            <w:pPr>
              <w:spacing w:after="20"/>
            </w:pPr>
            <w:r>
              <w:rPr>
                <w:rFonts w:ascii="Aptos" w:hAnsi="Aptos"/>
                <w:sz w:val="17"/>
              </w:rPr>
              <w:t>Hourly</w:t>
            </w:r>
          </w:p>
        </w:tc>
        <w:tc>
          <w:tcPr>
            <w:tcW w:type="dxa" w:w="2550"/>
            <w:vAlign w:val="center"/>
          </w:tcPr>
          <w:p>
            <w:pPr>
              <w:spacing w:after="20"/>
            </w:pPr>
            <w:r>
              <w:rPr>
                <w:rFonts w:ascii="Aptos" w:hAnsi="Aptos"/>
                <w:sz w:val="17"/>
              </w:rPr>
              <w:t>Hourly synthetic</w:t>
            </w:r>
          </w:p>
        </w:tc>
      </w:tr>
      <w:tr>
        <w:tc>
          <w:tcPr>
            <w:tcW w:type="dxa" w:w="2550"/>
            <w:vAlign w:val="center"/>
            <w:shd w:fill="D9EAF7"/>
          </w:tcPr>
          <w:p>
            <w:pPr>
              <w:spacing w:after="20"/>
            </w:pPr>
            <w:r>
              <w:rPr>
                <w:rFonts w:ascii="Aptos" w:hAnsi="Aptos"/>
                <w:sz w:val="17"/>
              </w:rPr>
              <w:t>06 nuclear load-following</w:t>
            </w:r>
          </w:p>
        </w:tc>
        <w:tc>
          <w:tcPr>
            <w:tcW w:type="dxa" w:w="2550"/>
            <w:vAlign w:val="center"/>
          </w:tcPr>
          <w:p>
            <w:pPr>
              <w:spacing w:after="20"/>
            </w:pPr>
            <w:r>
              <w:rPr>
                <w:rFonts w:ascii="Aptos" w:hAnsi="Aptos"/>
                <w:sz w:val="17"/>
              </w:rPr>
              <w:t>Load-following + burnup refueling</w:t>
            </w:r>
          </w:p>
        </w:tc>
        <w:tc>
          <w:tcPr>
            <w:tcW w:type="dxa" w:w="2550"/>
            <w:vAlign w:val="center"/>
          </w:tcPr>
          <w:p>
            <w:pPr>
              <w:spacing w:after="20"/>
            </w:pPr>
            <w:r>
              <w:rPr>
                <w:rFonts w:ascii="Aptos" w:hAnsi="Aptos"/>
                <w:sz w:val="17"/>
              </w:rPr>
              <w:t>Hourly</w:t>
            </w:r>
          </w:p>
        </w:tc>
        <w:tc>
          <w:tcPr>
            <w:tcW w:type="dxa" w:w="2550"/>
            <w:vAlign w:val="center"/>
          </w:tcPr>
          <w:p>
            <w:pPr>
              <w:spacing w:after="20"/>
            </w:pPr>
            <w:r>
              <w:rPr>
                <w:rFonts w:ascii="Aptos" w:hAnsi="Aptos"/>
                <w:sz w:val="17"/>
              </w:rPr>
              <w:t>Hourly synthetic</w:t>
            </w:r>
          </w:p>
        </w:tc>
      </w:tr>
    </w:tbl>
    <w:p>
      <w:pPr>
        <w:spacing w:after="0"/>
      </w:pPr>
    </w:p>
    <w:tbl>
      <w:tblPr>
        <w:tblW w:type="auto" w:w="0"/>
        <w:jc w:val="center"/>
        <w:tblLook w:firstColumn="1" w:firstRow="1" w:lastColumn="0" w:lastRow="0" w:noHBand="0" w:noVBand="1" w:val="04A0"/>
      </w:tblPr>
      <w:tblGrid>
        <w:gridCol w:w="10200"/>
      </w:tblGrid>
      <w:tr>
        <w:tc>
          <w:tcPr>
            <w:tcW w:type="dxa" w:w="10200"/>
            <w:shd w:fill="E2F0D9"/>
            <w:tcMar>
              <w:top w:w="120" w:type="dxa"/>
              <w:start w:w="140" w:type="dxa"/>
              <w:bottom w:w="120" w:type="dxa"/>
              <w:end w:w="140" w:type="dxa"/>
            </w:tcMar>
          </w:tcPr>
          <w:p>
            <w:pPr>
              <w:spacing w:after="20"/>
            </w:pPr>
            <w:r>
              <w:rPr>
                <w:rFonts w:ascii="Aptos" w:hAnsi="Aptos"/>
                <w:b/>
                <w:color w:val="17365D"/>
                <w:sz w:val="19"/>
              </w:rPr>
              <w:t xml:space="preserve">Recommended workflow  </w:t>
            </w:r>
            <w:r>
              <w:rPr>
                <w:rFonts w:ascii="Aptos" w:hAnsi="Aptos"/>
                <w:color w:val="222222"/>
                <w:sz w:val="19"/>
              </w:rPr>
              <w:t>Do not start from an empty YAML file. Copy the public example closest to your intended analysis, change one block at a time and run LEAF-EB after each meaningful change.</w:t>
            </w:r>
          </w:p>
        </w:tc>
      </w:tr>
    </w:tbl>
    <w:p>
      <w:pPr>
        <w:spacing w:after="0"/>
      </w:pPr>
    </w:p>
    <w:p>
      <w:pPr>
        <w:pStyle w:val="Heading2"/>
        <w:keepNext/>
      </w:pPr>
      <w:r>
        <w:t>Five-minute quick start</w:t>
      </w:r>
    </w:p>
    <w:p>
      <w:pPr>
        <w:spacing w:after="60"/>
        <w:ind w:left="312" w:hanging="255"/>
      </w:pPr>
      <w:r>
        <w:rPr>
          <w:rFonts w:ascii="Aptos" w:hAnsi="Aptos"/>
          <w:sz w:val="20"/>
        </w:rPr>
        <w:t xml:space="preserve">1.  </w:t>
      </w:r>
      <w:r>
        <w:rPr>
          <w:rFonts w:ascii="Aptos" w:hAnsi="Aptos"/>
          <w:sz w:val="20"/>
        </w:rPr>
        <w:t>Install CPython 3.11 or newer.</w:t>
      </w:r>
    </w:p>
    <w:p>
      <w:pPr>
        <w:spacing w:after="60"/>
        <w:ind w:left="312" w:hanging="255"/>
      </w:pPr>
      <w:r>
        <w:rPr>
          <w:rFonts w:ascii="Aptos" w:hAnsi="Aptos"/>
          <w:sz w:val="20"/>
        </w:rPr>
        <w:t xml:space="preserve">2.  </w:t>
      </w:r>
      <w:r>
        <w:rPr>
          <w:rFonts w:ascii="Aptos" w:hAnsi="Aptos"/>
          <w:sz w:val="20"/>
        </w:rPr>
        <w:t>Create a virtual environment and install requirements.txt.</w:t>
      </w:r>
    </w:p>
    <w:p>
      <w:pPr>
        <w:spacing w:after="60"/>
        <w:ind w:left="312" w:hanging="255"/>
      </w:pPr>
      <w:r>
        <w:rPr>
          <w:rFonts w:ascii="Aptos" w:hAnsi="Aptos"/>
          <w:sz w:val="20"/>
        </w:rPr>
        <w:t xml:space="preserve">3.  </w:t>
      </w:r>
      <w:r>
        <w:rPr>
          <w:rFonts w:ascii="Aptos" w:hAnsi="Aptos"/>
          <w:sz w:val="20"/>
        </w:rPr>
        <w:t>Run python Runner.py --list to see the six public examples.</w:t>
      </w:r>
    </w:p>
    <w:p>
      <w:pPr>
        <w:spacing w:after="60"/>
        <w:ind w:left="312" w:hanging="255"/>
      </w:pPr>
      <w:r>
        <w:rPr>
          <w:rFonts w:ascii="Aptos" w:hAnsi="Aptos"/>
          <w:sz w:val="20"/>
        </w:rPr>
        <w:t xml:space="preserve">4.  </w:t>
      </w:r>
      <w:r>
        <w:rPr>
          <w:rFonts w:ascii="Aptos" w:hAnsi="Aptos"/>
          <w:sz w:val="20"/>
        </w:rPr>
        <w:t>Run python Runner.py Example_01_basic.</w:t>
      </w:r>
    </w:p>
    <w:p>
      <w:pPr>
        <w:spacing w:after="60"/>
        <w:ind w:left="312" w:hanging="255"/>
      </w:pPr>
      <w:r>
        <w:rPr>
          <w:rFonts w:ascii="Aptos" w:hAnsi="Aptos"/>
          <w:sz w:val="20"/>
        </w:rPr>
        <w:t xml:space="preserve">5.  </w:t>
      </w:r>
      <w:r>
        <w:rPr>
          <w:rFonts w:ascii="Aptos" w:hAnsi="Aptos"/>
          <w:sz w:val="20"/>
        </w:rPr>
        <w:t>Open Outputs/Example_01_basic/Output/Results.xlsx and Outputs/Example_01_basic/Resolved_Config.yaml.</w:t>
      </w:r>
    </w:p>
    <w:p>
      <w:pPr>
        <w:pStyle w:val="Heading2"/>
        <w:keepNext/>
      </w:pPr>
      <w:r>
        <w:t>What # means in the input files</w:t>
      </w:r>
    </w:p>
    <w:p>
      <w:pPr>
        <w:spacing w:after="100" w:line="259" w:lineRule="auto"/>
      </w:pPr>
      <w:r>
        <w:rPr>
          <w:rFonts w:ascii="Aptos" w:hAnsi="Aptos"/>
          <w:sz w:val="20"/>
        </w:rPr>
        <w:t>YAML uses # to start a comment. LEAF-EB ignores the comment; it exists only to help the reader. Public examples use comments for units, important switches and non-obvious assumptions.</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simulation:</w:t>
            </w:r>
            <w:r>
              <w:rPr>
                <w:rFonts w:ascii="Aptos" w:hAnsi="Aptos"/>
                <w:sz w:val="18"/>
              </w:rPr>
              <w:br/>
            </w:r>
            <w:r>
              <w:rPr>
                <w:rFonts w:ascii="Consolas" w:hAnsi="Consolas"/>
                <w:color w:val="222222"/>
                <w:sz w:val="17"/>
              </w:rPr>
              <w:t xml:space="preserve">  monte_carlo:</w:t>
            </w:r>
            <w:r>
              <w:rPr>
                <w:rFonts w:ascii="Aptos" w:hAnsi="Aptos"/>
                <w:sz w:val="18"/>
              </w:rPr>
              <w:br/>
            </w:r>
            <w:r>
              <w:rPr>
                <w:rFonts w:ascii="Consolas" w:hAnsi="Consolas"/>
                <w:color w:val="222222"/>
                <w:sz w:val="17"/>
              </w:rPr>
              <w:t xml:space="preserve">    simulations: 5                 # Small demonstration sample.</w:t>
            </w:r>
            <w:r>
              <w:rPr>
                <w:rFonts w:ascii="Aptos" w:hAnsi="Aptos"/>
                <w:sz w:val="18"/>
              </w:rPr>
              <w:br/>
            </w:r>
            <w:r>
              <w:rPr>
                <w:rFonts w:ascii="Consolas" w:hAnsi="Consolas"/>
                <w:color w:val="222222"/>
                <w:sz w:val="17"/>
              </w:rPr>
              <w:t xml:space="preserve">    seed: 12345                    # Reproducible random seed.</w:t>
            </w:r>
            <w:r>
              <w:rPr>
                <w:rFonts w:ascii="Aptos" w:hAnsi="Aptos"/>
                <w:sz w:val="18"/>
              </w:rPr>
              <w:br/>
            </w:r>
            <w:r>
              <w:rPr>
                <w:rFonts w:ascii="Consolas" w:hAnsi="Consolas"/>
                <w:color w:val="222222"/>
                <w:sz w:val="17"/>
              </w:rPr>
              <w:t xml:space="preserve">    preserve_annual_targets: false # Annual energy may vary.</w:t>
            </w:r>
          </w:p>
        </w:tc>
      </w:tr>
    </w:tbl>
    <w:p>
      <w:pPr>
        <w:spacing w:after="0"/>
      </w:pPr>
    </w:p>
    <w:tbl>
      <w:tblPr>
        <w:tblW w:type="auto" w:w="0"/>
        <w:jc w:val="center"/>
        <w:tblLook w:firstColumn="1" w:firstRow="1" w:lastColumn="0" w:lastRow="0" w:noHBand="0" w:noVBand="1" w:val="04A0"/>
      </w:tblPr>
      <w:tblGrid>
        <w:gridCol w:w="10200"/>
      </w:tblGrid>
      <w:tr>
        <w:tc>
          <w:tcPr>
            <w:tcW w:type="dxa" w:w="10200"/>
            <w:shd w:fill="FFF2CC"/>
            <w:tcMar>
              <w:top w:w="120" w:type="dxa"/>
              <w:start w:w="140" w:type="dxa"/>
              <w:bottom w:w="120" w:type="dxa"/>
              <w:end w:w="140" w:type="dxa"/>
            </w:tcMar>
          </w:tcPr>
          <w:p>
            <w:pPr>
              <w:spacing w:after="20"/>
            </w:pPr>
            <w:r>
              <w:rPr>
                <w:rFonts w:ascii="Aptos" w:hAnsi="Aptos"/>
                <w:b/>
                <w:color w:val="17365D"/>
                <w:sz w:val="19"/>
              </w:rPr>
              <w:t xml:space="preserve">YAML rule  </w:t>
            </w:r>
            <w:r>
              <w:rPr>
                <w:rFonts w:ascii="Aptos" w:hAnsi="Aptos"/>
                <w:color w:val="222222"/>
                <w:sz w:val="19"/>
              </w:rPr>
              <w:t>Indentation is part of the file structure. Use spaces, not tabs. Keep nested blocks aligned exactly as in the examples.</w:t>
            </w:r>
          </w:p>
        </w:tc>
      </w:tr>
    </w:tbl>
    <w:p>
      <w:pPr>
        <w:spacing w:after="0"/>
      </w:pPr>
    </w:p>
    <w:p>
      <w:r>
        <w:br w:type="page"/>
      </w:r>
    </w:p>
    <w:p>
      <w:pPr>
        <w:pStyle w:val="Heading1"/>
        <w:keepNext/>
      </w:pPr>
      <w:r>
        <w:t>1  Scope and boundaries</w:t>
      </w:r>
    </w:p>
    <w:p>
      <w:pPr>
        <w:pStyle w:val="Heading2"/>
        <w:keepNext/>
      </w:pPr>
      <w:r>
        <w:t>1.1 What LEAF-EB does</w:t>
      </w:r>
    </w:p>
    <w:p>
      <w:pPr>
        <w:pStyle w:val="ListBullet"/>
        <w:spacing w:after="40"/>
        <w:ind w:left="255" w:hanging="113"/>
      </w:pPr>
      <w:r>
        <w:rPr>
          <w:rFonts w:ascii="Aptos" w:hAnsi="Aptos"/>
          <w:sz w:val="20"/>
        </w:rPr>
        <w:t>Builds future demand and generation series from dated assumptions, targets and historical temporal patterns. These inputs may define a scenario directly in LEAF-EB or reproduce and adapt assumptions from an external study.</w:t>
      </w:r>
    </w:p>
    <w:p>
      <w:pPr>
        <w:pStyle w:val="ListBullet"/>
        <w:spacing w:after="40"/>
        <w:ind w:left="255" w:hanging="113"/>
      </w:pPr>
      <w:r>
        <w:rPr>
          <w:rFonts w:ascii="Aptos" w:hAnsi="Aptos"/>
          <w:sz w:val="20"/>
        </w:rPr>
        <w:t>Runs daily or hourly sequential electricity-balance calculations.</w:t>
      </w:r>
    </w:p>
    <w:p>
      <w:pPr>
        <w:pStyle w:val="ListBullet"/>
        <w:spacing w:after="40"/>
        <w:ind w:left="255" w:hanging="113"/>
      </w:pPr>
      <w:r>
        <w:rPr>
          <w:rFonts w:ascii="Aptos" w:hAnsi="Aptos"/>
          <w:sz w:val="20"/>
        </w:rPr>
        <w:t>Supports deterministic and Monte Carlo simulations.</w:t>
      </w:r>
    </w:p>
    <w:p>
      <w:pPr>
        <w:pStyle w:val="ListBullet"/>
        <w:spacing w:after="40"/>
        <w:ind w:left="255" w:hanging="113"/>
      </w:pPr>
      <w:r>
        <w:rPr>
          <w:rFonts w:ascii="Aptos" w:hAnsi="Aptos"/>
          <w:sz w:val="20"/>
        </w:rPr>
        <w:t>Represents BESS and selected commodity production, storage and reconversion chains.</w:t>
      </w:r>
    </w:p>
    <w:p>
      <w:pPr>
        <w:pStyle w:val="ListBullet"/>
        <w:spacing w:after="40"/>
        <w:ind w:left="255" w:hanging="113"/>
      </w:pPr>
      <w:r>
        <w:rPr>
          <w:rFonts w:ascii="Aptos" w:hAnsi="Aptos"/>
          <w:sz w:val="20"/>
        </w:rPr>
        <w:t>Represents constant-output and load-following nuclear fleets, unit-level refueling and simplified fuel-use accounting.</w:t>
      </w:r>
    </w:p>
    <w:p>
      <w:pPr>
        <w:pStyle w:val="ListBullet"/>
        <w:spacing w:after="40"/>
        <w:ind w:left="255" w:hanging="113"/>
      </w:pPr>
      <w:r>
        <w:rPr>
          <w:rFonts w:ascii="Aptos" w:hAnsi="Aptos"/>
          <w:sz w:val="20"/>
        </w:rPr>
        <w:t>Reports energy, peak power, short-term change, persistence, technology use and optional emissions indicators.</w:t>
      </w:r>
    </w:p>
    <w:p>
      <w:pPr>
        <w:pStyle w:val="ListBullet"/>
        <w:spacing w:after="40"/>
        <w:ind w:left="255" w:hanging="113"/>
      </w:pPr>
      <w:r>
        <w:rPr>
          <w:rFonts w:ascii="Aptos" w:hAnsi="Aptos"/>
          <w:sz w:val="20"/>
        </w:rPr>
        <w:t>Exports annual nuclear information for downstream ANICCA analyses.</w:t>
      </w:r>
    </w:p>
    <w:p>
      <w:pPr>
        <w:pStyle w:val="Heading2"/>
        <w:keepNext/>
      </w:pPr>
      <w:r>
        <w:t>1.2 What LEAF-EB does not do</w:t>
      </w:r>
    </w:p>
    <w:p>
      <w:pPr>
        <w:pStyle w:val="ListBullet"/>
        <w:spacing w:after="40"/>
        <w:ind w:left="255" w:hanging="113"/>
      </w:pPr>
      <w:r>
        <w:rPr>
          <w:rFonts w:ascii="Aptos" w:hAnsi="Aptos"/>
          <w:sz w:val="20"/>
        </w:rPr>
        <w:t>It does not optimize the future generation portfolio.</w:t>
      </w:r>
    </w:p>
    <w:p>
      <w:pPr>
        <w:pStyle w:val="ListBullet"/>
        <w:spacing w:after="40"/>
        <w:ind w:left="255" w:hanging="113"/>
      </w:pPr>
      <w:r>
        <w:rPr>
          <w:rFonts w:ascii="Aptos" w:hAnsi="Aptos"/>
          <w:sz w:val="20"/>
        </w:rPr>
        <w:t>It does not calculate transmission constraints or AC/DC power flow.</w:t>
      </w:r>
    </w:p>
    <w:p>
      <w:pPr>
        <w:pStyle w:val="ListBullet"/>
        <w:spacing w:after="40"/>
        <w:ind w:left="255" w:hanging="113"/>
      </w:pPr>
      <w:r>
        <w:rPr>
          <w:rFonts w:ascii="Aptos" w:hAnsi="Aptos"/>
          <w:sz w:val="20"/>
        </w:rPr>
        <w:t>It does not reproduce a full electricity market or unit-commitment problem.</w:t>
      </w:r>
    </w:p>
    <w:p>
      <w:pPr>
        <w:pStyle w:val="ListBullet"/>
        <w:spacing w:after="40"/>
        <w:ind w:left="255" w:hanging="113"/>
      </w:pPr>
      <w:r>
        <w:rPr>
          <w:rFonts w:ascii="Aptos" w:hAnsi="Aptos"/>
          <w:sz w:val="20"/>
        </w:rPr>
        <w:t>Its nuclear fuel representation does not calculate isotopic depletion or assembly-level core management.</w:t>
      </w:r>
    </w:p>
    <w:p>
      <w:pPr>
        <w:pStyle w:val="ListBullet"/>
        <w:spacing w:after="40"/>
        <w:ind w:left="255" w:hanging="113"/>
      </w:pPr>
      <w:r>
        <w:rPr>
          <w:rFonts w:ascii="Aptos" w:hAnsi="Aptos"/>
          <w:sz w:val="20"/>
        </w:rPr>
        <w:t>An additional generation requirement means represented generation is insufficient to meet demand. It is not, by itself, a reliability index.</w:t>
      </w:r>
    </w:p>
    <w:p>
      <w:pPr>
        <w:pStyle w:val="Heading2"/>
        <w:keepNext/>
      </w:pPr>
      <w:r>
        <w:t>1.3 Conceptual sequence</w:t>
      </w:r>
    </w:p>
    <w:p>
      <w:pPr>
        <w:spacing w:after="100" w:line="259" w:lineRule="auto"/>
      </w:pPr>
      <w:r>
        <w:rPr>
          <w:rFonts w:ascii="Aptos" w:hAnsi="Aptos"/>
          <w:sz w:val="20"/>
        </w:rPr>
        <w:t>The calculation follows a simple sequence: historical data provide temporal patterns; the YAML defines future assumptions, dated targets and technology rules; LEAF-EB constructs the corresponding deterministic scenario series; optional Monte Carlo sampling perturbs selected series; hourly operating rules are applied when requested; the electricity balance then passes through configured flexibility stages in order.</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Historical data + scenario assumptions</w:t>
            </w:r>
            <w:r>
              <w:rPr>
                <w:rFonts w:ascii="Aptos" w:hAnsi="Aptos"/>
                <w:sz w:val="18"/>
              </w:rPr>
              <w:br/>
            </w:r>
            <w:r>
              <w:rPr>
                <w:rFonts w:ascii="Consolas" w:hAnsi="Consolas"/>
                <w:color w:val="222222"/>
                <w:sz w:val="17"/>
              </w:rPr>
              <w:t xml:space="preserve">        -&gt; future time series</w:t>
            </w:r>
            <w:r>
              <w:rPr>
                <w:rFonts w:ascii="Aptos" w:hAnsi="Aptos"/>
                <w:sz w:val="18"/>
              </w:rPr>
              <w:br/>
            </w:r>
            <w:r>
              <w:rPr>
                <w:rFonts w:ascii="Consolas" w:hAnsi="Consolas"/>
                <w:color w:val="222222"/>
                <w:sz w:val="17"/>
              </w:rPr>
              <w:t xml:space="preserve">        -&gt; optional Monte Carlo</w:t>
            </w:r>
            <w:r>
              <w:rPr>
                <w:rFonts w:ascii="Aptos" w:hAnsi="Aptos"/>
                <w:sz w:val="18"/>
              </w:rPr>
              <w:br/>
            </w:r>
            <w:r>
              <w:rPr>
                <w:rFonts w:ascii="Consolas" w:hAnsi="Consolas"/>
                <w:color w:val="222222"/>
                <w:sz w:val="17"/>
              </w:rPr>
              <w:t xml:space="preserve">        -&gt; hourly operating rules</w:t>
            </w:r>
            <w:r>
              <w:rPr>
                <w:rFonts w:ascii="Aptos" w:hAnsi="Aptos"/>
                <w:sz w:val="18"/>
              </w:rPr>
              <w:br/>
            </w:r>
            <w:r>
              <w:rPr>
                <w:rFonts w:ascii="Consolas" w:hAnsi="Consolas"/>
                <w:color w:val="222222"/>
                <w:sz w:val="17"/>
              </w:rPr>
              <w:t xml:space="preserve">        -&gt; electricity balance</w:t>
            </w:r>
            <w:r>
              <w:rPr>
                <w:rFonts w:ascii="Aptos" w:hAnsi="Aptos"/>
                <w:sz w:val="18"/>
              </w:rPr>
              <w:br/>
            </w:r>
            <w:r>
              <w:rPr>
                <w:rFonts w:ascii="Consolas" w:hAnsi="Consolas"/>
                <w:color w:val="222222"/>
                <w:sz w:val="17"/>
              </w:rPr>
              <w:t xml:space="preserve">        -&gt; BESS / commodities / reconversion</w:t>
            </w:r>
            <w:r>
              <w:rPr>
                <w:rFonts w:ascii="Aptos" w:hAnsi="Aptos"/>
                <w:sz w:val="18"/>
              </w:rPr>
              <w:br/>
            </w:r>
            <w:r>
              <w:rPr>
                <w:rFonts w:ascii="Consolas" w:hAnsi="Consolas"/>
                <w:color w:val="222222"/>
                <w:sz w:val="17"/>
              </w:rPr>
              <w:t xml:space="preserve">        -&gt; results and diagnostics</w:t>
            </w:r>
          </w:p>
        </w:tc>
      </w:tr>
    </w:tbl>
    <w:p>
      <w:pPr>
        <w:spacing w:after="0"/>
      </w:pPr>
    </w:p>
    <w:p>
      <w:pPr>
        <w:pStyle w:val="Heading1"/>
        <w:keepNext/>
      </w:pPr>
      <w:r>
        <w:t>2  Installation and running examples</w:t>
      </w:r>
    </w:p>
    <w:p>
      <w:pPr>
        <w:pStyle w:val="Heading2"/>
        <w:keepNext/>
      </w:pPr>
      <w:r>
        <w:t>2.1 Install dependencies</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python -m venv .venv</w:t>
            </w:r>
            <w:r>
              <w:rPr>
                <w:rFonts w:ascii="Aptos" w:hAnsi="Aptos"/>
                <w:sz w:val="18"/>
              </w:rPr>
              <w:br/>
            </w:r>
            <w:r>
              <w:rPr>
                <w:rFonts w:ascii="Consolas" w:hAnsi="Consolas"/>
                <w:color w:val="222222"/>
                <w:sz w:val="17"/>
              </w:rPr>
            </w:r>
            <w:r>
              <w:rPr>
                <w:rFonts w:ascii="Aptos" w:hAnsi="Aptos"/>
                <w:sz w:val="18"/>
              </w:rPr>
              <w:br/>
            </w:r>
            <w:r>
              <w:rPr>
                <w:rFonts w:ascii="Consolas" w:hAnsi="Consolas"/>
                <w:color w:val="222222"/>
                <w:sz w:val="17"/>
              </w:rPr>
              <w:t># Windows</w:t>
            </w:r>
            <w:r>
              <w:rPr>
                <w:rFonts w:ascii="Aptos" w:hAnsi="Aptos"/>
                <w:sz w:val="18"/>
              </w:rPr>
              <w:br/>
            </w:r>
            <w:r>
              <w:rPr>
                <w:rFonts w:ascii="Consolas" w:hAnsi="Consolas"/>
                <w:color w:val="222222"/>
                <w:sz w:val="17"/>
              </w:rPr>
              <w:t>.venv\Scripts\activate</w:t>
            </w:r>
            <w:r>
              <w:rPr>
                <w:rFonts w:ascii="Aptos" w:hAnsi="Aptos"/>
                <w:sz w:val="18"/>
              </w:rPr>
              <w:br/>
            </w:r>
            <w:r>
              <w:rPr>
                <w:rFonts w:ascii="Consolas" w:hAnsi="Consolas"/>
                <w:color w:val="222222"/>
                <w:sz w:val="17"/>
              </w:rPr>
              <w:t>python -m pip install --upgrade pip</w:t>
            </w:r>
            <w:r>
              <w:rPr>
                <w:rFonts w:ascii="Aptos" w:hAnsi="Aptos"/>
                <w:sz w:val="18"/>
              </w:rPr>
              <w:br/>
            </w:r>
            <w:r>
              <w:rPr>
                <w:rFonts w:ascii="Consolas" w:hAnsi="Consolas"/>
                <w:color w:val="222222"/>
                <w:sz w:val="17"/>
              </w:rPr>
              <w:t>python -m pip install -r requirements.txt</w:t>
            </w:r>
            <w:r>
              <w:rPr>
                <w:rFonts w:ascii="Aptos" w:hAnsi="Aptos"/>
                <w:sz w:val="18"/>
              </w:rPr>
              <w:br/>
            </w:r>
            <w:r>
              <w:rPr>
                <w:rFonts w:ascii="Consolas" w:hAnsi="Consolas"/>
                <w:color w:val="222222"/>
                <w:sz w:val="17"/>
              </w:rPr>
            </w:r>
            <w:r>
              <w:rPr>
                <w:rFonts w:ascii="Aptos" w:hAnsi="Aptos"/>
                <w:sz w:val="18"/>
              </w:rPr>
              <w:br/>
            </w:r>
            <w:r>
              <w:rPr>
                <w:rFonts w:ascii="Consolas" w:hAnsi="Consolas"/>
                <w:color w:val="222222"/>
                <w:sz w:val="17"/>
              </w:rPr>
              <w:t># macOS / Linux</w:t>
            </w:r>
            <w:r>
              <w:rPr>
                <w:rFonts w:ascii="Aptos" w:hAnsi="Aptos"/>
                <w:sz w:val="18"/>
              </w:rPr>
              <w:br/>
            </w:r>
            <w:r>
              <w:rPr>
                <w:rFonts w:ascii="Consolas" w:hAnsi="Consolas"/>
                <w:color w:val="222222"/>
                <w:sz w:val="17"/>
              </w:rPr>
              <w:t>source .venv/bin/activate</w:t>
            </w:r>
            <w:r>
              <w:rPr>
                <w:rFonts w:ascii="Aptos" w:hAnsi="Aptos"/>
                <w:sz w:val="18"/>
              </w:rPr>
              <w:br/>
            </w:r>
            <w:r>
              <w:rPr>
                <w:rFonts w:ascii="Consolas" w:hAnsi="Consolas"/>
                <w:color w:val="222222"/>
                <w:sz w:val="17"/>
              </w:rPr>
              <w:t>python -m pip install --upgrade pip</w:t>
            </w:r>
            <w:r>
              <w:rPr>
                <w:rFonts w:ascii="Aptos" w:hAnsi="Aptos"/>
                <w:sz w:val="18"/>
              </w:rPr>
              <w:br/>
            </w:r>
            <w:r>
              <w:rPr>
                <w:rFonts w:ascii="Consolas" w:hAnsi="Consolas"/>
                <w:color w:val="222222"/>
                <w:sz w:val="17"/>
              </w:rPr>
              <w:t>python -m pip install -r requirements.txt</w:t>
            </w:r>
          </w:p>
        </w:tc>
      </w:tr>
    </w:tbl>
    <w:p>
      <w:pPr>
        <w:spacing w:after="0"/>
      </w:pPr>
    </w:p>
    <w:p>
      <w:pPr>
        <w:pStyle w:val="Heading2"/>
        <w:keepNext/>
      </w:pPr>
      <w:r>
        <w:t>2.2 Run or list scenarios</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python Runner.py --list</w:t>
            </w:r>
            <w:r>
              <w:rPr>
                <w:rFonts w:ascii="Aptos" w:hAnsi="Aptos"/>
                <w:sz w:val="18"/>
              </w:rPr>
              <w:br/>
            </w:r>
            <w:r>
              <w:rPr>
                <w:rFonts w:ascii="Consolas" w:hAnsi="Consolas"/>
                <w:color w:val="222222"/>
                <w:sz w:val="17"/>
              </w:rPr>
              <w:t>python Runner.py Example_01_basic</w:t>
            </w:r>
            <w:r>
              <w:rPr>
                <w:rFonts w:ascii="Aptos" w:hAnsi="Aptos"/>
                <w:sz w:val="18"/>
              </w:rPr>
              <w:br/>
            </w:r>
            <w:r>
              <w:rPr>
                <w:rFonts w:ascii="Consolas" w:hAnsi="Consolas"/>
                <w:color w:val="222222"/>
                <w:sz w:val="17"/>
              </w:rPr>
              <w:t>python Runner.py Example_06_nuclear_load_following</w:t>
            </w:r>
          </w:p>
        </w:tc>
      </w:tr>
    </w:tbl>
    <w:p>
      <w:pPr>
        <w:spacing w:after="0"/>
      </w:pPr>
    </w:p>
    <w:p>
      <w:pPr>
        <w:spacing w:after="100" w:line="259" w:lineRule="auto"/>
      </w:pPr>
      <w:r>
        <w:rPr>
          <w:rFonts w:ascii="Aptos" w:hAnsi="Aptos"/>
          <w:sz w:val="20"/>
        </w:rPr>
        <w:t>The .yml extension is optional. Running python Runner.py without an argument opens a numbered selector. A unique partial name can also be used; a non-unique partial name opens a choice list.</w:t>
      </w:r>
    </w:p>
    <w:p>
      <w:pPr>
        <w:pStyle w:val="Heading2"/>
        <w:keepNext/>
      </w:pPr>
      <w:r>
        <w:t>2.3 Where outputs go</w:t>
      </w:r>
    </w:p>
    <w:p>
      <w:pPr>
        <w:spacing w:after="100" w:line="259" w:lineRule="auto"/>
      </w:pPr>
      <w:r>
        <w:rPr>
          <w:rFonts w:ascii="Aptos" w:hAnsi="Aptos"/>
          <w:sz w:val="20"/>
        </w:rPr>
        <w:t>All public examples use scenario.folder: Outputs. Each example writes to its own subfolder, for example Outputs/Example_03_bess/. This keeps generated files out of Inputs/ and makes cleanup straightforward.</w:t>
      </w:r>
    </w:p>
    <w:p>
      <w:r>
        <w:br w:type="page"/>
      </w:r>
    </w:p>
    <w:p>
      <w:pPr>
        <w:pStyle w:val="Heading1"/>
        <w:keepNext/>
      </w:pPr>
      <w:r>
        <w:t>3  Reading and editing a LEAF-EB YAML file</w:t>
      </w:r>
    </w:p>
    <w:p>
      <w:pPr>
        <w:pStyle w:val="Heading2"/>
        <w:keepNext/>
      </w:pPr>
      <w:r>
        <w:t>3.1 Top-level blocks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7365D"/>
          </w:tcPr>
          <w:p>
            <w:pPr>
              <w:spacing w:after="20"/>
            </w:pPr>
            <w:r>
              <w:rPr>
                <w:rFonts w:ascii="Aptos" w:hAnsi="Aptos"/>
                <w:b/>
                <w:color w:val="FFFFFF"/>
                <w:sz w:val="18"/>
              </w:rPr>
              <w:t>Field / file</w:t>
            </w:r>
          </w:p>
        </w:tc>
        <w:tc>
          <w:tcPr>
            <w:tcW w:type="dxa" w:w="5100"/>
            <w:shd w:fill="17365D"/>
          </w:tcPr>
          <w:p>
            <w:pPr>
              <w:spacing w:after="20"/>
            </w:pPr>
            <w:r>
              <w:rPr>
                <w:rFonts w:ascii="Aptos" w:hAnsi="Aptos"/>
                <w:b/>
                <w:color w:val="FFFFFF"/>
                <w:sz w:val="18"/>
              </w:rPr>
              <w:t>Meaning</w:t>
            </w:r>
          </w:p>
        </w:tc>
      </w:tr>
      <w:tr>
        <w:tc>
          <w:tcPr>
            <w:tcW w:type="dxa" w:w="5100"/>
          </w:tcPr>
          <w:p>
            <w:pPr>
              <w:spacing w:after="20"/>
            </w:pPr>
            <w:r>
              <w:rPr>
                <w:rFonts w:ascii="Consolas" w:hAnsi="Consolas"/>
                <w:b/>
                <w:sz w:val="17"/>
              </w:rPr>
              <w:t>scenario</w:t>
            </w:r>
          </w:p>
        </w:tc>
        <w:tc>
          <w:tcPr>
            <w:tcW w:type="dxa" w:w="5100"/>
          </w:tcPr>
          <w:p>
            <w:pPr>
              <w:spacing w:after="20"/>
            </w:pPr>
            <w:r>
              <w:rPr>
                <w:rFonts w:ascii="Aptos" w:hAnsi="Aptos"/>
                <w:sz w:val="17"/>
              </w:rPr>
              <w:t>Simulation period and output folders.</w:t>
            </w:r>
          </w:p>
        </w:tc>
      </w:tr>
      <w:tr>
        <w:tc>
          <w:tcPr>
            <w:tcW w:type="dxa" w:w="5100"/>
          </w:tcPr>
          <w:p>
            <w:pPr>
              <w:spacing w:after="20"/>
            </w:pPr>
            <w:r>
              <w:rPr>
                <w:rFonts w:ascii="Consolas" w:hAnsi="Consolas"/>
                <w:b/>
                <w:sz w:val="17"/>
              </w:rPr>
              <w:t>historical_data</w:t>
            </w:r>
          </w:p>
        </w:tc>
        <w:tc>
          <w:tcPr>
            <w:tcW w:type="dxa" w:w="5100"/>
          </w:tcPr>
          <w:p>
            <w:pPr>
              <w:spacing w:after="20"/>
            </w:pPr>
            <w:r>
              <w:rPr>
                <w:rFonts w:ascii="Aptos" w:hAnsi="Aptos"/>
                <w:sz w:val="17"/>
              </w:rPr>
              <w:t>Historical file, date column, resolution and unit.</w:t>
            </w:r>
          </w:p>
        </w:tc>
      </w:tr>
      <w:tr>
        <w:tc>
          <w:tcPr>
            <w:tcW w:type="dxa" w:w="5100"/>
          </w:tcPr>
          <w:p>
            <w:pPr>
              <w:spacing w:after="20"/>
            </w:pPr>
            <w:r>
              <w:rPr>
                <w:rFonts w:ascii="Consolas" w:hAnsi="Consolas"/>
                <w:b/>
                <w:sz w:val="17"/>
              </w:rPr>
              <w:t>projection</w:t>
            </w:r>
          </w:p>
        </w:tc>
        <w:tc>
          <w:tcPr>
            <w:tcW w:type="dxa" w:w="5100"/>
          </w:tcPr>
          <w:p>
            <w:pPr>
              <w:spacing w:after="20"/>
            </w:pPr>
            <w:r>
              <w:rPr>
                <w:rFonts w:ascii="Aptos" w:hAnsi="Aptos"/>
                <w:sz w:val="17"/>
              </w:rPr>
              <w:t>Future-series resolution and temporal variability.</w:t>
            </w:r>
          </w:p>
        </w:tc>
      </w:tr>
      <w:tr>
        <w:tc>
          <w:tcPr>
            <w:tcW w:type="dxa" w:w="5100"/>
          </w:tcPr>
          <w:p>
            <w:pPr>
              <w:spacing w:after="20"/>
            </w:pPr>
            <w:r>
              <w:rPr>
                <w:rFonts w:ascii="Consolas" w:hAnsi="Consolas"/>
                <w:b/>
                <w:sz w:val="17"/>
              </w:rPr>
              <w:t>simulation</w:t>
            </w:r>
          </w:p>
        </w:tc>
        <w:tc>
          <w:tcPr>
            <w:tcW w:type="dxa" w:w="5100"/>
          </w:tcPr>
          <w:p>
            <w:pPr>
              <w:spacing w:after="20"/>
            </w:pPr>
            <w:r>
              <w:rPr>
                <w:rFonts w:ascii="Aptos" w:hAnsi="Aptos"/>
                <w:sz w:val="17"/>
              </w:rPr>
              <w:t>Operational resolution, Monte Carlo and initial states.</w:t>
            </w:r>
          </w:p>
        </w:tc>
      </w:tr>
      <w:tr>
        <w:tc>
          <w:tcPr>
            <w:tcW w:type="dxa" w:w="5100"/>
          </w:tcPr>
          <w:p>
            <w:pPr>
              <w:spacing w:after="20"/>
            </w:pPr>
            <w:r>
              <w:rPr>
                <w:rFonts w:ascii="Consolas" w:hAnsi="Consolas"/>
                <w:b/>
                <w:sz w:val="17"/>
              </w:rPr>
              <w:t>demand</w:t>
            </w:r>
          </w:p>
        </w:tc>
        <w:tc>
          <w:tcPr>
            <w:tcW w:type="dxa" w:w="5100"/>
          </w:tcPr>
          <w:p>
            <w:pPr>
              <w:spacing w:after="20"/>
            </w:pPr>
            <w:r>
              <w:rPr>
                <w:rFonts w:ascii="Aptos" w:hAnsi="Aptos"/>
                <w:sz w:val="17"/>
              </w:rPr>
              <w:t>Demand target and dated scenario factors.</w:t>
            </w:r>
          </w:p>
        </w:tc>
      </w:tr>
      <w:tr>
        <w:tc>
          <w:tcPr>
            <w:tcW w:type="dxa" w:w="5100"/>
          </w:tcPr>
          <w:p>
            <w:pPr>
              <w:spacing w:after="20"/>
            </w:pPr>
            <w:r>
              <w:rPr>
                <w:rFonts w:ascii="Consolas" w:hAnsi="Consolas"/>
                <w:b/>
                <w:sz w:val="17"/>
              </w:rPr>
              <w:t>sources</w:t>
            </w:r>
          </w:p>
        </w:tc>
        <w:tc>
          <w:tcPr>
            <w:tcW w:type="dxa" w:w="5100"/>
          </w:tcPr>
          <w:p>
            <w:pPr>
              <w:spacing w:after="20"/>
            </w:pPr>
            <w:r>
              <w:rPr>
                <w:rFonts w:ascii="Aptos" w:hAnsi="Aptos"/>
                <w:sz w:val="17"/>
              </w:rPr>
              <w:t>Generation sources and their scenario assumptions.</w:t>
            </w:r>
          </w:p>
        </w:tc>
      </w:tr>
      <w:tr>
        <w:tc>
          <w:tcPr>
            <w:tcW w:type="dxa" w:w="5100"/>
          </w:tcPr>
          <w:p>
            <w:pPr>
              <w:spacing w:after="20"/>
            </w:pPr>
            <w:r>
              <w:rPr>
                <w:rFonts w:ascii="Consolas" w:hAnsi="Consolas"/>
                <w:b/>
                <w:sz w:val="17"/>
              </w:rPr>
              <w:t>commodities_input</w:t>
            </w:r>
          </w:p>
        </w:tc>
        <w:tc>
          <w:tcPr>
            <w:tcW w:type="dxa" w:w="5100"/>
          </w:tcPr>
          <w:p>
            <w:pPr>
              <w:spacing w:after="20"/>
            </w:pPr>
            <w:r>
              <w:rPr>
                <w:rFonts w:ascii="Aptos" w:hAnsi="Aptos"/>
                <w:sz w:val="17"/>
              </w:rPr>
              <w:t>Balance engine, BESS and commodity configuration.</w:t>
            </w:r>
          </w:p>
        </w:tc>
      </w:tr>
      <w:tr>
        <w:tc>
          <w:tcPr>
            <w:tcW w:type="dxa" w:w="5100"/>
          </w:tcPr>
          <w:p>
            <w:pPr>
              <w:spacing w:after="20"/>
            </w:pPr>
            <w:r>
              <w:rPr>
                <w:rFonts w:ascii="Consolas" w:hAnsi="Consolas"/>
                <w:b/>
                <w:sz w:val="17"/>
              </w:rPr>
              <w:t>output</w:t>
            </w:r>
          </w:p>
        </w:tc>
        <w:tc>
          <w:tcPr>
            <w:tcW w:type="dxa" w:w="5100"/>
          </w:tcPr>
          <w:p>
            <w:pPr>
              <w:spacing w:after="20"/>
            </w:pPr>
            <w:r>
              <w:rPr>
                <w:rFonts w:ascii="Aptos" w:hAnsi="Aptos"/>
                <w:sz w:val="17"/>
              </w:rPr>
              <w:t>Output detail, event threshold and optional emissions.</w:t>
            </w:r>
          </w:p>
        </w:tc>
      </w:tr>
    </w:tbl>
    <w:p>
      <w:pPr>
        <w:pStyle w:val="Heading2"/>
        <w:keepNext/>
      </w:pPr>
      <w:r>
        <w:t>3.2 Units</w:t>
      </w:r>
    </w:p>
    <w:p>
      <w:pPr>
        <w:spacing w:after="100" w:line="259" w:lineRule="auto"/>
      </w:pPr>
      <w:r>
        <w:rPr>
          <w:rFonts w:ascii="Aptos" w:hAnsi="Aptos"/>
          <w:sz w:val="20"/>
        </w:rPr>
        <w:t>Dimensional public inputs carry their unit with the value. Examples include "150 MW", "4 h", "6000 MWh/day", "36.5 tHM" and "60 GWd/tHM". Historical demand and generation columns share one unit, declared once under historical_data.unit.</w:t>
      </w:r>
    </w:p>
    <w:p>
      <w:pPr>
        <w:pStyle w:val="Heading2"/>
        <w:keepNext/>
      </w:pPr>
      <w:r>
        <w:t>3.3 Historical-file rules</w:t>
      </w:r>
    </w:p>
    <w:p>
      <w:pPr>
        <w:pStyle w:val="ListBullet"/>
        <w:spacing w:after="40"/>
        <w:ind w:left="255" w:hanging="113"/>
      </w:pPr>
      <w:r>
        <w:rPr>
          <w:rFonts w:ascii="Aptos" w:hAnsi="Aptos"/>
          <w:sz w:val="20"/>
        </w:rPr>
        <w:t>The date column name must match historical_data.date_column.</w:t>
      </w:r>
    </w:p>
    <w:p>
      <w:pPr>
        <w:pStyle w:val="ListBullet"/>
        <w:spacing w:after="40"/>
        <w:ind w:left="255" w:hanging="113"/>
      </w:pPr>
      <w:r>
        <w:rPr>
          <w:rFonts w:ascii="Aptos" w:hAnsi="Aptos"/>
          <w:sz w:val="20"/>
        </w:rPr>
        <w:t>A Demand column is required.</w:t>
      </w:r>
    </w:p>
    <w:p>
      <w:pPr>
        <w:pStyle w:val="ListBullet"/>
        <w:spacing w:after="40"/>
        <w:ind w:left="255" w:hanging="113"/>
      </w:pPr>
      <w:r>
        <w:rPr>
          <w:rFonts w:ascii="Aptos" w:hAnsi="Aptos"/>
          <w:sz w:val="20"/>
        </w:rPr>
        <w:t>Each standard generation source must have a matching historical column.</w:t>
      </w:r>
    </w:p>
    <w:p>
      <w:pPr>
        <w:pStyle w:val="ListBullet"/>
        <w:spacing w:after="40"/>
        <w:ind w:left="255" w:hanging="113"/>
      </w:pPr>
      <w:r>
        <w:rPr>
          <w:rFonts w:ascii="Aptos" w:hAnsi="Aptos"/>
          <w:sz w:val="20"/>
        </w:rPr>
        <w:t>All demand and generation columns use the same time-step energy unit.</w:t>
      </w:r>
    </w:p>
    <w:p>
      <w:pPr>
        <w:pStyle w:val="ListBullet"/>
        <w:spacing w:after="40"/>
        <w:ind w:left="255" w:hanging="113"/>
      </w:pPr>
      <w:r>
        <w:rPr>
          <w:rFonts w:ascii="Aptos" w:hAnsi="Aptos"/>
          <w:sz w:val="20"/>
        </w:rPr>
        <w:t>The public datasets are synthetic; replace them with your own data for real studies.</w:t>
      </w:r>
    </w:p>
    <w:p>
      <w:pPr>
        <w:pStyle w:val="Heading2"/>
        <w:keepNext/>
      </w:pPr>
      <w:r>
        <w:t>3.4 Daily projection with hourly simulation</w:t>
      </w:r>
    </w:p>
    <w:p>
      <w:pPr>
        <w:spacing w:after="100" w:line="259" w:lineRule="auto"/>
      </w:pPr>
      <w:r>
        <w:rPr>
          <w:rFonts w:ascii="Aptos" w:hAnsi="Aptos"/>
          <w:sz w:val="20"/>
        </w:rPr>
        <w:t>Examples 03-06 use projection.resolution: daily and simulation.resolution: hourly. Long-term scenario values are defined at daily scale, while historical hourly profiles reconstruct within-day operation. This is useful for BESS and nuclear operating rules that cannot be interpreted adequately from daily net energy alone.</w:t>
      </w:r>
    </w:p>
    <w:p>
      <w:r>
        <w:br w:type="page"/>
      </w:r>
    </w:p>
    <w:p>
      <w:pPr>
        <w:pStyle w:val="Heading1"/>
        <w:keepNext/>
      </w:pPr>
      <w:r>
        <w:t>4  Example 01 - Basic deterministic balance</w:t>
      </w:r>
    </w:p>
    <w:p>
      <w:pPr>
        <w:spacing w:after="100" w:line="259" w:lineRule="auto"/>
      </w:pPr>
      <w:r>
        <w:rPr>
          <w:rFonts w:ascii="Aptos" w:hAnsi="Aptos"/>
          <w:sz w:val="20"/>
        </w:rPr>
        <w:t>File: Inputs/Example_01_basic.yml. This is the safest starting point for a new scenario because it contains no Monte Carlo, BESS, commodity conversion or nuclear source.</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python Runner.py Example_01_basic</w:t>
            </w:r>
          </w:p>
        </w:tc>
      </w:tr>
    </w:tbl>
    <w:p>
      <w:pPr>
        <w:spacing w:after="0"/>
      </w:pPr>
    </w:p>
    <w:p>
      <w:pPr>
        <w:pStyle w:val="Heading2"/>
        <w:keepNext/>
      </w:pPr>
      <w:r>
        <w:t>4.1 What to inspect</w:t>
      </w:r>
    </w:p>
    <w:p>
      <w:pPr>
        <w:pStyle w:val="ListBullet"/>
        <w:spacing w:after="40"/>
        <w:ind w:left="255" w:hanging="113"/>
      </w:pPr>
      <w:r>
        <w:rPr>
          <w:rFonts w:ascii="Aptos" w:hAnsi="Aptos"/>
          <w:sz w:val="20"/>
        </w:rPr>
        <w:t>scenario: dates and output location;</w:t>
      </w:r>
    </w:p>
    <w:p>
      <w:pPr>
        <w:pStyle w:val="ListBullet"/>
        <w:spacing w:after="40"/>
        <w:ind w:left="255" w:hanging="113"/>
      </w:pPr>
      <w:r>
        <w:rPr>
          <w:rFonts w:ascii="Aptos" w:hAnsi="Aptos"/>
          <w:sz w:val="20"/>
        </w:rPr>
        <w:t>historical_data: daily synthetic dataset and shared MWh unit;</w:t>
      </w:r>
    </w:p>
    <w:p>
      <w:pPr>
        <w:pStyle w:val="ListBullet"/>
        <w:spacing w:after="40"/>
        <w:ind w:left="255" w:hanging="113"/>
      </w:pPr>
      <w:r>
        <w:rPr>
          <w:rFonts w:ascii="Aptos" w:hAnsi="Aptos"/>
          <w:sz w:val="20"/>
        </w:rPr>
        <w:t>demand: final 6000 MWh/day reference;</w:t>
      </w:r>
    </w:p>
    <w:p>
      <w:pPr>
        <w:pStyle w:val="ListBullet"/>
        <w:spacing w:after="40"/>
        <w:ind w:left="255" w:hanging="113"/>
      </w:pPr>
      <w:r>
        <w:rPr>
          <w:rFonts w:ascii="Aptos" w:hAnsi="Aptos"/>
          <w:sz w:val="20"/>
        </w:rPr>
        <w:t>sources: Solar, Wind, Hydro and Gas shares;</w:t>
      </w:r>
    </w:p>
    <w:p>
      <w:pPr>
        <w:pStyle w:val="ListBullet"/>
        <w:spacing w:after="40"/>
        <w:ind w:left="255" w:hanging="113"/>
      </w:pPr>
      <w:r>
        <w:rPr>
          <w:rFonts w:ascii="Aptos" w:hAnsi="Aptos"/>
          <w:sz w:val="20"/>
        </w:rPr>
        <w:t>commodities_input.run_commodities: true: runs the electricity-balance engine even though no flexibility option is configured.</w:t>
      </w:r>
    </w:p>
    <w:p>
      <w:pPr>
        <w:pStyle w:val="Heading2"/>
        <w:keepNext/>
      </w:pPr>
      <w:r>
        <w:t>4.2 Minimal balance stage</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commodities_input:</w:t>
            </w:r>
            <w:r>
              <w:rPr>
                <w:rFonts w:ascii="Aptos" w:hAnsi="Aptos"/>
                <w:sz w:val="18"/>
              </w:rPr>
              <w:br/>
            </w:r>
            <w:r>
              <w:rPr>
                <w:rFonts w:ascii="Consolas" w:hAnsi="Consolas"/>
                <w:color w:val="222222"/>
                <w:sz w:val="17"/>
              </w:rPr>
              <w:t xml:space="preserve">  # Runs the sequential electricity balance.</w:t>
            </w:r>
            <w:r>
              <w:rPr>
                <w:rFonts w:ascii="Aptos" w:hAnsi="Aptos"/>
                <w:sz w:val="18"/>
              </w:rPr>
              <w:br/>
            </w:r>
            <w:r>
              <w:rPr>
                <w:rFonts w:ascii="Consolas" w:hAnsi="Consolas"/>
                <w:color w:val="222222"/>
                <w:sz w:val="17"/>
              </w:rPr>
              <w:t xml:space="preserve">  # No storage or commodity chain is configured.</w:t>
            </w:r>
            <w:r>
              <w:rPr>
                <w:rFonts w:ascii="Aptos" w:hAnsi="Aptos"/>
                <w:sz w:val="18"/>
              </w:rPr>
              <w:br/>
            </w:r>
            <w:r>
              <w:rPr>
                <w:rFonts w:ascii="Consolas" w:hAnsi="Consolas"/>
                <w:color w:val="222222"/>
                <w:sz w:val="17"/>
              </w:rPr>
              <w:t xml:space="preserve">  run_commodities: true</w:t>
            </w:r>
          </w:p>
        </w:tc>
      </w:tr>
    </w:tbl>
    <w:p>
      <w:pPr>
        <w:spacing w:after="0"/>
      </w:pPr>
    </w:p>
    <w:tbl>
      <w:tblPr>
        <w:tblW w:type="auto" w:w="0"/>
        <w:jc w:val="center"/>
        <w:tblLook w:firstColumn="1" w:firstRow="1" w:lastColumn="0" w:lastRow="0" w:noHBand="0" w:noVBand="1" w:val="04A0"/>
      </w:tblPr>
      <w:tblGrid>
        <w:gridCol w:w="10200"/>
      </w:tblGrid>
      <w:tr>
        <w:tc>
          <w:tcPr>
            <w:tcW w:type="dxa" w:w="10200"/>
            <w:shd w:fill="E2F0D9"/>
            <w:tcMar>
              <w:top w:w="120" w:type="dxa"/>
              <w:start w:w="140" w:type="dxa"/>
              <w:bottom w:w="120" w:type="dxa"/>
              <w:end w:w="140" w:type="dxa"/>
            </w:tcMar>
          </w:tcPr>
          <w:p>
            <w:pPr>
              <w:spacing w:after="20"/>
            </w:pPr>
            <w:r>
              <w:rPr>
                <w:rFonts w:ascii="Aptos" w:hAnsi="Aptos"/>
                <w:b/>
                <w:color w:val="17365D"/>
                <w:sz w:val="19"/>
              </w:rPr>
              <w:t xml:space="preserve">Public-code improvement  </w:t>
            </w:r>
            <w:r>
              <w:rPr>
                <w:rFonts w:ascii="Aptos" w:hAnsi="Aptos"/>
                <w:color w:val="222222"/>
                <w:sz w:val="19"/>
              </w:rPr>
              <w:t>The 2026.08.27 public release allows the balance engine to run without Commodities_Production. This makes basic and BESS-only scenarios valid configurations rather than forcing a dummy commodity chain.</w:t>
            </w:r>
          </w:p>
        </w:tc>
      </w:tr>
    </w:tbl>
    <w:p>
      <w:pPr>
        <w:spacing w:after="0"/>
      </w:pPr>
    </w:p>
    <w:p>
      <w:pPr>
        <w:pStyle w:val="Heading2"/>
        <w:keepNext/>
      </w:pPr>
      <w:r>
        <w:t>4.3 What to look for in Results.xlsx</w:t>
      </w:r>
    </w:p>
    <w:p>
      <w:pPr>
        <w:spacing w:after="100" w:line="259" w:lineRule="auto"/>
      </w:pPr>
      <w:r>
        <w:rPr>
          <w:rFonts w:ascii="Aptos" w:hAnsi="Aptos"/>
          <w:sz w:val="20"/>
        </w:rPr>
        <w:t>Compare Demand and Generation first, then inspect surplus energy and the remaining additional generation requirement. Positive residual load is additional generation required to meet demand. Because Example 01 has no flexibility, the initial and remaining requirements are identical.</w:t>
      </w:r>
    </w:p>
    <w:p>
      <w:pPr>
        <w:pStyle w:val="Heading1"/>
        <w:keepNext/>
      </w:pPr>
      <w:r>
        <w:t>5  Example 02 - Monte Carlo uncertainty</w:t>
      </w:r>
    </w:p>
    <w:p>
      <w:pPr>
        <w:spacing w:after="100" w:line="259" w:lineRule="auto"/>
      </w:pPr>
      <w:r>
        <w:rPr>
          <w:rFonts w:ascii="Aptos" w:hAnsi="Aptos"/>
          <w:sz w:val="20"/>
        </w:rPr>
        <w:t>File: Inputs/Example_02_monte_carlo.yml. It keeps the daily case and adds temporal stochastic sampling. The five simulations are intentionally small and exist only to demonstrate the workflow.</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simulation:</w:t>
            </w:r>
            <w:r>
              <w:rPr>
                <w:rFonts w:ascii="Aptos" w:hAnsi="Aptos"/>
                <w:sz w:val="18"/>
              </w:rPr>
              <w:br/>
            </w:r>
            <w:r>
              <w:rPr>
                <w:rFonts w:ascii="Consolas" w:hAnsi="Consolas"/>
                <w:color w:val="222222"/>
                <w:sz w:val="17"/>
              </w:rPr>
              <w:t xml:space="preserve">  monte_carlo:</w:t>
            </w:r>
            <w:r>
              <w:rPr>
                <w:rFonts w:ascii="Aptos" w:hAnsi="Aptos"/>
                <w:sz w:val="18"/>
              </w:rPr>
              <w:br/>
            </w:r>
            <w:r>
              <w:rPr>
                <w:rFonts w:ascii="Consolas" w:hAnsi="Consolas"/>
                <w:color w:val="222222"/>
                <w:sz w:val="17"/>
              </w:rPr>
              <w:t xml:space="preserve">    simulations: 5</w:t>
            </w:r>
            <w:r>
              <w:rPr>
                <w:rFonts w:ascii="Aptos" w:hAnsi="Aptos"/>
                <w:sz w:val="18"/>
              </w:rPr>
              <w:br/>
            </w:r>
            <w:r>
              <w:rPr>
                <w:rFonts w:ascii="Consolas" w:hAnsi="Consolas"/>
                <w:color w:val="222222"/>
                <w:sz w:val="17"/>
              </w:rPr>
              <w:t xml:space="preserve">    workers: 1</w:t>
            </w:r>
            <w:r>
              <w:rPr>
                <w:rFonts w:ascii="Aptos" w:hAnsi="Aptos"/>
                <w:sz w:val="18"/>
              </w:rPr>
              <w:br/>
            </w:r>
            <w:r>
              <w:rPr>
                <w:rFonts w:ascii="Consolas" w:hAnsi="Consolas"/>
                <w:color w:val="222222"/>
                <w:sz w:val="17"/>
              </w:rPr>
              <w:t xml:space="preserve">    seed: 12345</w:t>
            </w:r>
            <w:r>
              <w:rPr>
                <w:rFonts w:ascii="Aptos" w:hAnsi="Aptos"/>
                <w:sz w:val="18"/>
              </w:rPr>
              <w:br/>
            </w:r>
            <w:r>
              <w:rPr>
                <w:rFonts w:ascii="Consolas" w:hAnsi="Consolas"/>
                <w:color w:val="222222"/>
                <w:sz w:val="17"/>
              </w:rPr>
              <w:t xml:space="preserve">    confidence_level: 0.95</w:t>
            </w:r>
            <w:r>
              <w:rPr>
                <w:rFonts w:ascii="Aptos" w:hAnsi="Aptos"/>
                <w:sz w:val="18"/>
              </w:rPr>
              <w:br/>
            </w:r>
            <w:r>
              <w:rPr>
                <w:rFonts w:ascii="Consolas" w:hAnsi="Consolas"/>
                <w:color w:val="222222"/>
                <w:sz w:val="17"/>
              </w:rPr>
              <w:t xml:space="preserve">    preserve_annual_targets: false</w:t>
            </w:r>
            <w:r>
              <w:rPr>
                <w:rFonts w:ascii="Aptos" w:hAnsi="Aptos"/>
                <w:sz w:val="18"/>
              </w:rPr>
              <w:br/>
            </w:r>
            <w:r>
              <w:rPr>
                <w:rFonts w:ascii="Consolas" w:hAnsi="Consolas"/>
                <w:color w:val="222222"/>
                <w:sz w:val="17"/>
              </w:rPr>
              <w:t xml:space="preserve">    technology_uncertainty: false</w:t>
            </w:r>
            <w:r>
              <w:rPr>
                <w:rFonts w:ascii="Aptos" w:hAnsi="Aptos"/>
                <w:sz w:val="18"/>
              </w:rPr>
              <w:br/>
            </w:r>
            <w:r>
              <w:rPr>
                <w:rFonts w:ascii="Consolas" w:hAnsi="Consolas"/>
                <w:color w:val="222222"/>
                <w:sz w:val="17"/>
              </w:rPr>
              <w:t xml:space="preserve">    sources:</w:t>
            </w:r>
            <w:r>
              <w:rPr>
                <w:rFonts w:ascii="Aptos" w:hAnsi="Aptos"/>
                <w:sz w:val="18"/>
              </w:rPr>
              <w:br/>
            </w:r>
            <w:r>
              <w:rPr>
                <w:rFonts w:ascii="Consolas" w:hAnsi="Consolas"/>
                <w:color w:val="222222"/>
                <w:sz w:val="17"/>
              </w:rPr>
              <w:t xml:space="preserve">      - Demand</w:t>
            </w:r>
            <w:r>
              <w:rPr>
                <w:rFonts w:ascii="Aptos" w:hAnsi="Aptos"/>
                <w:sz w:val="18"/>
              </w:rPr>
              <w:br/>
            </w:r>
            <w:r>
              <w:rPr>
                <w:rFonts w:ascii="Consolas" w:hAnsi="Consolas"/>
                <w:color w:val="222222"/>
                <w:sz w:val="17"/>
              </w:rPr>
              <w:t xml:space="preserve">      - Solar</w:t>
            </w:r>
            <w:r>
              <w:rPr>
                <w:rFonts w:ascii="Aptos" w:hAnsi="Aptos"/>
                <w:sz w:val="18"/>
              </w:rPr>
              <w:br/>
            </w:r>
            <w:r>
              <w:rPr>
                <w:rFonts w:ascii="Consolas" w:hAnsi="Consolas"/>
                <w:color w:val="222222"/>
                <w:sz w:val="17"/>
              </w:rPr>
              <w:t xml:space="preserve">      - Wind</w:t>
            </w:r>
            <w:r>
              <w:rPr>
                <w:rFonts w:ascii="Aptos" w:hAnsi="Aptos"/>
                <w:sz w:val="18"/>
              </w:rPr>
              <w:br/>
            </w:r>
            <w:r>
              <w:rPr>
                <w:rFonts w:ascii="Consolas" w:hAnsi="Consolas"/>
                <w:color w:val="222222"/>
                <w:sz w:val="17"/>
              </w:rPr>
              <w:t xml:space="preserve">      - Hydro</w:t>
            </w:r>
            <w:r>
              <w:rPr>
                <w:rFonts w:ascii="Aptos" w:hAnsi="Aptos"/>
                <w:sz w:val="18"/>
              </w:rPr>
              <w:br/>
            </w:r>
            <w:r>
              <w:rPr>
                <w:rFonts w:ascii="Consolas" w:hAnsi="Consolas"/>
                <w:color w:val="222222"/>
                <w:sz w:val="17"/>
              </w:rPr>
              <w:t xml:space="preserve">      - Gas</w:t>
            </w:r>
          </w:p>
        </w:tc>
      </w:tr>
    </w:tbl>
    <w:p>
      <w:pPr>
        <w:spacing w:after="0"/>
      </w:pPr>
    </w:p>
    <w:p>
      <w:pPr>
        <w:pStyle w:val="Heading2"/>
        <w:keepNext/>
      </w:pPr>
      <w:r>
        <w:t>5.1 preserve_annual_targets</w:t>
      </w:r>
    </w:p>
    <w:p>
      <w:pPr>
        <w:spacing w:after="100" w:line="259" w:lineRule="auto"/>
      </w:pPr>
      <w:r>
        <w:rPr>
          <w:rFonts w:ascii="Aptos" w:hAnsi="Aptos"/>
          <w:sz w:val="20"/>
        </w:rPr>
        <w:t>When false, sampled historical conditions can change annual energy as well as the timing within the year. When true, each stochastic annual series is rescaled to the corresponding deterministic annual total. The choice is methodological and should be reported explicitly.</w:t>
      </w:r>
    </w:p>
    <w:p>
      <w:pPr>
        <w:pStyle w:val="Heading2"/>
        <w:keepNext/>
      </w:pPr>
      <w:r>
        <w:t>5.2 Technology uncertainty is separate</w:t>
      </w:r>
    </w:p>
    <w:p>
      <w:pPr>
        <w:spacing w:after="100" w:line="259" w:lineRule="auto"/>
      </w:pPr>
      <w:r>
        <w:rPr>
          <w:rFonts w:ascii="Aptos" w:hAnsi="Aptos"/>
          <w:sz w:val="20"/>
        </w:rPr>
        <w:t>technology_uncertainty controls supported distributions in data/Database.yaml. It is independent from temporal residual sampling. Keeping it false isolates uncertainty in demand and generation time series from uncertainty in technology parameters.</w:t>
      </w:r>
    </w:p>
    <w:tbl>
      <w:tblPr>
        <w:tblW w:type="auto" w:w="0"/>
        <w:jc w:val="center"/>
        <w:tblLook w:firstColumn="1" w:firstRow="1" w:lastColumn="0" w:lastRow="0" w:noHBand="0" w:noVBand="1" w:val="04A0"/>
      </w:tblPr>
      <w:tblGrid>
        <w:gridCol w:w="10200"/>
      </w:tblGrid>
      <w:tr>
        <w:tc>
          <w:tcPr>
            <w:tcW w:type="dxa" w:w="10200"/>
            <w:shd w:fill="FFF2CC"/>
            <w:tcMar>
              <w:top w:w="120" w:type="dxa"/>
              <w:start w:w="140" w:type="dxa"/>
              <w:bottom w:w="120" w:type="dxa"/>
              <w:end w:w="140" w:type="dxa"/>
            </w:tcMar>
          </w:tcPr>
          <w:p>
            <w:pPr>
              <w:spacing w:after="20"/>
            </w:pPr>
            <w:r>
              <w:rPr>
                <w:rFonts w:ascii="Aptos" w:hAnsi="Aptos"/>
                <w:b/>
                <w:color w:val="17365D"/>
                <w:sz w:val="19"/>
              </w:rPr>
              <w:t xml:space="preserve">Do not copy the sample size  </w:t>
            </w:r>
            <w:r>
              <w:rPr>
                <w:rFonts w:ascii="Aptos" w:hAnsi="Aptos"/>
                <w:color w:val="222222"/>
                <w:sz w:val="19"/>
              </w:rPr>
              <w:t>Five simulations are enough to verify that the workflow runs. They are not a defensible sample size for a research result. Assess convergence for the metrics used in the study.</w:t>
            </w:r>
          </w:p>
        </w:tc>
      </w:tr>
    </w:tbl>
    <w:p>
      <w:pPr>
        <w:spacing w:after="0"/>
      </w:pPr>
    </w:p>
    <w:p>
      <w:r>
        <w:br w:type="page"/>
      </w:r>
    </w:p>
    <w:p>
      <w:pPr>
        <w:pStyle w:val="Heading1"/>
        <w:keepNext/>
      </w:pPr>
      <w:r>
        <w:t>6  Example 03 - BESS</w:t>
      </w:r>
    </w:p>
    <w:p>
      <w:pPr>
        <w:spacing w:after="100" w:line="259" w:lineRule="auto"/>
      </w:pPr>
      <w:r>
        <w:rPr>
          <w:rFonts w:ascii="Aptos" w:hAnsi="Aptos"/>
          <w:sz w:val="20"/>
        </w:rPr>
        <w:t>File: Inputs/Example_03_bess.yml. This example switches to hourly simulation because a 4-h battery should be demonstrated with intra-day operation rather than only daily net energy.</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simulation:</w:t>
            </w:r>
            <w:r>
              <w:rPr>
                <w:rFonts w:ascii="Aptos" w:hAnsi="Aptos"/>
                <w:sz w:val="18"/>
              </w:rPr>
              <w:br/>
            </w:r>
            <w:r>
              <w:rPr>
                <w:rFonts w:ascii="Consolas" w:hAnsi="Consolas"/>
                <w:color w:val="222222"/>
                <w:sz w:val="17"/>
              </w:rPr>
              <w:t xml:space="preserve">  resolution: hourly</w:t>
            </w:r>
            <w:r>
              <w:rPr>
                <w:rFonts w:ascii="Aptos" w:hAnsi="Aptos"/>
                <w:sz w:val="18"/>
              </w:rPr>
              <w:br/>
            </w:r>
            <w:r>
              <w:rPr>
                <w:rFonts w:ascii="Consolas" w:hAnsi="Consolas"/>
                <w:color w:val="222222"/>
                <w:sz w:val="17"/>
              </w:rPr>
            </w:r>
            <w:r>
              <w:rPr>
                <w:rFonts w:ascii="Aptos" w:hAnsi="Aptos"/>
                <w:sz w:val="18"/>
              </w:rPr>
              <w:br/>
            </w:r>
            <w:r>
              <w:rPr>
                <w:rFonts w:ascii="Consolas" w:hAnsi="Consolas"/>
                <w:color w:val="222222"/>
                <w:sz w:val="17"/>
              </w:rPr>
              <w:t>commodities_input:</w:t>
            </w:r>
            <w:r>
              <w:rPr>
                <w:rFonts w:ascii="Aptos" w:hAnsi="Aptos"/>
                <w:sz w:val="18"/>
              </w:rPr>
              <w:br/>
            </w:r>
            <w:r>
              <w:rPr>
                <w:rFonts w:ascii="Consolas" w:hAnsi="Consolas"/>
                <w:color w:val="222222"/>
                <w:sz w:val="17"/>
              </w:rPr>
              <w:t xml:space="preserve">  BESS:</w:t>
            </w:r>
            <w:r>
              <w:rPr>
                <w:rFonts w:ascii="Aptos" w:hAnsi="Aptos"/>
                <w:sz w:val="18"/>
              </w:rPr>
              <w:br/>
            </w:r>
            <w:r>
              <w:rPr>
                <w:rFonts w:ascii="Consolas" w:hAnsi="Consolas"/>
                <w:color w:val="222222"/>
                <w:sz w:val="17"/>
              </w:rPr>
              <w:t xml:space="preserve">    Total:</w:t>
            </w:r>
            <w:r>
              <w:rPr>
                <w:rFonts w:ascii="Aptos" w:hAnsi="Aptos"/>
                <w:sz w:val="18"/>
              </w:rPr>
              <w:br/>
            </w:r>
            <w:r>
              <w:rPr>
                <w:rFonts w:ascii="Consolas" w:hAnsi="Consolas"/>
                <w:color w:val="222222"/>
                <w:sz w:val="17"/>
              </w:rPr>
              <w:t xml:space="preserve">      model: constant</w:t>
            </w:r>
            <w:r>
              <w:rPr>
                <w:rFonts w:ascii="Aptos" w:hAnsi="Aptos"/>
                <w:sz w:val="18"/>
              </w:rPr>
              <w:br/>
            </w:r>
            <w:r>
              <w:rPr>
                <w:rFonts w:ascii="Consolas" w:hAnsi="Consolas"/>
                <w:color w:val="222222"/>
                <w:sz w:val="17"/>
              </w:rPr>
              <w:t xml:space="preserve">      value: "150 MW"</w:t>
            </w:r>
            <w:r>
              <w:rPr>
                <w:rFonts w:ascii="Aptos" w:hAnsi="Aptos"/>
                <w:sz w:val="18"/>
              </w:rPr>
              <w:br/>
            </w:r>
            <w:r>
              <w:rPr>
                <w:rFonts w:ascii="Consolas" w:hAnsi="Consolas"/>
                <w:color w:val="222222"/>
                <w:sz w:val="17"/>
              </w:rPr>
              <w:t xml:space="preserve">      duration: "4 h"</w:t>
            </w:r>
            <w:r>
              <w:rPr>
                <w:rFonts w:ascii="Aptos" w:hAnsi="Aptos"/>
                <w:sz w:val="18"/>
              </w:rPr>
              <w:br/>
            </w:r>
            <w:r>
              <w:rPr>
                <w:rFonts w:ascii="Consolas" w:hAnsi="Consolas"/>
                <w:color w:val="222222"/>
                <w:sz w:val="17"/>
              </w:rPr>
              <w:t xml:space="preserve">      efficiency: 0.90</w:t>
            </w:r>
            <w:r>
              <w:rPr>
                <w:rFonts w:ascii="Aptos" w:hAnsi="Aptos"/>
                <w:sz w:val="18"/>
              </w:rPr>
              <w:br/>
            </w:r>
            <w:r>
              <w:rPr>
                <w:rFonts w:ascii="Consolas" w:hAnsi="Consolas"/>
                <w:color w:val="222222"/>
                <w:sz w:val="17"/>
              </w:rPr>
              <w:t xml:space="preserve">  Dispatch_Order:</w:t>
            </w:r>
            <w:r>
              <w:rPr>
                <w:rFonts w:ascii="Aptos" w:hAnsi="Aptos"/>
                <w:sz w:val="18"/>
              </w:rPr>
              <w:br/>
            </w:r>
            <w:r>
              <w:rPr>
                <w:rFonts w:ascii="Consolas" w:hAnsi="Consolas"/>
                <w:color w:val="222222"/>
                <w:sz w:val="17"/>
              </w:rPr>
              <w:t xml:space="preserve">    surplus:</w:t>
            </w:r>
            <w:r>
              <w:rPr>
                <w:rFonts w:ascii="Aptos" w:hAnsi="Aptos"/>
                <w:sz w:val="18"/>
              </w:rPr>
              <w:br/>
            </w:r>
            <w:r>
              <w:rPr>
                <w:rFonts w:ascii="Consolas" w:hAnsi="Consolas"/>
                <w:color w:val="222222"/>
                <w:sz w:val="17"/>
              </w:rPr>
              <w:t xml:space="preserve">      - BESS</w:t>
            </w:r>
            <w:r>
              <w:rPr>
                <w:rFonts w:ascii="Aptos" w:hAnsi="Aptos"/>
                <w:sz w:val="18"/>
              </w:rPr>
              <w:br/>
            </w:r>
            <w:r>
              <w:rPr>
                <w:rFonts w:ascii="Consolas" w:hAnsi="Consolas"/>
                <w:color w:val="222222"/>
                <w:sz w:val="17"/>
              </w:rPr>
              <w:t xml:space="preserve">    deficit:</w:t>
            </w:r>
            <w:r>
              <w:rPr>
                <w:rFonts w:ascii="Aptos" w:hAnsi="Aptos"/>
                <w:sz w:val="18"/>
              </w:rPr>
              <w:br/>
            </w:r>
            <w:r>
              <w:rPr>
                <w:rFonts w:ascii="Consolas" w:hAnsi="Consolas"/>
                <w:color w:val="222222"/>
                <w:sz w:val="17"/>
              </w:rPr>
              <w:t xml:space="preserve">      - BESS</w:t>
            </w:r>
          </w:p>
        </w:tc>
      </w:tr>
    </w:tbl>
    <w:p>
      <w:pPr>
        <w:spacing w:after="0"/>
      </w:pPr>
    </w:p>
    <w:p>
      <w:pPr>
        <w:pStyle w:val="Heading2"/>
        <w:keepNext/>
      </w:pPr>
      <w:r>
        <w:t>6.1 Power, energy and efficiency</w:t>
      </w:r>
    </w:p>
    <w:p>
      <w:pPr>
        <w:spacing w:after="100" w:line="259" w:lineRule="auto"/>
      </w:pPr>
      <w:r>
        <w:rPr>
          <w:rFonts w:ascii="Aptos" w:hAnsi="Aptos"/>
          <w:sz w:val="20"/>
        </w:rPr>
        <w:t>The battery has 150 MW of power capacity and 4 h of duration, so the nominal stored-energy capacity is 600 MWh. efficiency is the round-trip efficiency used by the storage calculation. No hidden fallback is used for duration or efficiency.</w:t>
      </w:r>
    </w:p>
    <w:p>
      <w:pPr>
        <w:pStyle w:val="Heading2"/>
        <w:keepNext/>
      </w:pPr>
      <w:r>
        <w:t>6.2 Initial state</w:t>
      </w:r>
    </w:p>
    <w:p>
      <w:pPr>
        <w:spacing w:after="100" w:line="259" w:lineRule="auto"/>
      </w:pPr>
      <w:r>
        <w:rPr>
          <w:rFonts w:ascii="Aptos" w:hAnsi="Aptos"/>
          <w:sz w:val="20"/>
        </w:rPr>
        <w:t>simulation.initial_conditions.bess_state_of_charge sets the starting state. The public example starts at 0.0 so the first discharge can only occur after the battery has charged from scenario surplus.</w:t>
      </w:r>
    </w:p>
    <w:p>
      <w:pPr>
        <w:pStyle w:val="Heading2"/>
        <w:keepNext/>
      </w:pPr>
      <w:r>
        <w:t>6.3 Interpretation</w:t>
      </w:r>
    </w:p>
    <w:p>
      <w:pPr>
        <w:spacing w:after="100" w:line="259" w:lineRule="auto"/>
      </w:pPr>
      <w:r>
        <w:rPr>
          <w:rFonts w:ascii="Aptos" w:hAnsi="Aptos"/>
          <w:sz w:val="20"/>
        </w:rPr>
        <w:t>Results.xlsx reports BESS power and energy capacity, charge, battery discharge and equivalent full cycles. Compare the remaining additional generation requirement with Example 01 only as a qualitative learning exercise because Example 03 also changes the temporal resolution and source mix to create a clearer hourly storage example.</w:t>
      </w:r>
    </w:p>
    <w:p>
      <w:pPr>
        <w:pStyle w:val="Heading1"/>
        <w:keepNext/>
      </w:pPr>
      <w:r>
        <w:t>7  Example 04 - Methane chain</w:t>
      </w:r>
    </w:p>
    <w:p>
      <w:pPr>
        <w:spacing w:after="100" w:line="259" w:lineRule="auto"/>
      </w:pPr>
      <w:r>
        <w:rPr>
          <w:rFonts w:ascii="Aptos" w:hAnsi="Aptos"/>
          <w:sz w:val="20"/>
        </w:rPr>
        <w:t>File: Inputs/Example_04_commodities.yml. It uses the same hourly electricity case and BESS as Example 03, then adds CH4 production, storage and reconversion.</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Commodities_Production:</w:t>
            </w:r>
            <w:r>
              <w:rPr>
                <w:rFonts w:ascii="Aptos" w:hAnsi="Aptos"/>
                <w:sz w:val="18"/>
              </w:rPr>
              <w:br/>
            </w:r>
            <w:r>
              <w:rPr>
                <w:rFonts w:ascii="Consolas" w:hAnsi="Consolas"/>
                <w:color w:val="222222"/>
                <w:sz w:val="17"/>
              </w:rPr>
              <w:t xml:space="preserve">  CH4:</w:t>
            </w:r>
            <w:r>
              <w:rPr>
                <w:rFonts w:ascii="Aptos" w:hAnsi="Aptos"/>
                <w:sz w:val="18"/>
              </w:rPr>
              <w:br/>
            </w:r>
            <w:r>
              <w:rPr>
                <w:rFonts w:ascii="Consolas" w:hAnsi="Consolas"/>
                <w:color w:val="222222"/>
                <w:sz w:val="17"/>
              </w:rPr>
              <w:t xml:space="preserve">    share: 1.0</w:t>
            </w:r>
            <w:r>
              <w:rPr>
                <w:rFonts w:ascii="Aptos" w:hAnsi="Aptos"/>
                <w:sz w:val="18"/>
              </w:rPr>
              <w:br/>
            </w:r>
            <w:r>
              <w:rPr>
                <w:rFonts w:ascii="Consolas" w:hAnsi="Consolas"/>
                <w:color w:val="222222"/>
                <w:sz w:val="17"/>
              </w:rPr>
              <w:t xml:space="preserve">    technology: M</w:t>
            </w:r>
            <w:r>
              <w:rPr>
                <w:rFonts w:ascii="Aptos" w:hAnsi="Aptos"/>
                <w:sz w:val="18"/>
              </w:rPr>
              <w:br/>
            </w:r>
            <w:r>
              <w:rPr>
                <w:rFonts w:ascii="Consolas" w:hAnsi="Consolas"/>
                <w:color w:val="222222"/>
                <w:sz w:val="17"/>
              </w:rPr>
              <w:t xml:space="preserve">    inputs:</w:t>
            </w:r>
            <w:r>
              <w:rPr>
                <w:rFonts w:ascii="Aptos" w:hAnsi="Aptos"/>
                <w:sz w:val="18"/>
              </w:rPr>
              <w:br/>
            </w:r>
            <w:r>
              <w:rPr>
                <w:rFonts w:ascii="Consolas" w:hAnsi="Consolas"/>
                <w:color w:val="222222"/>
                <w:sz w:val="17"/>
              </w:rPr>
              <w:t xml:space="preserve">      H2O: MED</w:t>
            </w:r>
            <w:r>
              <w:rPr>
                <w:rFonts w:ascii="Aptos" w:hAnsi="Aptos"/>
                <w:sz w:val="18"/>
              </w:rPr>
              <w:br/>
            </w:r>
            <w:r>
              <w:rPr>
                <w:rFonts w:ascii="Consolas" w:hAnsi="Consolas"/>
                <w:color w:val="222222"/>
                <w:sz w:val="17"/>
              </w:rPr>
              <w:t xml:space="preserve">      H2: AE</w:t>
            </w:r>
            <w:r>
              <w:rPr>
                <w:rFonts w:ascii="Aptos" w:hAnsi="Aptos"/>
                <w:sz w:val="18"/>
              </w:rPr>
              <w:br/>
            </w:r>
            <w:r>
              <w:rPr>
                <w:rFonts w:ascii="Consolas" w:hAnsi="Consolas"/>
                <w:color w:val="222222"/>
                <w:sz w:val="17"/>
              </w:rPr>
              <w:t xml:space="preserve">      CO2: DACG</w:t>
            </w:r>
            <w:r>
              <w:rPr>
                <w:rFonts w:ascii="Aptos" w:hAnsi="Aptos"/>
                <w:sz w:val="18"/>
              </w:rPr>
              <w:br/>
            </w:r>
            <w:r>
              <w:rPr>
                <w:rFonts w:ascii="Consolas" w:hAnsi="Consolas"/>
                <w:color w:val="222222"/>
                <w:sz w:val="17"/>
              </w:rPr>
            </w:r>
            <w:r>
              <w:rPr>
                <w:rFonts w:ascii="Aptos" w:hAnsi="Aptos"/>
                <w:sz w:val="18"/>
              </w:rPr>
              <w:br/>
            </w:r>
            <w:r>
              <w:rPr>
                <w:rFonts w:ascii="Consolas" w:hAnsi="Consolas"/>
                <w:color w:val="222222"/>
                <w:sz w:val="17"/>
              </w:rPr>
              <w:t>Fuel_to_Electricity:</w:t>
            </w:r>
            <w:r>
              <w:rPr>
                <w:rFonts w:ascii="Aptos" w:hAnsi="Aptos"/>
                <w:sz w:val="18"/>
              </w:rPr>
              <w:br/>
            </w:r>
            <w:r>
              <w:rPr>
                <w:rFonts w:ascii="Consolas" w:hAnsi="Consolas"/>
                <w:color w:val="222222"/>
                <w:sz w:val="17"/>
              </w:rPr>
              <w:t xml:space="preserve">  CH4:</w:t>
            </w:r>
            <w:r>
              <w:rPr>
                <w:rFonts w:ascii="Aptos" w:hAnsi="Aptos"/>
                <w:sz w:val="18"/>
              </w:rPr>
              <w:br/>
            </w:r>
            <w:r>
              <w:rPr>
                <w:rFonts w:ascii="Consolas" w:hAnsi="Consolas"/>
                <w:color w:val="222222"/>
                <w:sz w:val="17"/>
              </w:rPr>
              <w:t xml:space="preserve">    share: 1.0</w:t>
            </w:r>
            <w:r>
              <w:rPr>
                <w:rFonts w:ascii="Aptos" w:hAnsi="Aptos"/>
                <w:sz w:val="18"/>
              </w:rPr>
              <w:br/>
            </w:r>
            <w:r>
              <w:rPr>
                <w:rFonts w:ascii="Consolas" w:hAnsi="Consolas"/>
                <w:color w:val="222222"/>
                <w:sz w:val="17"/>
              </w:rPr>
              <w:t xml:space="preserve">    technology: CCGT</w:t>
            </w:r>
          </w:p>
        </w:tc>
      </w:tr>
    </w:tbl>
    <w:p>
      <w:pPr>
        <w:spacing w:after="0"/>
      </w:pPr>
    </w:p>
    <w:p>
      <w:pPr>
        <w:pStyle w:val="Heading2"/>
        <w:keepNext/>
      </w:pPr>
      <w:r>
        <w:t>7.1 Dispatch order</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Dispatch_Order:</w:t>
            </w:r>
            <w:r>
              <w:rPr>
                <w:rFonts w:ascii="Aptos" w:hAnsi="Aptos"/>
                <w:sz w:val="18"/>
              </w:rPr>
              <w:br/>
            </w:r>
            <w:r>
              <w:rPr>
                <w:rFonts w:ascii="Consolas" w:hAnsi="Consolas"/>
                <w:color w:val="222222"/>
                <w:sz w:val="17"/>
              </w:rPr>
              <w:t xml:space="preserve">  surplus:</w:t>
            </w:r>
            <w:r>
              <w:rPr>
                <w:rFonts w:ascii="Aptos" w:hAnsi="Aptos"/>
                <w:sz w:val="18"/>
              </w:rPr>
              <w:br/>
            </w:r>
            <w:r>
              <w:rPr>
                <w:rFonts w:ascii="Consolas" w:hAnsi="Consolas"/>
                <w:color w:val="222222"/>
                <w:sz w:val="17"/>
              </w:rPr>
              <w:t xml:space="preserve">    - BESS</w:t>
            </w:r>
            <w:r>
              <w:rPr>
                <w:rFonts w:ascii="Aptos" w:hAnsi="Aptos"/>
                <w:sz w:val="18"/>
              </w:rPr>
              <w:br/>
            </w:r>
            <w:r>
              <w:rPr>
                <w:rFonts w:ascii="Consolas" w:hAnsi="Consolas"/>
                <w:color w:val="222222"/>
                <w:sz w:val="17"/>
              </w:rPr>
              <w:t xml:space="preserve">    - Commodities_Production</w:t>
            </w:r>
            <w:r>
              <w:rPr>
                <w:rFonts w:ascii="Aptos" w:hAnsi="Aptos"/>
                <w:sz w:val="18"/>
              </w:rPr>
              <w:br/>
            </w:r>
            <w:r>
              <w:rPr>
                <w:rFonts w:ascii="Consolas" w:hAnsi="Consolas"/>
                <w:color w:val="222222"/>
                <w:sz w:val="17"/>
              </w:rPr>
              <w:t xml:space="preserve">  deficit:</w:t>
            </w:r>
            <w:r>
              <w:rPr>
                <w:rFonts w:ascii="Aptos" w:hAnsi="Aptos"/>
                <w:sz w:val="18"/>
              </w:rPr>
              <w:br/>
            </w:r>
            <w:r>
              <w:rPr>
                <w:rFonts w:ascii="Consolas" w:hAnsi="Consolas"/>
                <w:color w:val="222222"/>
                <w:sz w:val="17"/>
              </w:rPr>
              <w:t xml:space="preserve">    - BESS</w:t>
            </w:r>
            <w:r>
              <w:rPr>
                <w:rFonts w:ascii="Aptos" w:hAnsi="Aptos"/>
                <w:sz w:val="18"/>
              </w:rPr>
              <w:br/>
            </w:r>
            <w:r>
              <w:rPr>
                <w:rFonts w:ascii="Consolas" w:hAnsi="Consolas"/>
                <w:color w:val="222222"/>
                <w:sz w:val="17"/>
              </w:rPr>
              <w:t xml:space="preserve">    - Fuel_to_Electricity</w:t>
            </w:r>
          </w:p>
        </w:tc>
      </w:tr>
    </w:tbl>
    <w:p>
      <w:pPr>
        <w:spacing w:after="0"/>
      </w:pPr>
    </w:p>
    <w:p>
      <w:pPr>
        <w:spacing w:after="100" w:line="259" w:lineRule="auto"/>
      </w:pPr>
      <w:r>
        <w:rPr>
          <w:rFonts w:ascii="Aptos" w:hAnsi="Aptos"/>
          <w:sz w:val="20"/>
        </w:rPr>
        <w:t>The YAML key deficit remains part of the current input schema. In this manual it means additional generation needed to meet demand. The terminal commodity-conversion stages appear last because the current balance engine applies them after BESS and interconnections.</w:t>
      </w:r>
    </w:p>
    <w:p>
      <w:pPr>
        <w:pStyle w:val="Heading2"/>
        <w:keepNext/>
      </w:pPr>
      <w:r>
        <w:t>7.2 Technology database</w:t>
      </w:r>
    </w:p>
    <w:p>
      <w:pPr>
        <w:spacing w:after="100" w:line="259" w:lineRule="auto"/>
      </w:pPr>
      <w:r>
        <w:rPr>
          <w:rFonts w:ascii="Aptos" w:hAnsi="Aptos"/>
          <w:sz w:val="20"/>
        </w:rPr>
        <w:t>Electricity consumption and conversion parameters are read from data/Database.yaml. Public database references are documented in docs/DATABASE_REFERENCES.md. A user normally changes the selected technology name in the YAML rather than duplicating technology constants inside every scenario.</w:t>
      </w:r>
    </w:p>
    <w:p>
      <w:r>
        <w:br w:type="page"/>
      </w:r>
    </w:p>
    <w:p>
      <w:pPr>
        <w:pStyle w:val="Heading1"/>
        <w:keepNext/>
      </w:pPr>
      <w:r>
        <w:t>8  Examples 05-06 - Nuclear operation and refueling</w:t>
      </w:r>
    </w:p>
    <w:p>
      <w:pPr>
        <w:spacing w:after="100" w:line="259" w:lineRule="auto"/>
      </w:pPr>
      <w:r>
        <w:rPr>
          <w:rFonts w:ascii="Aptos" w:hAnsi="Aptos"/>
          <w:sz w:val="20"/>
        </w:rPr>
        <w:t>These two examples are deliberately paired. They use the same historical hourly dataset, non-nuclear sources, demand, period and 300-MW deployment. Only the nuclear operating/refueling configuration changes.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7365D"/>
          </w:tcPr>
          <w:p>
            <w:pPr>
              <w:spacing w:after="20"/>
            </w:pPr>
            <w:r>
              <w:rPr>
                <w:rFonts w:ascii="Aptos" w:hAnsi="Aptos"/>
                <w:b/>
                <w:color w:val="FFFFFF"/>
                <w:sz w:val="18"/>
              </w:rPr>
              <w:t>Field / file</w:t>
            </w:r>
          </w:p>
        </w:tc>
        <w:tc>
          <w:tcPr>
            <w:tcW w:type="dxa" w:w="5100"/>
            <w:shd w:fill="17365D"/>
          </w:tcPr>
          <w:p>
            <w:pPr>
              <w:spacing w:after="20"/>
            </w:pPr>
            <w:r>
              <w:rPr>
                <w:rFonts w:ascii="Aptos" w:hAnsi="Aptos"/>
                <w:b/>
                <w:color w:val="FFFFFF"/>
                <w:sz w:val="18"/>
              </w:rPr>
              <w:t>Meaning</w:t>
            </w:r>
          </w:p>
        </w:tc>
      </w:tr>
      <w:tr>
        <w:tc>
          <w:tcPr>
            <w:tcW w:type="dxa" w:w="5100"/>
          </w:tcPr>
          <w:p>
            <w:pPr>
              <w:spacing w:after="20"/>
            </w:pPr>
            <w:r>
              <w:rPr>
                <w:rFonts w:ascii="Consolas" w:hAnsi="Consolas"/>
                <w:b/>
                <w:sz w:val="17"/>
              </w:rPr>
              <w:t>Example_05_nuclear_constant.yml</w:t>
            </w:r>
          </w:p>
        </w:tc>
        <w:tc>
          <w:tcPr>
            <w:tcW w:type="dxa" w:w="5100"/>
          </w:tcPr>
          <w:p>
            <w:pPr>
              <w:spacing w:after="20"/>
            </w:pPr>
            <w:r>
              <w:rPr>
                <w:rFonts w:ascii="Aptos" w:hAnsi="Aptos"/>
                <w:sz w:val="17"/>
              </w:rPr>
              <w:t>smr_300_calendar60 + must_run. Full available power while online; calendar-driven 30-day outages.</w:t>
            </w:r>
          </w:p>
        </w:tc>
      </w:tr>
      <w:tr>
        <w:tc>
          <w:tcPr>
            <w:tcW w:type="dxa" w:w="5100"/>
          </w:tcPr>
          <w:p>
            <w:pPr>
              <w:spacing w:after="20"/>
            </w:pPr>
            <w:r>
              <w:rPr>
                <w:rFonts w:ascii="Consolas" w:hAnsi="Consolas"/>
                <w:b/>
                <w:sz w:val="17"/>
              </w:rPr>
              <w:t>Example_06_nuclear_load_following.yml</w:t>
            </w:r>
          </w:p>
        </w:tc>
        <w:tc>
          <w:tcPr>
            <w:tcW w:type="dxa" w:w="5100"/>
          </w:tcPr>
          <w:p>
            <w:pPr>
              <w:spacing w:after="20"/>
            </w:pPr>
            <w:r>
              <w:rPr>
                <w:rFonts w:ascii="Aptos" w:hAnsi="Aptos"/>
                <w:sz w:val="17"/>
              </w:rPr>
              <w:t>smr_300_burnup60 + load_following. Output follows residual requirement within template constraints; refueling is burnup-driven.</w:t>
            </w:r>
          </w:p>
        </w:tc>
      </w:tr>
    </w:tbl>
    <w:p>
      <w:pPr>
        <w:pStyle w:val="Heading2"/>
        <w:keepNext/>
      </w:pPr>
      <w:r>
        <w:t>8.1 Common deployment</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Nuclear_SMR300:</w:t>
            </w:r>
            <w:r>
              <w:rPr>
                <w:rFonts w:ascii="Aptos" w:hAnsi="Aptos"/>
                <w:sz w:val="18"/>
              </w:rPr>
              <w:br/>
            </w:r>
            <w:r>
              <w:rPr>
                <w:rFonts w:ascii="Consolas" w:hAnsi="Consolas"/>
                <w:color w:val="222222"/>
                <w:sz w:val="17"/>
              </w:rPr>
              <w:t xml:space="preserve">  technology_template:</w:t>
            </w:r>
            <w:r>
              <w:rPr>
                <w:rFonts w:ascii="Aptos" w:hAnsi="Aptos"/>
                <w:sz w:val="18"/>
              </w:rPr>
              <w:br/>
            </w:r>
            <w:r>
              <w:rPr>
                <w:rFonts w:ascii="Consolas" w:hAnsi="Consolas"/>
                <w:color w:val="222222"/>
                <w:sz w:val="17"/>
              </w:rPr>
              <w:t xml:space="preserve">    file: data/Nuclear_Technologies.yaml</w:t>
            </w:r>
            <w:r>
              <w:rPr>
                <w:rFonts w:ascii="Aptos" w:hAnsi="Aptos"/>
                <w:sz w:val="18"/>
              </w:rPr>
              <w:br/>
            </w:r>
            <w:r>
              <w:rPr>
                <w:rFonts w:ascii="Consolas" w:hAnsi="Consolas"/>
                <w:color w:val="222222"/>
                <w:sz w:val="17"/>
              </w:rPr>
              <w:t xml:space="preserve">    name: smr_300_calendar60   # Example 05</w:t>
            </w:r>
            <w:r>
              <w:rPr>
                <w:rFonts w:ascii="Aptos" w:hAnsi="Aptos"/>
                <w:sz w:val="18"/>
              </w:rPr>
              <w:br/>
            </w:r>
            <w:r>
              <w:rPr>
                <w:rFonts w:ascii="Consolas" w:hAnsi="Consolas"/>
                <w:color w:val="222222"/>
                <w:sz w:val="17"/>
              </w:rPr>
              <w:t xml:space="preserve">  custom_mode: add</w:t>
            </w:r>
            <w:r>
              <w:rPr>
                <w:rFonts w:ascii="Aptos" w:hAnsi="Aptos"/>
                <w:sz w:val="18"/>
              </w:rPr>
              <w:br/>
            </w:r>
            <w:r>
              <w:rPr>
                <w:rFonts w:ascii="Consolas" w:hAnsi="Consolas"/>
                <w:color w:val="222222"/>
                <w:sz w:val="17"/>
              </w:rPr>
              <w:t xml:space="preserve">  hourly_operation: must_run</w:t>
            </w:r>
            <w:r>
              <w:rPr>
                <w:rFonts w:ascii="Aptos" w:hAnsi="Aptos"/>
                <w:sz w:val="18"/>
              </w:rPr>
              <w:br/>
            </w:r>
            <w:r>
              <w:rPr>
                <w:rFonts w:ascii="Consolas" w:hAnsi="Consolas"/>
                <w:color w:val="222222"/>
                <w:sz w:val="17"/>
              </w:rPr>
              <w:t xml:space="preserve">  capacity_additions:</w:t>
            </w:r>
            <w:r>
              <w:rPr>
                <w:rFonts w:ascii="Aptos" w:hAnsi="Aptos"/>
                <w:sz w:val="18"/>
              </w:rPr>
              <w:br/>
            </w:r>
            <w:r>
              <w:rPr>
                <w:rFonts w:ascii="Consolas" w:hAnsi="Consolas"/>
                <w:color w:val="222222"/>
                <w:sz w:val="17"/>
              </w:rPr>
              <w:t xml:space="preserve">    '2025-01-01': "300 MW"</w:t>
            </w:r>
          </w:p>
        </w:tc>
      </w:tr>
    </w:tbl>
    <w:p>
      <w:pPr>
        <w:spacing w:after="0"/>
      </w:pPr>
    </w:p>
    <w:p>
      <w:pPr>
        <w:spacing w:after="100" w:line="259" w:lineRule="auto"/>
      </w:pPr>
      <w:r>
        <w:rPr>
          <w:rFonts w:ascii="Aptos" w:hAnsi="Aptos"/>
          <w:sz w:val="20"/>
        </w:rPr>
        <w:t>The equivalent number of units is derived from installed capacity and the template unit_capacity. The user does not enter a reactor count separately.</w:t>
      </w:r>
    </w:p>
    <w:p>
      <w:pPr>
        <w:pStyle w:val="Heading2"/>
        <w:keepNext/>
      </w:pPr>
      <w:r>
        <w:t>8.2 Constant-output case</w:t>
      </w:r>
    </w:p>
    <w:p>
      <w:pPr>
        <w:spacing w:after="100" w:line="259" w:lineRule="auto"/>
      </w:pPr>
      <w:r>
        <w:rPr>
          <w:rFonts w:ascii="Aptos" w:hAnsi="Aptos"/>
          <w:sz w:val="20"/>
        </w:rPr>
        <w:t>Example 05 uses the fixed-calendar template. The generic unit operates at full available power when it is not in a scheduled outage. In this public synthetic example, the first 30-day outage starts on 26 January 2027.</w:t>
      </w:r>
    </w:p>
    <w:p>
      <w:pPr>
        <w:pStyle w:val="Heading2"/>
        <w:keepNext/>
      </w:pPr>
      <w:r>
        <w:t>8.3 Load-following case</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Nuclear_SMR300:</w:t>
            </w:r>
            <w:r>
              <w:rPr>
                <w:rFonts w:ascii="Aptos" w:hAnsi="Aptos"/>
                <w:sz w:val="18"/>
              </w:rPr>
              <w:br/>
            </w:r>
            <w:r>
              <w:rPr>
                <w:rFonts w:ascii="Consolas" w:hAnsi="Consolas"/>
                <w:color w:val="222222"/>
                <w:sz w:val="17"/>
              </w:rPr>
              <w:t xml:space="preserve">  technology_template:</w:t>
            </w:r>
            <w:r>
              <w:rPr>
                <w:rFonts w:ascii="Aptos" w:hAnsi="Aptos"/>
                <w:sz w:val="18"/>
              </w:rPr>
              <w:br/>
            </w:r>
            <w:r>
              <w:rPr>
                <w:rFonts w:ascii="Consolas" w:hAnsi="Consolas"/>
                <w:color w:val="222222"/>
                <w:sz w:val="17"/>
              </w:rPr>
              <w:t xml:space="preserve">    file: data/Nuclear_Technologies.yaml</w:t>
            </w:r>
            <w:r>
              <w:rPr>
                <w:rFonts w:ascii="Aptos" w:hAnsi="Aptos"/>
                <w:sz w:val="18"/>
              </w:rPr>
              <w:br/>
            </w:r>
            <w:r>
              <w:rPr>
                <w:rFonts w:ascii="Consolas" w:hAnsi="Consolas"/>
                <w:color w:val="222222"/>
                <w:sz w:val="17"/>
              </w:rPr>
              <w:t xml:space="preserve">    name: smr_300_burnup60</w:t>
            </w:r>
            <w:r>
              <w:rPr>
                <w:rFonts w:ascii="Aptos" w:hAnsi="Aptos"/>
                <w:sz w:val="18"/>
              </w:rPr>
              <w:br/>
            </w:r>
            <w:r>
              <w:rPr>
                <w:rFonts w:ascii="Consolas" w:hAnsi="Consolas"/>
                <w:color w:val="222222"/>
                <w:sz w:val="17"/>
              </w:rPr>
              <w:t xml:space="preserve">  custom_mode: add</w:t>
            </w:r>
            <w:r>
              <w:rPr>
                <w:rFonts w:ascii="Aptos" w:hAnsi="Aptos"/>
                <w:sz w:val="18"/>
              </w:rPr>
              <w:br/>
            </w:r>
            <w:r>
              <w:rPr>
                <w:rFonts w:ascii="Consolas" w:hAnsi="Consolas"/>
                <w:color w:val="222222"/>
                <w:sz w:val="17"/>
              </w:rPr>
              <w:t xml:space="preserve">  hourly_operation: load_following</w:t>
            </w:r>
            <w:r>
              <w:rPr>
                <w:rFonts w:ascii="Aptos" w:hAnsi="Aptos"/>
                <w:sz w:val="18"/>
              </w:rPr>
              <w:br/>
            </w:r>
            <w:r>
              <w:rPr>
                <w:rFonts w:ascii="Consolas" w:hAnsi="Consolas"/>
                <w:color w:val="222222"/>
                <w:sz w:val="17"/>
              </w:rPr>
              <w:t xml:space="preserve">  dispatch_priority: 1</w:t>
            </w:r>
            <w:r>
              <w:rPr>
                <w:rFonts w:ascii="Aptos" w:hAnsi="Aptos"/>
                <w:sz w:val="18"/>
              </w:rPr>
              <w:br/>
            </w:r>
            <w:r>
              <w:rPr>
                <w:rFonts w:ascii="Consolas" w:hAnsi="Consolas"/>
                <w:color w:val="222222"/>
                <w:sz w:val="17"/>
              </w:rPr>
              <w:t xml:space="preserve">  capacity_additions:</w:t>
            </w:r>
            <w:r>
              <w:rPr>
                <w:rFonts w:ascii="Aptos" w:hAnsi="Aptos"/>
                <w:sz w:val="18"/>
              </w:rPr>
              <w:br/>
            </w:r>
            <w:r>
              <w:rPr>
                <w:rFonts w:ascii="Consolas" w:hAnsi="Consolas"/>
                <w:color w:val="222222"/>
                <w:sz w:val="17"/>
              </w:rPr>
              <w:t xml:space="preserve">    '2025-01-01': "300 MW"</w:t>
            </w:r>
          </w:p>
        </w:tc>
      </w:tr>
    </w:tbl>
    <w:p>
      <w:pPr>
        <w:spacing w:after="0"/>
      </w:pPr>
    </w:p>
    <w:p>
      <w:pPr>
        <w:spacing w:after="100" w:line="259" w:lineRule="auto"/>
      </w:pPr>
      <w:r>
        <w:rPr>
          <w:rFonts w:ascii="Aptos" w:hAnsi="Aptos"/>
          <w:sz w:val="20"/>
        </w:rPr>
        <w:t>The burnup-driven case accumulates equivalent full-power exposure from actual generation. Because load-following produces less energy than constant-output operation, the burnup threshold is reached later. In the same synthetic case, the first 30-day outage starts on 13 July 2027.</w:t>
      </w:r>
    </w:p>
    <w:tbl>
      <w:tblPr>
        <w:tblW w:type="auto" w:w="0"/>
        <w:jc w:val="center"/>
        <w:tblLook w:firstColumn="1" w:firstRow="1" w:lastColumn="0" w:lastRow="0" w:noHBand="0" w:noVBand="1" w:val="04A0"/>
      </w:tblPr>
      <w:tblGrid>
        <w:gridCol w:w="10200"/>
      </w:tblGrid>
      <w:tr>
        <w:tc>
          <w:tcPr>
            <w:tcW w:type="dxa" w:w="10200"/>
            <w:shd w:fill="E2F0D9"/>
            <w:tcMar>
              <w:top w:w="120" w:type="dxa"/>
              <w:start w:w="140" w:type="dxa"/>
              <w:bottom w:w="120" w:type="dxa"/>
              <w:end w:w="140" w:type="dxa"/>
            </w:tcMar>
          </w:tcPr>
          <w:p>
            <w:pPr>
              <w:spacing w:after="20"/>
            </w:pPr>
            <w:r>
              <w:rPr>
                <w:rFonts w:ascii="Aptos" w:hAnsi="Aptos"/>
                <w:b/>
                <w:color w:val="17365D"/>
                <w:sz w:val="19"/>
              </w:rPr>
              <w:t xml:space="preserve">Interpretation  </w:t>
            </w:r>
            <w:r>
              <w:rPr>
                <w:rFonts w:ascii="Aptos" w:hAnsi="Aptos"/>
                <w:color w:val="222222"/>
                <w:sz w:val="19"/>
              </w:rPr>
              <w:t>The date difference is not hard-coded. It emerges from the selected operating rule and refueling basis. This is why operation and fuel-cycle timing should be evaluated together.</w:t>
            </w:r>
          </w:p>
        </w:tc>
      </w:tr>
    </w:tbl>
    <w:p>
      <w:pPr>
        <w:spacing w:after="0"/>
      </w:pPr>
    </w:p>
    <w:p>
      <w:pPr>
        <w:pStyle w:val="Heading2"/>
        <w:keepNext/>
      </w:pPr>
      <w:r>
        <w:t>8.4 ANICCA output</w:t>
      </w:r>
    </w:p>
    <w:p>
      <w:pPr>
        <w:spacing w:after="100" w:line="259" w:lineRule="auto"/>
      </w:pPr>
      <w:r>
        <w:rPr>
          <w:rFonts w:ascii="Aptos" w:hAnsi="Aptos"/>
          <w:sz w:val="20"/>
        </w:rPr>
        <w:t>Nuclear runs create Output/ANICCA_Input.xlsx with Year, Installed_Power, Burnup, Load_Factor, Reactors_In and Reactors_Out. Detailed physical refueling events remain in the LEAF-EB analysis outputs.</w:t>
      </w:r>
    </w:p>
    <w:p>
      <w:pPr>
        <w:pStyle w:val="Heading1"/>
        <w:keepNext/>
      </w:pPr>
      <w:r>
        <w:t>9  Build your own scenario</w:t>
      </w:r>
    </w:p>
    <w:p>
      <w:pPr>
        <w:pStyle w:val="Heading2"/>
        <w:keepNext/>
      </w:pPr>
      <w:r>
        <w:t>9.1 Choose the nearest public example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7365D"/>
          </w:tcPr>
          <w:p>
            <w:pPr>
              <w:spacing w:after="20"/>
            </w:pPr>
            <w:r>
              <w:rPr>
                <w:rFonts w:ascii="Aptos" w:hAnsi="Aptos"/>
                <w:b/>
                <w:color w:val="FFFFFF"/>
                <w:sz w:val="18"/>
              </w:rPr>
              <w:t>Field / file</w:t>
            </w:r>
          </w:p>
        </w:tc>
        <w:tc>
          <w:tcPr>
            <w:tcW w:type="dxa" w:w="5100"/>
            <w:shd w:fill="17365D"/>
          </w:tcPr>
          <w:p>
            <w:pPr>
              <w:spacing w:after="20"/>
            </w:pPr>
            <w:r>
              <w:rPr>
                <w:rFonts w:ascii="Aptos" w:hAnsi="Aptos"/>
                <w:b/>
                <w:color w:val="FFFFFF"/>
                <w:sz w:val="18"/>
              </w:rPr>
              <w:t>Meaning</w:t>
            </w:r>
          </w:p>
        </w:tc>
      </w:tr>
      <w:tr>
        <w:tc>
          <w:tcPr>
            <w:tcW w:type="dxa" w:w="5100"/>
          </w:tcPr>
          <w:p>
            <w:pPr>
              <w:spacing w:after="20"/>
            </w:pPr>
            <w:r>
              <w:rPr>
                <w:rFonts w:ascii="Consolas" w:hAnsi="Consolas"/>
                <w:b/>
                <w:sz w:val="17"/>
              </w:rPr>
              <w:t>Only deterministic balance</w:t>
            </w:r>
          </w:p>
        </w:tc>
        <w:tc>
          <w:tcPr>
            <w:tcW w:type="dxa" w:w="5100"/>
          </w:tcPr>
          <w:p>
            <w:pPr>
              <w:spacing w:after="20"/>
            </w:pPr>
            <w:r>
              <w:rPr>
                <w:rFonts w:ascii="Aptos" w:hAnsi="Aptos"/>
                <w:sz w:val="17"/>
              </w:rPr>
              <w:t>Copy Example_01_basic.yml.</w:t>
            </w:r>
          </w:p>
        </w:tc>
      </w:tr>
      <w:tr>
        <w:tc>
          <w:tcPr>
            <w:tcW w:type="dxa" w:w="5100"/>
          </w:tcPr>
          <w:p>
            <w:pPr>
              <w:spacing w:after="20"/>
            </w:pPr>
            <w:r>
              <w:rPr>
                <w:rFonts w:ascii="Consolas" w:hAnsi="Consolas"/>
                <w:b/>
                <w:sz w:val="17"/>
              </w:rPr>
              <w:t>Need temporal uncertainty</w:t>
            </w:r>
          </w:p>
        </w:tc>
        <w:tc>
          <w:tcPr>
            <w:tcW w:type="dxa" w:w="5100"/>
          </w:tcPr>
          <w:p>
            <w:pPr>
              <w:spacing w:after="20"/>
            </w:pPr>
            <w:r>
              <w:rPr>
                <w:rFonts w:ascii="Aptos" w:hAnsi="Aptos"/>
                <w:sz w:val="17"/>
              </w:rPr>
              <w:t>Copy Example_02_monte_carlo.yml.</w:t>
            </w:r>
          </w:p>
        </w:tc>
      </w:tr>
      <w:tr>
        <w:tc>
          <w:tcPr>
            <w:tcW w:type="dxa" w:w="5100"/>
          </w:tcPr>
          <w:p>
            <w:pPr>
              <w:spacing w:after="20"/>
            </w:pPr>
            <w:r>
              <w:rPr>
                <w:rFonts w:ascii="Consolas" w:hAnsi="Consolas"/>
                <w:b/>
                <w:sz w:val="17"/>
              </w:rPr>
              <w:t>Need short-duration storage</w:t>
            </w:r>
          </w:p>
        </w:tc>
        <w:tc>
          <w:tcPr>
            <w:tcW w:type="dxa" w:w="5100"/>
          </w:tcPr>
          <w:p>
            <w:pPr>
              <w:spacing w:after="20"/>
            </w:pPr>
            <w:r>
              <w:rPr>
                <w:rFonts w:ascii="Aptos" w:hAnsi="Aptos"/>
                <w:sz w:val="17"/>
              </w:rPr>
              <w:t>Copy Example_03_bess.yml.</w:t>
            </w:r>
          </w:p>
        </w:tc>
      </w:tr>
      <w:tr>
        <w:tc>
          <w:tcPr>
            <w:tcW w:type="dxa" w:w="5100"/>
          </w:tcPr>
          <w:p>
            <w:pPr>
              <w:spacing w:after="20"/>
            </w:pPr>
            <w:r>
              <w:rPr>
                <w:rFonts w:ascii="Consolas" w:hAnsi="Consolas"/>
                <w:b/>
                <w:sz w:val="17"/>
              </w:rPr>
              <w:t>Need e-fuel / commodity storage</w:t>
            </w:r>
          </w:p>
        </w:tc>
        <w:tc>
          <w:tcPr>
            <w:tcW w:type="dxa" w:w="5100"/>
          </w:tcPr>
          <w:p>
            <w:pPr>
              <w:spacing w:after="20"/>
            </w:pPr>
            <w:r>
              <w:rPr>
                <w:rFonts w:ascii="Aptos" w:hAnsi="Aptos"/>
                <w:sz w:val="17"/>
              </w:rPr>
              <w:t>Copy Example_04_commodities.yml.</w:t>
            </w:r>
          </w:p>
        </w:tc>
      </w:tr>
      <w:tr>
        <w:tc>
          <w:tcPr>
            <w:tcW w:type="dxa" w:w="5100"/>
          </w:tcPr>
          <w:p>
            <w:pPr>
              <w:spacing w:after="20"/>
            </w:pPr>
            <w:r>
              <w:rPr>
                <w:rFonts w:ascii="Consolas" w:hAnsi="Consolas"/>
                <w:b/>
                <w:sz w:val="17"/>
              </w:rPr>
              <w:t>Need fixed-output nuclear</w:t>
            </w:r>
          </w:p>
        </w:tc>
        <w:tc>
          <w:tcPr>
            <w:tcW w:type="dxa" w:w="5100"/>
          </w:tcPr>
          <w:p>
            <w:pPr>
              <w:spacing w:after="20"/>
            </w:pPr>
            <w:r>
              <w:rPr>
                <w:rFonts w:ascii="Aptos" w:hAnsi="Aptos"/>
                <w:sz w:val="17"/>
              </w:rPr>
              <w:t>Copy Example_05_nuclear_constant.yml.</w:t>
            </w:r>
          </w:p>
        </w:tc>
      </w:tr>
      <w:tr>
        <w:tc>
          <w:tcPr>
            <w:tcW w:type="dxa" w:w="5100"/>
          </w:tcPr>
          <w:p>
            <w:pPr>
              <w:spacing w:after="20"/>
            </w:pPr>
            <w:r>
              <w:rPr>
                <w:rFonts w:ascii="Consolas" w:hAnsi="Consolas"/>
                <w:b/>
                <w:sz w:val="17"/>
              </w:rPr>
              <w:t>Need nuclear load-following</w:t>
            </w:r>
          </w:p>
        </w:tc>
        <w:tc>
          <w:tcPr>
            <w:tcW w:type="dxa" w:w="5100"/>
          </w:tcPr>
          <w:p>
            <w:pPr>
              <w:spacing w:after="20"/>
            </w:pPr>
            <w:r>
              <w:rPr>
                <w:rFonts w:ascii="Aptos" w:hAnsi="Aptos"/>
                <w:sz w:val="17"/>
              </w:rPr>
              <w:t>Copy Example_06_nuclear_load_following.yml.</w:t>
            </w:r>
          </w:p>
        </w:tc>
      </w:tr>
    </w:tbl>
    <w:p>
      <w:pPr>
        <w:pStyle w:val="Heading2"/>
        <w:keepNext/>
      </w:pPr>
      <w:r>
        <w:t>9.2 Change one layer at a time</w:t>
      </w:r>
    </w:p>
    <w:p>
      <w:pPr>
        <w:spacing w:after="60"/>
        <w:ind w:left="312" w:hanging="255"/>
      </w:pPr>
      <w:r>
        <w:rPr>
          <w:rFonts w:ascii="Aptos" w:hAnsi="Aptos"/>
          <w:sz w:val="20"/>
        </w:rPr>
        <w:t xml:space="preserve">1.  </w:t>
      </w:r>
      <w:r>
        <w:rPr>
          <w:rFonts w:ascii="Aptos" w:hAnsi="Aptos"/>
          <w:sz w:val="20"/>
        </w:rPr>
        <w:t>Copy the selected YAML to Inputs/MyScenario.yml.</w:t>
      </w:r>
    </w:p>
    <w:p>
      <w:pPr>
        <w:spacing w:after="60"/>
        <w:ind w:left="312" w:hanging="255"/>
      </w:pPr>
      <w:r>
        <w:rPr>
          <w:rFonts w:ascii="Aptos" w:hAnsi="Aptos"/>
          <w:sz w:val="20"/>
        </w:rPr>
        <w:t xml:space="preserve">2.  </w:t>
      </w:r>
      <w:r>
        <w:rPr>
          <w:rFonts w:ascii="Aptos" w:hAnsi="Aptos"/>
          <w:sz w:val="20"/>
        </w:rPr>
        <w:t>Replace historical_data.file and verify the date and source columns.</w:t>
      </w:r>
    </w:p>
    <w:p>
      <w:pPr>
        <w:spacing w:after="60"/>
        <w:ind w:left="312" w:hanging="255"/>
      </w:pPr>
      <w:r>
        <w:rPr>
          <w:rFonts w:ascii="Aptos" w:hAnsi="Aptos"/>
          <w:sz w:val="20"/>
        </w:rPr>
        <w:t xml:space="preserve">3.  </w:t>
      </w:r>
      <w:r>
        <w:rPr>
          <w:rFonts w:ascii="Aptos" w:hAnsi="Aptos"/>
          <w:sz w:val="20"/>
        </w:rPr>
        <w:t>Change scenario dates and demand target.</w:t>
      </w:r>
    </w:p>
    <w:p>
      <w:pPr>
        <w:spacing w:after="60"/>
        <w:ind w:left="312" w:hanging="255"/>
      </w:pPr>
      <w:r>
        <w:rPr>
          <w:rFonts w:ascii="Aptos" w:hAnsi="Aptos"/>
          <w:sz w:val="20"/>
        </w:rPr>
        <w:t xml:space="preserve">4.  </w:t>
      </w:r>
      <w:r>
        <w:rPr>
          <w:rFonts w:ascii="Aptos" w:hAnsi="Aptos"/>
          <w:sz w:val="20"/>
        </w:rPr>
        <w:t>Update source shares, capacity factors and dated values.</w:t>
      </w:r>
    </w:p>
    <w:p>
      <w:pPr>
        <w:spacing w:after="60"/>
        <w:ind w:left="312" w:hanging="255"/>
      </w:pPr>
      <w:r>
        <w:rPr>
          <w:rFonts w:ascii="Aptos" w:hAnsi="Aptos"/>
          <w:sz w:val="20"/>
        </w:rPr>
        <w:t xml:space="preserve">5.  </w:t>
      </w:r>
      <w:r>
        <w:rPr>
          <w:rFonts w:ascii="Aptos" w:hAnsi="Aptos"/>
          <w:sz w:val="20"/>
        </w:rPr>
        <w:t>Run the deterministic case before enabling Monte Carlo.</w:t>
      </w:r>
    </w:p>
    <w:p>
      <w:pPr>
        <w:spacing w:after="60"/>
        <w:ind w:left="312" w:hanging="255"/>
      </w:pPr>
      <w:r>
        <w:rPr>
          <w:rFonts w:ascii="Aptos" w:hAnsi="Aptos"/>
          <w:sz w:val="20"/>
        </w:rPr>
        <w:t xml:space="preserve">6.  </w:t>
      </w:r>
      <w:r>
        <w:rPr>
          <w:rFonts w:ascii="Aptos" w:hAnsi="Aptos"/>
          <w:sz w:val="20"/>
        </w:rPr>
        <w:t>Add BESS, commodities or nuclear only after the base case runs.</w:t>
      </w:r>
    </w:p>
    <w:p>
      <w:pPr>
        <w:spacing w:after="60"/>
        <w:ind w:left="312" w:hanging="255"/>
      </w:pPr>
      <w:r>
        <w:rPr>
          <w:rFonts w:ascii="Aptos" w:hAnsi="Aptos"/>
          <w:sz w:val="20"/>
        </w:rPr>
        <w:t xml:space="preserve">7.  </w:t>
      </w:r>
      <w:r>
        <w:rPr>
          <w:rFonts w:ascii="Aptos" w:hAnsi="Aptos"/>
          <w:sz w:val="20"/>
        </w:rPr>
        <w:t>Archive Resolved_Config.yaml with any published or shared results.</w:t>
      </w:r>
    </w:p>
    <w:p>
      <w:pPr>
        <w:pStyle w:val="Heading2"/>
        <w:keepNext/>
      </w:pPr>
      <w:r>
        <w:t>9.3 Comments are part of good public inputs</w:t>
      </w:r>
    </w:p>
    <w:p>
      <w:pPr>
        <w:spacing w:after="100" w:line="259" w:lineRule="auto"/>
      </w:pPr>
      <w:r>
        <w:rPr>
          <w:rFonts w:ascii="Aptos" w:hAnsi="Aptos"/>
          <w:sz w:val="20"/>
        </w:rPr>
        <w:t>Use # comments for assumptions that another user needs to understand without opening the manual: why a switch is true or false, what a dated change represents, or which unit/boundary is intended. Avoid turning the YAML into a long essay; methodological justification belongs in the study documentation.</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capacity_tolerance: "0 %"       # No deviation from capacity.</w:t>
            </w:r>
            <w:r>
              <w:rPr>
                <w:rFonts w:ascii="Aptos" w:hAnsi="Aptos"/>
                <w:sz w:val="18"/>
              </w:rPr>
              <w:br/>
            </w:r>
            <w:r>
              <w:rPr>
                <w:rFonts w:ascii="Consolas" w:hAnsi="Consolas"/>
                <w:color w:val="222222"/>
                <w:sz w:val="17"/>
              </w:rPr>
              <w:t>technology_uncertainty: false  # Keep technology parameters fixed.</w:t>
            </w:r>
            <w:r>
              <w:rPr>
                <w:rFonts w:ascii="Aptos" w:hAnsi="Aptos"/>
                <w:sz w:val="18"/>
              </w:rPr>
              <w:br/>
            </w:r>
            <w:r>
              <w:rPr>
                <w:rFonts w:ascii="Consolas" w:hAnsi="Consolas"/>
                <w:color w:val="222222"/>
                <w:sz w:val="17"/>
              </w:rPr>
              <w:t>anchor:</w:t>
            </w:r>
            <w:r>
              <w:rPr>
                <w:rFonts w:ascii="Aptos" w:hAnsi="Aptos"/>
                <w:sz w:val="18"/>
              </w:rPr>
              <w:br/>
            </w:r>
            <w:r>
              <w:rPr>
                <w:rFonts w:ascii="Consolas" w:hAnsi="Consolas"/>
                <w:color w:val="222222"/>
                <w:sz w:val="17"/>
              </w:rPr>
              <w:t xml:space="preserve">  method: auto                  # Let LEAF-EB resolve the anchor rule.</w:t>
            </w:r>
          </w:p>
        </w:tc>
      </w:tr>
    </w:tbl>
    <w:p>
      <w:pPr>
        <w:spacing w:after="0"/>
      </w:pPr>
    </w:p>
    <w:p>
      <w:pPr>
        <w:pStyle w:val="Heading1"/>
        <w:keepNext/>
      </w:pPr>
      <w:r>
        <w:t>10  Outputs and interpretation</w:t>
      </w:r>
    </w:p>
    <w:p>
      <w:pPr>
        <w:pStyle w:val="Heading2"/>
        <w:keepNext/>
      </w:pPr>
      <w:r>
        <w:t>10.1 Core files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7365D"/>
          </w:tcPr>
          <w:p>
            <w:pPr>
              <w:spacing w:after="20"/>
            </w:pPr>
            <w:r>
              <w:rPr>
                <w:rFonts w:ascii="Aptos" w:hAnsi="Aptos"/>
                <w:b/>
                <w:color w:val="FFFFFF"/>
                <w:sz w:val="18"/>
              </w:rPr>
              <w:t>Field / file</w:t>
            </w:r>
          </w:p>
        </w:tc>
        <w:tc>
          <w:tcPr>
            <w:tcW w:type="dxa" w:w="5100"/>
            <w:shd w:fill="17365D"/>
          </w:tcPr>
          <w:p>
            <w:pPr>
              <w:spacing w:after="20"/>
            </w:pPr>
            <w:r>
              <w:rPr>
                <w:rFonts w:ascii="Aptos" w:hAnsi="Aptos"/>
                <w:b/>
                <w:color w:val="FFFFFF"/>
                <w:sz w:val="18"/>
              </w:rPr>
              <w:t>Meaning</w:t>
            </w:r>
          </w:p>
        </w:tc>
      </w:tr>
      <w:tr>
        <w:tc>
          <w:tcPr>
            <w:tcW w:type="dxa" w:w="5100"/>
          </w:tcPr>
          <w:p>
            <w:pPr>
              <w:spacing w:after="20"/>
            </w:pPr>
            <w:r>
              <w:rPr>
                <w:rFonts w:ascii="Consolas" w:hAnsi="Consolas"/>
                <w:b/>
                <w:sz w:val="17"/>
              </w:rPr>
              <w:t>Resolved_Config.yaml</w:t>
            </w:r>
          </w:p>
        </w:tc>
        <w:tc>
          <w:tcPr>
            <w:tcW w:type="dxa" w:w="5100"/>
          </w:tcPr>
          <w:p>
            <w:pPr>
              <w:spacing w:after="20"/>
            </w:pPr>
            <w:r>
              <w:rPr>
                <w:rFonts w:ascii="Aptos" w:hAnsi="Aptos"/>
                <w:sz w:val="17"/>
              </w:rPr>
              <w:t>Effective configuration used by the run.</w:t>
            </w:r>
          </w:p>
        </w:tc>
      </w:tr>
      <w:tr>
        <w:tc>
          <w:tcPr>
            <w:tcW w:type="dxa" w:w="5100"/>
          </w:tcPr>
          <w:p>
            <w:pPr>
              <w:spacing w:after="20"/>
            </w:pPr>
            <w:r>
              <w:rPr>
                <w:rFonts w:ascii="Consolas" w:hAnsi="Consolas"/>
                <w:b/>
                <w:sz w:val="17"/>
              </w:rPr>
              <w:t>Forecast.xlsx / Forecast.csv</w:t>
            </w:r>
          </w:p>
        </w:tc>
        <w:tc>
          <w:tcPr>
            <w:tcW w:type="dxa" w:w="5100"/>
          </w:tcPr>
          <w:p>
            <w:pPr>
              <w:spacing w:after="20"/>
            </w:pPr>
            <w:r>
              <w:rPr>
                <w:rFonts w:ascii="Aptos" w:hAnsi="Aptos"/>
                <w:sz w:val="17"/>
              </w:rPr>
              <w:t>Constructed demand and generation series.</w:t>
            </w:r>
          </w:p>
        </w:tc>
      </w:tr>
      <w:tr>
        <w:tc>
          <w:tcPr>
            <w:tcW w:type="dxa" w:w="5100"/>
          </w:tcPr>
          <w:p>
            <w:pPr>
              <w:spacing w:after="20"/>
            </w:pPr>
            <w:r>
              <w:rPr>
                <w:rFonts w:ascii="Consolas" w:hAnsi="Consolas"/>
                <w:b/>
                <w:sz w:val="17"/>
              </w:rPr>
              <w:t>Output/Results.xlsx</w:t>
            </w:r>
          </w:p>
        </w:tc>
        <w:tc>
          <w:tcPr>
            <w:tcW w:type="dxa" w:w="5100"/>
          </w:tcPr>
          <w:p>
            <w:pPr>
              <w:spacing w:after="20"/>
            </w:pPr>
            <w:r>
              <w:rPr>
                <w:rFonts w:ascii="Aptos" w:hAnsi="Aptos"/>
                <w:sz w:val="17"/>
              </w:rPr>
              <w:t>Main annual comparison tables.</w:t>
            </w:r>
          </w:p>
        </w:tc>
      </w:tr>
      <w:tr>
        <w:tc>
          <w:tcPr>
            <w:tcW w:type="dxa" w:w="5100"/>
          </w:tcPr>
          <w:p>
            <w:pPr>
              <w:spacing w:after="20"/>
            </w:pPr>
            <w:r>
              <w:rPr>
                <w:rFonts w:ascii="Consolas" w:hAnsi="Consolas"/>
                <w:b/>
                <w:sz w:val="17"/>
              </w:rPr>
              <w:t>Output/Tallies.xlsx</w:t>
            </w:r>
          </w:p>
        </w:tc>
        <w:tc>
          <w:tcPr>
            <w:tcW w:type="dxa" w:w="5100"/>
          </w:tcPr>
          <w:p>
            <w:pPr>
              <w:spacing w:after="20"/>
            </w:pPr>
            <w:r>
              <w:rPr>
                <w:rFonts w:ascii="Aptos" w:hAnsi="Aptos"/>
                <w:sz w:val="17"/>
              </w:rPr>
              <w:t>Analysis-level event and operating summaries.</w:t>
            </w:r>
          </w:p>
        </w:tc>
      </w:tr>
      <w:tr>
        <w:tc>
          <w:tcPr>
            <w:tcW w:type="dxa" w:w="5100"/>
          </w:tcPr>
          <w:p>
            <w:pPr>
              <w:spacing w:after="20"/>
            </w:pPr>
            <w:r>
              <w:rPr>
                <w:rFonts w:ascii="Consolas" w:hAnsi="Consolas"/>
                <w:b/>
                <w:sz w:val="17"/>
              </w:rPr>
              <w:t>Output/Diagnostics.xlsx</w:t>
            </w:r>
          </w:p>
        </w:tc>
        <w:tc>
          <w:tcPr>
            <w:tcW w:type="dxa" w:w="5100"/>
          </w:tcPr>
          <w:p>
            <w:pPr>
              <w:spacing w:after="20"/>
            </w:pPr>
            <w:r>
              <w:rPr>
                <w:rFonts w:ascii="Aptos" w:hAnsi="Aptos"/>
                <w:sz w:val="17"/>
              </w:rPr>
              <w:t>Warnings and diagnostic information.</w:t>
            </w:r>
          </w:p>
        </w:tc>
      </w:tr>
      <w:tr>
        <w:tc>
          <w:tcPr>
            <w:tcW w:type="dxa" w:w="5100"/>
          </w:tcPr>
          <w:p>
            <w:pPr>
              <w:spacing w:after="20"/>
            </w:pPr>
            <w:r>
              <w:rPr>
                <w:rFonts w:ascii="Consolas" w:hAnsi="Consolas"/>
                <w:b/>
                <w:sz w:val="17"/>
              </w:rPr>
              <w:t>Output/ANICCA_Input.xlsx</w:t>
            </w:r>
          </w:p>
        </w:tc>
        <w:tc>
          <w:tcPr>
            <w:tcW w:type="dxa" w:w="5100"/>
          </w:tcPr>
          <w:p>
            <w:pPr>
              <w:spacing w:after="20"/>
            </w:pPr>
            <w:r>
              <w:rPr>
                <w:rFonts w:ascii="Aptos" w:hAnsi="Aptos"/>
                <w:sz w:val="17"/>
              </w:rPr>
              <w:t>Annual nuclear interface when nuclear is used.</w:t>
            </w:r>
          </w:p>
        </w:tc>
      </w:tr>
    </w:tbl>
    <w:p>
      <w:pPr>
        <w:pStyle w:val="Heading2"/>
        <w:keepNext/>
      </w:pPr>
      <w:r>
        <w:t>10.2 Output levels</w:t>
      </w:r>
    </w:p>
    <w:p>
      <w:pPr>
        <w:spacing w:after="100" w:line="259" w:lineRule="auto"/>
      </w:pPr>
      <w:r>
        <w:rPr>
          <w:rFonts w:ascii="Aptos" w:hAnsi="Aptos"/>
          <w:sz w:val="20"/>
        </w:rPr>
        <w:t>comparison is intended for compact scenario comparison; analysis adds event, duration, BESS, nuclear and other diagnostic summaries; detailed retains full time histories and can become large for hourly Monte Carlo runs.</w:t>
      </w:r>
    </w:p>
    <w:p>
      <w:pPr>
        <w:pStyle w:val="Heading2"/>
        <w:keepNext/>
      </w:pPr>
      <w:r>
        <w:t>10.3 Metric interpretation</w:t>
      </w:r>
    </w:p>
    <w:p>
      <w:pPr>
        <w:spacing w:after="100" w:line="259" w:lineRule="auto"/>
      </w:pPr>
      <w:r>
        <w:rPr>
          <w:rFonts w:ascii="Aptos" w:hAnsi="Aptos"/>
          <w:sz w:val="20"/>
        </w:rPr>
        <w:t>LEAF-EB uses residual load with the sign convention demand minus represented supply. Negative residual load corresponds to surplus. Positive residual load corresponds to additional generation required to meet demand. The current Results.xlsx public labels retain Positive_Residual_Load terminology; interpret it using this physical meaning rather than as a reliability probability.</w:t>
      </w:r>
    </w:p>
    <w:p>
      <w:pPr>
        <w:spacing w:after="100" w:line="259" w:lineRule="auto"/>
      </w:pPr>
      <w:r>
        <w:rPr>
          <w:rFonts w:ascii="Aptos" w:hAnsi="Aptos"/>
          <w:sz w:val="20"/>
        </w:rPr>
        <w:t>Peak metrics are power quantities. Energy metrics integrate the relevant part of the balance over time. Ramp metrics describe short-term change, while episode and duration summaries describe persistence.</w:t>
      </w:r>
    </w:p>
    <w:p>
      <w:pPr>
        <w:pStyle w:val="Heading1"/>
        <w:keepNext/>
      </w:pPr>
      <w:r>
        <w:t>11  Reproducibility and troubleshooting</w:t>
      </w:r>
    </w:p>
    <w:p>
      <w:pPr>
        <w:pStyle w:val="Heading2"/>
        <w:keepNext/>
      </w:pPr>
      <w:r>
        <w:t>11.1 Reproducibility checklist</w:t>
      </w:r>
    </w:p>
    <w:p>
      <w:pPr>
        <w:pStyle w:val="ListBullet"/>
        <w:spacing w:after="40"/>
        <w:ind w:left="255" w:hanging="113"/>
      </w:pPr>
      <w:r>
        <w:rPr>
          <w:rFonts w:ascii="Aptos" w:hAnsi="Aptos"/>
          <w:sz w:val="20"/>
        </w:rPr>
        <w:t>Keep the exact YAML input used for the run.</w:t>
      </w:r>
    </w:p>
    <w:p>
      <w:pPr>
        <w:pStyle w:val="ListBullet"/>
        <w:spacing w:after="40"/>
        <w:ind w:left="255" w:hanging="113"/>
      </w:pPr>
      <w:r>
        <w:rPr>
          <w:rFonts w:ascii="Aptos" w:hAnsi="Aptos"/>
          <w:sz w:val="20"/>
        </w:rPr>
        <w:t>Keep Resolved_Config.yaml.</w:t>
      </w:r>
    </w:p>
    <w:p>
      <w:pPr>
        <w:pStyle w:val="ListBullet"/>
        <w:spacing w:after="40"/>
        <w:ind w:left="255" w:hanging="113"/>
      </w:pPr>
      <w:r>
        <w:rPr>
          <w:rFonts w:ascii="Aptos" w:hAnsi="Aptos"/>
          <w:sz w:val="20"/>
        </w:rPr>
        <w:t>Record the LEAF-EB release or Git commit.</w:t>
      </w:r>
    </w:p>
    <w:p>
      <w:pPr>
        <w:pStyle w:val="ListBullet"/>
        <w:spacing w:after="40"/>
        <w:ind w:left="255" w:hanging="113"/>
      </w:pPr>
      <w:r>
        <w:rPr>
          <w:rFonts w:ascii="Aptos" w:hAnsi="Aptos"/>
          <w:sz w:val="20"/>
        </w:rPr>
        <w:t>Keep the random seed and Monte Carlo source list explicit.</w:t>
      </w:r>
    </w:p>
    <w:p>
      <w:pPr>
        <w:pStyle w:val="ListBullet"/>
        <w:spacing w:after="40"/>
        <w:ind w:left="255" w:hanging="113"/>
      </w:pPr>
      <w:r>
        <w:rPr>
          <w:rFonts w:ascii="Aptos" w:hAnsi="Aptos"/>
          <w:sz w:val="20"/>
        </w:rPr>
        <w:t>Report preserve_annual_targets and technology_uncertainty.</w:t>
      </w:r>
    </w:p>
    <w:p>
      <w:pPr>
        <w:pStyle w:val="ListBullet"/>
        <w:spacing w:after="40"/>
        <w:ind w:left="255" w:hanging="113"/>
      </w:pPr>
      <w:r>
        <w:rPr>
          <w:rFonts w:ascii="Aptos" w:hAnsi="Aptos"/>
          <w:sz w:val="20"/>
        </w:rPr>
        <w:t>Keep study-specific datasets outside the public repository unless their license and provenance permit redistribution.</w:t>
      </w:r>
    </w:p>
    <w:p>
      <w:pPr>
        <w:pStyle w:val="Heading2"/>
        <w:keepNext/>
      </w:pPr>
      <w:r>
        <w:t>11.2 Common errors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7365D"/>
          </w:tcPr>
          <w:p>
            <w:pPr>
              <w:spacing w:after="20"/>
            </w:pPr>
            <w:r>
              <w:rPr>
                <w:rFonts w:ascii="Aptos" w:hAnsi="Aptos"/>
                <w:b/>
                <w:color w:val="FFFFFF"/>
                <w:sz w:val="18"/>
              </w:rPr>
              <w:t>Field / file</w:t>
            </w:r>
          </w:p>
        </w:tc>
        <w:tc>
          <w:tcPr>
            <w:tcW w:type="dxa" w:w="5100"/>
            <w:shd w:fill="17365D"/>
          </w:tcPr>
          <w:p>
            <w:pPr>
              <w:spacing w:after="20"/>
            </w:pPr>
            <w:r>
              <w:rPr>
                <w:rFonts w:ascii="Aptos" w:hAnsi="Aptos"/>
                <w:b/>
                <w:color w:val="FFFFFF"/>
                <w:sz w:val="18"/>
              </w:rPr>
              <w:t>Meaning</w:t>
            </w:r>
          </w:p>
        </w:tc>
      </w:tr>
      <w:tr>
        <w:tc>
          <w:tcPr>
            <w:tcW w:type="dxa" w:w="5100"/>
          </w:tcPr>
          <w:p>
            <w:pPr>
              <w:spacing w:after="20"/>
            </w:pPr>
            <w:r>
              <w:rPr>
                <w:rFonts w:ascii="Consolas" w:hAnsi="Consolas"/>
                <w:b/>
                <w:sz w:val="17"/>
              </w:rPr>
              <w:t>No input matches ...</w:t>
            </w:r>
          </w:p>
        </w:tc>
        <w:tc>
          <w:tcPr>
            <w:tcW w:type="dxa" w:w="5100"/>
          </w:tcPr>
          <w:p>
            <w:pPr>
              <w:spacing w:after="20"/>
            </w:pPr>
            <w:r>
              <w:rPr>
                <w:rFonts w:ascii="Aptos" w:hAnsi="Aptos"/>
                <w:sz w:val="17"/>
              </w:rPr>
              <w:t>Check the filename under Inputs/ and use --list.</w:t>
            </w:r>
          </w:p>
        </w:tc>
      </w:tr>
      <w:tr>
        <w:tc>
          <w:tcPr>
            <w:tcW w:type="dxa" w:w="5100"/>
          </w:tcPr>
          <w:p>
            <w:pPr>
              <w:spacing w:after="20"/>
            </w:pPr>
            <w:r>
              <w:rPr>
                <w:rFonts w:ascii="Consolas" w:hAnsi="Consolas"/>
                <w:b/>
                <w:sz w:val="17"/>
              </w:rPr>
              <w:t>Historical column ... not found</w:t>
            </w:r>
          </w:p>
        </w:tc>
        <w:tc>
          <w:tcPr>
            <w:tcW w:type="dxa" w:w="5100"/>
          </w:tcPr>
          <w:p>
            <w:pPr>
              <w:spacing w:after="20"/>
            </w:pPr>
            <w:r>
              <w:rPr>
                <w:rFonts w:ascii="Aptos" w:hAnsi="Aptos"/>
                <w:sz w:val="17"/>
              </w:rPr>
              <w:t>Make the YAML source name match the historical CSV/XLSX column.</w:t>
            </w:r>
          </w:p>
        </w:tc>
      </w:tr>
      <w:tr>
        <w:tc>
          <w:tcPr>
            <w:tcW w:type="dxa" w:w="5100"/>
          </w:tcPr>
          <w:p>
            <w:pPr>
              <w:spacing w:after="20"/>
            </w:pPr>
            <w:r>
              <w:rPr>
                <w:rFonts w:ascii="Consolas" w:hAnsi="Consolas"/>
                <w:b/>
                <w:sz w:val="17"/>
              </w:rPr>
              <w:t>Unknown field ...</w:t>
            </w:r>
          </w:p>
        </w:tc>
        <w:tc>
          <w:tcPr>
            <w:tcW w:type="dxa" w:w="5100"/>
          </w:tcPr>
          <w:p>
            <w:pPr>
              <w:spacing w:after="20"/>
            </w:pPr>
            <w:r>
              <w:rPr>
                <w:rFonts w:ascii="Aptos" w:hAnsi="Aptos"/>
                <w:sz w:val="17"/>
              </w:rPr>
              <w:t>The public schema is strict. Check spelling and docs/INPUT_SCHEMA.md.</w:t>
            </w:r>
          </w:p>
        </w:tc>
      </w:tr>
      <w:tr>
        <w:tc>
          <w:tcPr>
            <w:tcW w:type="dxa" w:w="5100"/>
          </w:tcPr>
          <w:p>
            <w:pPr>
              <w:spacing w:after="20"/>
            </w:pPr>
            <w:r>
              <w:rPr>
                <w:rFonts w:ascii="Consolas" w:hAnsi="Consolas"/>
                <w:b/>
                <w:sz w:val="17"/>
              </w:rPr>
              <w:t>Invalid unit ...</w:t>
            </w:r>
          </w:p>
        </w:tc>
        <w:tc>
          <w:tcPr>
            <w:tcW w:type="dxa" w:w="5100"/>
          </w:tcPr>
          <w:p>
            <w:pPr>
              <w:spacing w:after="20"/>
            </w:pPr>
            <w:r>
              <w:rPr>
                <w:rFonts w:ascii="Aptos" w:hAnsi="Aptos"/>
                <w:sz w:val="17"/>
              </w:rPr>
              <w:t>Use an accepted dimensional form such as MW, MWh/day, h or GWd/tHM.</w:t>
            </w:r>
          </w:p>
        </w:tc>
      </w:tr>
      <w:tr>
        <w:tc>
          <w:tcPr>
            <w:tcW w:type="dxa" w:w="5100"/>
          </w:tcPr>
          <w:p>
            <w:pPr>
              <w:spacing w:after="20"/>
            </w:pPr>
            <w:r>
              <w:rPr>
                <w:rFonts w:ascii="Consolas" w:hAnsi="Consolas"/>
                <w:b/>
                <w:sz w:val="17"/>
              </w:rPr>
              <w:t>Monte Carlo does not perturb a source</w:t>
            </w:r>
          </w:p>
        </w:tc>
        <w:tc>
          <w:tcPr>
            <w:tcW w:type="dxa" w:w="5100"/>
          </w:tcPr>
          <w:p>
            <w:pPr>
              <w:spacing w:after="20"/>
            </w:pPr>
            <w:r>
              <w:rPr>
                <w:rFonts w:ascii="Aptos" w:hAnsi="Aptos"/>
                <w:sz w:val="17"/>
              </w:rPr>
              <w:t>Enable projection variability and list the source under monte_carlo.sources.</w:t>
            </w:r>
          </w:p>
        </w:tc>
      </w:tr>
      <w:tr>
        <w:tc>
          <w:tcPr>
            <w:tcW w:type="dxa" w:w="5100"/>
          </w:tcPr>
          <w:p>
            <w:pPr>
              <w:spacing w:after="20"/>
            </w:pPr>
            <w:r>
              <w:rPr>
                <w:rFonts w:ascii="Consolas" w:hAnsi="Consolas"/>
                <w:b/>
                <w:sz w:val="17"/>
              </w:rPr>
              <w:t>Nuclear refueling differs between examples</w:t>
            </w:r>
          </w:p>
        </w:tc>
        <w:tc>
          <w:tcPr>
            <w:tcW w:type="dxa" w:w="5100"/>
          </w:tcPr>
          <w:p>
            <w:pPr>
              <w:spacing w:after="20"/>
            </w:pPr>
            <w:r>
              <w:rPr>
                <w:rFonts w:ascii="Aptos" w:hAnsi="Aptos"/>
                <w:sz w:val="17"/>
              </w:rPr>
              <w:t>Check whether the template is calendar-driven or burnup-driven and whether operation is must_run or load_following.</w:t>
            </w:r>
          </w:p>
        </w:tc>
      </w:tr>
    </w:tbl>
    <w:p>
      <w:pPr>
        <w:pStyle w:val="Heading2"/>
        <w:keepNext/>
      </w:pPr>
      <w:r>
        <w:t>11.3 Public tests</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7"/>
              </w:rPr>
              <w:t>python -m pip install -r requirements-dev.txt</w:t>
            </w:r>
            <w:r>
              <w:rPr>
                <w:rFonts w:ascii="Aptos" w:hAnsi="Aptos"/>
                <w:sz w:val="18"/>
              </w:rPr>
              <w:br/>
            </w:r>
            <w:r>
              <w:rPr>
                <w:rFonts w:ascii="Consolas" w:hAnsi="Consolas"/>
                <w:color w:val="222222"/>
                <w:sz w:val="17"/>
              </w:rPr>
              <w:t>python -m pytest -q</w:t>
            </w:r>
          </w:p>
        </w:tc>
      </w:tr>
    </w:tbl>
    <w:p>
      <w:pPr>
        <w:spacing w:after="0"/>
      </w:pPr>
    </w:p>
    <w:p>
      <w:pPr>
        <w:spacing w:after="100" w:line="259" w:lineRule="auto"/>
      </w:pPr>
      <w:r>
        <w:rPr>
          <w:rFonts w:ascii="Aptos" w:hAnsi="Aptos"/>
          <w:sz w:val="20"/>
        </w:rPr>
        <w:t>The GitHub Actions workflow validates and executes all six public examples on Python 3.11 and 3.12. This provides a direct check that the manual examples remain compatible with the public code.</w:t>
      </w:r>
    </w:p>
    <w:p>
      <w:pPr>
        <w:pStyle w:val="Heading1"/>
        <w:keepNext/>
      </w:pPr>
      <w:r>
        <w:t>Appendix A  Repository structure</w:t>
      </w:r>
    </w:p>
    <w:tbl>
      <w:tblPr>
        <w:tblW w:type="auto" w:w="0"/>
        <w:jc w:val="center"/>
        <w:tblLayout w:type="autofit"/>
        <w:tblLook w:firstColumn="1" w:firstRow="1" w:lastColumn="0" w:lastRow="0" w:noHBand="0" w:noVBand="1" w:val="04A0"/>
      </w:tblPr>
      <w:tblGrid>
        <w:gridCol w:w="10200"/>
      </w:tblGrid>
      <w:tr>
        <w:trPr>
          <w:cantSplit/>
        </w:trPr>
        <w:tc>
          <w:tcPr>
            <w:tcW w:type="dxa" w:w="10200"/>
            <w:shd w:fill="F2F2F2"/>
            <w:tcMar>
              <w:top w:w="100" w:type="dxa"/>
              <w:start w:w="140" w:type="dxa"/>
              <w:bottom w:w="100" w:type="dxa"/>
              <w:end w:w="140" w:type="dxa"/>
            </w:tcMar>
          </w:tcPr>
          <w:p>
            <w:pPr>
              <w:spacing w:after="20" w:line="240" w:lineRule="auto"/>
            </w:pPr>
            <w:r>
              <w:rPr>
                <w:rFonts w:ascii="Consolas" w:hAnsi="Consolas"/>
                <w:color w:val="222222"/>
                <w:sz w:val="16"/>
              </w:rPr>
              <w:t>LEAF-EB/</w:t>
            </w:r>
            <w:r>
              <w:rPr>
                <w:rFonts w:ascii="Aptos" w:hAnsi="Aptos"/>
                <w:sz w:val="18"/>
              </w:rPr>
              <w:br/>
            </w:r>
            <w:r>
              <w:rPr>
                <w:rFonts w:ascii="Consolas" w:hAnsi="Consolas"/>
                <w:color w:val="222222"/>
                <w:sz w:val="16"/>
              </w:rPr>
              <w:t>├── Runner.py</w:t>
            </w:r>
            <w:r>
              <w:rPr>
                <w:rFonts w:ascii="Aptos" w:hAnsi="Aptos"/>
                <w:sz w:val="18"/>
              </w:rPr>
              <w:br/>
            </w:r>
            <w:r>
              <w:rPr>
                <w:rFonts w:ascii="Consolas" w:hAnsi="Consolas"/>
                <w:color w:val="222222"/>
                <w:sz w:val="16"/>
              </w:rPr>
              <w:t>├── Inputs/</w:t>
            </w:r>
            <w:r>
              <w:rPr>
                <w:rFonts w:ascii="Aptos" w:hAnsi="Aptos"/>
                <w:sz w:val="18"/>
              </w:rPr>
              <w:br/>
            </w:r>
            <w:r>
              <w:rPr>
                <w:rFonts w:ascii="Consolas" w:hAnsi="Consolas"/>
                <w:color w:val="222222"/>
                <w:sz w:val="16"/>
              </w:rPr>
              <w:t>│   ├── Example_01_basic.yml</w:t>
            </w:r>
            <w:r>
              <w:rPr>
                <w:rFonts w:ascii="Aptos" w:hAnsi="Aptos"/>
                <w:sz w:val="18"/>
              </w:rPr>
              <w:br/>
            </w:r>
            <w:r>
              <w:rPr>
                <w:rFonts w:ascii="Consolas" w:hAnsi="Consolas"/>
                <w:color w:val="222222"/>
                <w:sz w:val="16"/>
              </w:rPr>
              <w:t>│   ├── Example_02_monte_carlo.yml</w:t>
            </w:r>
            <w:r>
              <w:rPr>
                <w:rFonts w:ascii="Aptos" w:hAnsi="Aptos"/>
                <w:sz w:val="18"/>
              </w:rPr>
              <w:br/>
            </w:r>
            <w:r>
              <w:rPr>
                <w:rFonts w:ascii="Consolas" w:hAnsi="Consolas"/>
                <w:color w:val="222222"/>
                <w:sz w:val="16"/>
              </w:rPr>
              <w:t>│   ├── Example_03_bess.yml</w:t>
            </w:r>
            <w:r>
              <w:rPr>
                <w:rFonts w:ascii="Aptos" w:hAnsi="Aptos"/>
                <w:sz w:val="18"/>
              </w:rPr>
              <w:br/>
            </w:r>
            <w:r>
              <w:rPr>
                <w:rFonts w:ascii="Consolas" w:hAnsi="Consolas"/>
                <w:color w:val="222222"/>
                <w:sz w:val="16"/>
              </w:rPr>
              <w:t>│   ├── Example_04_commodities.yml</w:t>
            </w:r>
            <w:r>
              <w:rPr>
                <w:rFonts w:ascii="Aptos" w:hAnsi="Aptos"/>
                <w:sz w:val="18"/>
              </w:rPr>
              <w:br/>
            </w:r>
            <w:r>
              <w:rPr>
                <w:rFonts w:ascii="Consolas" w:hAnsi="Consolas"/>
                <w:color w:val="222222"/>
                <w:sz w:val="16"/>
              </w:rPr>
              <w:t>│   ├── Example_05_nuclear_constant.yml</w:t>
            </w:r>
            <w:r>
              <w:rPr>
                <w:rFonts w:ascii="Aptos" w:hAnsi="Aptos"/>
                <w:sz w:val="18"/>
              </w:rPr>
              <w:br/>
            </w:r>
            <w:r>
              <w:rPr>
                <w:rFonts w:ascii="Consolas" w:hAnsi="Consolas"/>
                <w:color w:val="222222"/>
                <w:sz w:val="16"/>
              </w:rPr>
              <w:t>│   ├── Example_06_nuclear_load_following.yml</w:t>
            </w:r>
            <w:r>
              <w:rPr>
                <w:rFonts w:ascii="Aptos" w:hAnsi="Aptos"/>
                <w:sz w:val="18"/>
              </w:rPr>
              <w:br/>
            </w:r>
            <w:r>
              <w:rPr>
                <w:rFonts w:ascii="Consolas" w:hAnsi="Consolas"/>
                <w:color w:val="222222"/>
                <w:sz w:val="16"/>
              </w:rPr>
              <w:t>│   └── data/</w:t>
            </w:r>
            <w:r>
              <w:rPr>
                <w:rFonts w:ascii="Aptos" w:hAnsi="Aptos"/>
                <w:sz w:val="18"/>
              </w:rPr>
              <w:br/>
            </w:r>
            <w:r>
              <w:rPr>
                <w:rFonts w:ascii="Consolas" w:hAnsi="Consolas"/>
                <w:color w:val="222222"/>
                <w:sz w:val="16"/>
              </w:rPr>
              <w:t>├── data/</w:t>
            </w:r>
            <w:r>
              <w:rPr>
                <w:rFonts w:ascii="Aptos" w:hAnsi="Aptos"/>
                <w:sz w:val="18"/>
              </w:rPr>
              <w:br/>
            </w:r>
            <w:r>
              <w:rPr>
                <w:rFonts w:ascii="Consolas" w:hAnsi="Consolas"/>
                <w:color w:val="222222"/>
                <w:sz w:val="16"/>
              </w:rPr>
              <w:t>│   ├── Database.yaml</w:t>
            </w:r>
            <w:r>
              <w:rPr>
                <w:rFonts w:ascii="Aptos" w:hAnsi="Aptos"/>
                <w:sz w:val="18"/>
              </w:rPr>
              <w:br/>
            </w:r>
            <w:r>
              <w:rPr>
                <w:rFonts w:ascii="Consolas" w:hAnsi="Consolas"/>
                <w:color w:val="222222"/>
                <w:sz w:val="16"/>
              </w:rPr>
              <w:t>│   └── Nuclear_Technologies.yaml</w:t>
            </w:r>
            <w:r>
              <w:rPr>
                <w:rFonts w:ascii="Aptos" w:hAnsi="Aptos"/>
                <w:sz w:val="18"/>
              </w:rPr>
              <w:br/>
            </w:r>
            <w:r>
              <w:rPr>
                <w:rFonts w:ascii="Consolas" w:hAnsi="Consolas"/>
                <w:color w:val="222222"/>
                <w:sz w:val="16"/>
              </w:rPr>
              <w:t>├── docs/</w:t>
            </w:r>
            <w:r>
              <w:rPr>
                <w:rFonts w:ascii="Aptos" w:hAnsi="Aptos"/>
                <w:sz w:val="18"/>
              </w:rPr>
              <w:br/>
            </w:r>
            <w:r>
              <w:rPr>
                <w:rFonts w:ascii="Consolas" w:hAnsi="Consolas"/>
                <w:color w:val="222222"/>
                <w:sz w:val="16"/>
              </w:rPr>
              <w:t>├── scripts/</w:t>
            </w:r>
            <w:r>
              <w:rPr>
                <w:rFonts w:ascii="Aptos" w:hAnsi="Aptos"/>
                <w:sz w:val="18"/>
              </w:rPr>
              <w:br/>
            </w:r>
            <w:r>
              <w:rPr>
                <w:rFonts w:ascii="Consolas" w:hAnsi="Consolas"/>
                <w:color w:val="222222"/>
                <w:sz w:val="16"/>
              </w:rPr>
              <w:t>├── src/</w:t>
            </w:r>
            <w:r>
              <w:rPr>
                <w:rFonts w:ascii="Aptos" w:hAnsi="Aptos"/>
                <w:sz w:val="18"/>
              </w:rPr>
              <w:br/>
            </w:r>
            <w:r>
              <w:rPr>
                <w:rFonts w:ascii="Consolas" w:hAnsi="Consolas"/>
                <w:color w:val="222222"/>
                <w:sz w:val="16"/>
              </w:rPr>
              <w:t>├── tests/</w:t>
            </w:r>
            <w:r>
              <w:rPr>
                <w:rFonts w:ascii="Aptos" w:hAnsi="Aptos"/>
                <w:sz w:val="18"/>
              </w:rPr>
              <w:br/>
            </w:r>
            <w:r>
              <w:rPr>
                <w:rFonts w:ascii="Consolas" w:hAnsi="Consolas"/>
                <w:color w:val="222222"/>
                <w:sz w:val="16"/>
              </w:rPr>
              <w:t>├── requirements.txt</w:t>
            </w:r>
            <w:r>
              <w:rPr>
                <w:rFonts w:ascii="Aptos" w:hAnsi="Aptos"/>
                <w:sz w:val="18"/>
              </w:rPr>
              <w:br/>
            </w:r>
            <w:r>
              <w:rPr>
                <w:rFonts w:ascii="Consolas" w:hAnsi="Consolas"/>
                <w:color w:val="222222"/>
                <w:sz w:val="16"/>
              </w:rPr>
              <w:t>└── requirements-dev.txt</w:t>
            </w:r>
          </w:p>
        </w:tc>
      </w:tr>
    </w:tbl>
    <w:p>
      <w:pPr>
        <w:spacing w:after="0"/>
      </w:pPr>
    </w:p>
    <w:p>
      <w:pPr>
        <w:pStyle w:val="Heading1"/>
        <w:keepNext/>
      </w:pPr>
      <w:r>
        <w:t>Appendix B  Further technical documentation</w:t>
      </w:r>
    </w:p>
    <w:p>
      <w:pPr>
        <w:pStyle w:val="ListBullet"/>
        <w:spacing w:after="40"/>
        <w:ind w:left="255" w:hanging="113"/>
      </w:pPr>
      <w:r>
        <w:rPr>
          <w:rFonts w:ascii="Aptos" w:hAnsi="Aptos"/>
          <w:sz w:val="20"/>
        </w:rPr>
        <w:t>docs/EXAMPLES.md - guided tour through the six public examples.</w:t>
      </w:r>
    </w:p>
    <w:p>
      <w:pPr>
        <w:pStyle w:val="ListBullet"/>
        <w:spacing w:after="40"/>
        <w:ind w:left="255" w:hanging="113"/>
      </w:pPr>
      <w:r>
        <w:rPr>
          <w:rFonts w:ascii="Aptos" w:hAnsi="Aptos"/>
          <w:sz w:val="20"/>
        </w:rPr>
        <w:t>docs/INPUT_SCHEMA.md - current public fields and accepted units.</w:t>
      </w:r>
    </w:p>
    <w:p>
      <w:pPr>
        <w:pStyle w:val="ListBullet"/>
        <w:spacing w:after="40"/>
        <w:ind w:left="255" w:hanging="113"/>
      </w:pPr>
      <w:r>
        <w:rPr>
          <w:rFonts w:ascii="Aptos" w:hAnsi="Aptos"/>
          <w:sz w:val="20"/>
        </w:rPr>
        <w:t>docs/STOCHASTIC_METHOD.md - temporal Monte Carlo method.</w:t>
      </w:r>
    </w:p>
    <w:p>
      <w:pPr>
        <w:pStyle w:val="ListBullet"/>
        <w:spacing w:after="40"/>
        <w:ind w:left="255" w:hanging="113"/>
      </w:pPr>
      <w:r>
        <w:rPr>
          <w:rFonts w:ascii="Aptos" w:hAnsi="Aptos"/>
          <w:sz w:val="20"/>
        </w:rPr>
        <w:t>docs/NUCLEAR_OPERATION.md - nuclear operating and refueling model.</w:t>
      </w:r>
    </w:p>
    <w:p>
      <w:pPr>
        <w:pStyle w:val="ListBullet"/>
        <w:spacing w:after="40"/>
        <w:ind w:left="255" w:hanging="113"/>
      </w:pPr>
      <w:r>
        <w:rPr>
          <w:rFonts w:ascii="Aptos" w:hAnsi="Aptos"/>
          <w:sz w:val="20"/>
        </w:rPr>
        <w:t>docs/ANALYSIS_METRICS.md - output indicators and interpretation.</w:t>
      </w:r>
    </w:p>
    <w:p>
      <w:pPr>
        <w:pStyle w:val="ListBullet"/>
        <w:spacing w:after="40"/>
        <w:ind w:left="255" w:hanging="113"/>
      </w:pPr>
      <w:r>
        <w:rPr>
          <w:rFonts w:ascii="Aptos" w:hAnsi="Aptos"/>
          <w:sz w:val="20"/>
        </w:rPr>
        <w:t>docs/DATABASE_REFERENCES.md - technology parameter references.</w:t>
      </w:r>
    </w:p>
    <w:p>
      <w:pPr>
        <w:pStyle w:val="ListBullet"/>
        <w:spacing w:after="40"/>
        <w:ind w:left="255" w:hanging="113"/>
      </w:pPr>
      <w:r>
        <w:rPr>
          <w:rFonts w:ascii="Aptos" w:hAnsi="Aptos"/>
          <w:sz w:val="20"/>
        </w:rPr>
        <w:t>docs/LEAF_TO_ANICCA.md - annual LEAF-EB to ANICCA interface.</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LEAF-EB  |  User Manual  |  Public release 2026.08.27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LEAF-EB User Manual</dc:title>
  <dc:subject>Public user manual for LEAF-EB release 2026.08.27</dc:subject>
  <dc:creator>Iván Merino Rodríguez et al.</dc:creator>
  <cp:keywords>LEAF-EB, electricity balance, Monte Carlo, BESS, nuclear</cp:keywords>
  <dc:description>generated by python-docx</dc:description>
  <cp:lastModifiedBy/>
  <cp:revision>1</cp:revision>
  <dcterms:created xsi:type="dcterms:W3CDTF">2013-12-23T23:15:00Z</dcterms:created>
  <dcterms:modified xsi:type="dcterms:W3CDTF">2013-12-23T23:15:00Z</dcterms:modified>
  <cp:category/>
</cp:coreProperties>
</file>