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FC269" w14:textId="1EE59F59" w:rsidR="003E3023" w:rsidRDefault="009C48A0">
      <w:r>
        <w:rPr>
          <w:noProof/>
        </w:rPr>
        <w:drawing>
          <wp:inline distT="0" distB="0" distL="0" distR="0" wp14:anchorId="6A1EDEDD" wp14:editId="0EF2DE0E">
            <wp:extent cx="5842000" cy="4381500"/>
            <wp:effectExtent l="0" t="0" r="0" b="0"/>
            <wp:docPr id="30002709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27097"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4EAB8C9F" w14:textId="32DF7A7C" w:rsidR="009C48A0" w:rsidRDefault="009C48A0">
      <w:r>
        <w:t>(Matrix-matrix multiplication is O(N</w:t>
      </w:r>
      <w:r>
        <w:rPr>
          <w:vertAlign w:val="superscript"/>
        </w:rPr>
        <w:t>3</w:t>
      </w:r>
      <w:r>
        <w:t>))</w:t>
      </w:r>
    </w:p>
    <w:p w14:paraId="13852101" w14:textId="77777777" w:rsidR="009C48A0" w:rsidRDefault="009C48A0"/>
    <w:p w14:paraId="13030701" w14:textId="69990F3A" w:rsidR="009C48A0" w:rsidRDefault="009C48A0">
      <w:r>
        <w:rPr>
          <w:noProof/>
        </w:rPr>
        <w:lastRenderedPageBreak/>
        <w:drawing>
          <wp:inline distT="0" distB="0" distL="0" distR="0" wp14:anchorId="2FEA07F3" wp14:editId="6BB45B29">
            <wp:extent cx="5842000" cy="4381500"/>
            <wp:effectExtent l="0" t="0" r="0" b="0"/>
            <wp:docPr id="2144204386"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04386"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31684CE1" w14:textId="12467670" w:rsidR="009C48A0" w:rsidRDefault="009C48A0" w:rsidP="009C48A0">
      <w:r>
        <w:t>(</w:t>
      </w:r>
      <w:r>
        <w:t>Vector</w:t>
      </w:r>
      <w:r>
        <w:t>-</w:t>
      </w:r>
      <w:r>
        <w:t>vector</w:t>
      </w:r>
      <w:r>
        <w:t xml:space="preserve"> multiplication is O(N</w:t>
      </w:r>
      <w:r>
        <w:rPr>
          <w:vertAlign w:val="superscript"/>
        </w:rPr>
        <w:t>1</w:t>
      </w:r>
      <w:r>
        <w:t>))</w:t>
      </w:r>
    </w:p>
    <w:p w14:paraId="65561484" w14:textId="14E1EE10" w:rsidR="009C48A0" w:rsidRDefault="009C48A0">
      <w:r>
        <w:rPr>
          <w:noProof/>
        </w:rPr>
        <w:lastRenderedPageBreak/>
        <w:drawing>
          <wp:inline distT="0" distB="0" distL="0" distR="0" wp14:anchorId="3A768B3E" wp14:editId="5C1059E1">
            <wp:extent cx="5842000" cy="4381500"/>
            <wp:effectExtent l="0" t="0" r="0" b="0"/>
            <wp:docPr id="98239245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92454" name="Picture 4"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3F7939B8" w14:textId="10D4A743" w:rsidR="009C48A0" w:rsidRDefault="009C48A0">
      <w:r>
        <w:t>(Matrix-vector multiplication is O(N</w:t>
      </w:r>
      <w:r>
        <w:rPr>
          <w:vertAlign w:val="superscript"/>
        </w:rPr>
        <w:t>2</w:t>
      </w:r>
      <w:r>
        <w:t>))</w:t>
      </w:r>
    </w:p>
    <w:p w14:paraId="064CFE4A" w14:textId="77777777" w:rsidR="009C48A0" w:rsidRDefault="009C48A0"/>
    <w:p w14:paraId="44D74090" w14:textId="0E9AC798" w:rsidR="009C48A0" w:rsidRDefault="009C48A0">
      <w:r>
        <w:rPr>
          <w:noProof/>
        </w:rPr>
        <w:lastRenderedPageBreak/>
        <w:drawing>
          <wp:inline distT="0" distB="0" distL="0" distR="0" wp14:anchorId="62E7C7B8" wp14:editId="37B796DE">
            <wp:extent cx="5842000" cy="4381500"/>
            <wp:effectExtent l="0" t="0" r="0" b="0"/>
            <wp:docPr id="988952122"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52122"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03B3560E" w14:textId="18C24E15" w:rsidR="009C48A0" w:rsidRDefault="009C48A0">
      <w:r>
        <w:t>Ground state energy as a function of basis set size, for V(x) = mx, m = 1</w:t>
      </w:r>
    </w:p>
    <w:p w14:paraId="5FE053F8" w14:textId="77777777" w:rsidR="009C48A0" w:rsidRDefault="009C48A0"/>
    <w:p w14:paraId="3F54A986" w14:textId="567E659A" w:rsidR="009C48A0" w:rsidRDefault="009C48A0">
      <w:r>
        <w:rPr>
          <w:noProof/>
        </w:rPr>
        <w:lastRenderedPageBreak/>
        <w:drawing>
          <wp:inline distT="0" distB="0" distL="0" distR="0" wp14:anchorId="4A0CB004" wp14:editId="32A64EAA">
            <wp:extent cx="5842000" cy="4381500"/>
            <wp:effectExtent l="0" t="0" r="0" b="0"/>
            <wp:docPr id="131722075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20756" name="Picture 6"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0A071AE2" w14:textId="012282EC" w:rsidR="009C48A0" w:rsidRDefault="009C48A0" w:rsidP="009C48A0">
      <w:r>
        <w:t xml:space="preserve">Ground state energy as a function of basis set size, for V(x) = </w:t>
      </w:r>
      <w:r>
        <w:t>10</w:t>
      </w:r>
      <w:r>
        <w:t>x, m = 1</w:t>
      </w:r>
    </w:p>
    <w:p w14:paraId="772C4A6E" w14:textId="77777777" w:rsidR="009C48A0" w:rsidRDefault="009C48A0" w:rsidP="009C48A0"/>
    <w:p w14:paraId="4D926A63" w14:textId="77777777" w:rsidR="009C48A0" w:rsidRDefault="009C48A0" w:rsidP="009C48A0"/>
    <w:p w14:paraId="578E9735" w14:textId="7F1498FD" w:rsidR="009C48A0" w:rsidRDefault="00F85B6E">
      <w:r>
        <w:rPr>
          <w:noProof/>
        </w:rPr>
        <w:lastRenderedPageBreak/>
        <w:drawing>
          <wp:inline distT="0" distB="0" distL="0" distR="0" wp14:anchorId="543E1EF7" wp14:editId="46E53F1B">
            <wp:extent cx="5842000" cy="4381500"/>
            <wp:effectExtent l="0" t="0" r="0" b="0"/>
            <wp:docPr id="113058150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81507" name="Picture 7"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16055CD3" w14:textId="434D5731" w:rsidR="00F85B6E" w:rsidRDefault="00F85B6E">
      <w:r>
        <w:t>Ground state wavefunctions for three different potential and mass conditions.</w:t>
      </w:r>
    </w:p>
    <w:p w14:paraId="72619F2F" w14:textId="77777777" w:rsidR="00F85B6E" w:rsidRDefault="00F85B6E"/>
    <w:p w14:paraId="5DD0CE14" w14:textId="10CAA7A2" w:rsidR="00F85B6E" w:rsidRDefault="00F85B6E">
      <w:r>
        <w:t xml:space="preserve">The addition of the potential from V = mx to V = 10x shifts the wavefunction amplitude to the left (x --&gt; 0). This is sensible; both V = x and V = 10x are sloping potentials that increase as x--&gt;L, and the steeper potential (V = 10x) will favor a </w:t>
      </w:r>
      <w:proofErr w:type="gramStart"/>
      <w:r>
        <w:t>greater probability densities</w:t>
      </w:r>
      <w:proofErr w:type="gramEnd"/>
      <w:r>
        <w:t xml:space="preserve"> towards x--&gt;0. Using V = mx and setting m to 10 creates a drastically different wavefunction reminiscent of the Morse potential</w:t>
      </w:r>
      <w:r w:rsidR="00295934">
        <w:t xml:space="preserve"> (or perhaps an Airy function?)</w:t>
      </w:r>
      <w:r>
        <w:t xml:space="preserve"> </w:t>
      </w:r>
      <w:r w:rsidR="00E92600">
        <w:t>Increasing</w:t>
      </w:r>
      <w:r w:rsidR="00AA14D3">
        <w:t xml:space="preserve"> m decreases the magnitude of the kinetic energy </w:t>
      </w:r>
      <w:r w:rsidR="00295934">
        <w:t>throughout the entire range of x</w:t>
      </w:r>
      <w:r w:rsidR="00353C5E">
        <w:t>; the potential energy will more strongly determine the shape of the wavefunction. This can be observed in the coefficients for the three wavefunctions; for the other two wavefunctions, nearly all of the “character” of the composite wavefunction comes from the ground state of the unperturbed particle in a box and the contributions from higher states drop off rapidly, while for V = mx, m = 10, the first excited state contributes nearly as much as the ground state (the contribution from the first excited state may be why the left half of the wavefunction looks almost identical to a sine curve that’s antisymmetric about x = 0.5)</w:t>
      </w:r>
    </w:p>
    <w:p w14:paraId="7CFFA895" w14:textId="02512CC9" w:rsidR="00353C5E" w:rsidRDefault="00353C5E">
      <w:r>
        <w:t xml:space="preserve">Table: coefficients of the first four basis set functions for the above wavefunctions </w:t>
      </w:r>
    </w:p>
    <w:tbl>
      <w:tblPr>
        <w:tblStyle w:val="TableGrid"/>
        <w:tblW w:w="0" w:type="auto"/>
        <w:tblLook w:val="04A0" w:firstRow="1" w:lastRow="0" w:firstColumn="1" w:lastColumn="0" w:noHBand="0" w:noVBand="1"/>
      </w:tblPr>
      <w:tblGrid>
        <w:gridCol w:w="1923"/>
        <w:gridCol w:w="1866"/>
        <w:gridCol w:w="1867"/>
        <w:gridCol w:w="1867"/>
        <w:gridCol w:w="1827"/>
      </w:tblGrid>
      <w:tr w:rsidR="00507391" w14:paraId="2429E177" w14:textId="083E2F9B" w:rsidTr="00507391">
        <w:tc>
          <w:tcPr>
            <w:tcW w:w="1923" w:type="dxa"/>
          </w:tcPr>
          <w:p w14:paraId="63411146" w14:textId="77777777" w:rsidR="00507391" w:rsidRDefault="00507391"/>
        </w:tc>
        <w:tc>
          <w:tcPr>
            <w:tcW w:w="1866" w:type="dxa"/>
          </w:tcPr>
          <w:p w14:paraId="5240876A" w14:textId="7E5CECED" w:rsidR="00507391" w:rsidRPr="00507391" w:rsidRDefault="00507391">
            <w:pPr>
              <w:rPr>
                <w:vertAlign w:val="subscript"/>
              </w:rPr>
            </w:pPr>
            <w:r>
              <w:rPr>
                <w:b/>
                <w:bCs/>
              </w:rPr>
              <w:t>Φ</w:t>
            </w:r>
            <w:r>
              <w:rPr>
                <w:b/>
                <w:bCs/>
                <w:vertAlign w:val="subscript"/>
              </w:rPr>
              <w:t>1</w:t>
            </w:r>
          </w:p>
        </w:tc>
        <w:tc>
          <w:tcPr>
            <w:tcW w:w="1867" w:type="dxa"/>
          </w:tcPr>
          <w:p w14:paraId="1097D74F" w14:textId="21534CDF" w:rsidR="00507391" w:rsidRPr="00507391" w:rsidRDefault="00507391">
            <w:pPr>
              <w:rPr>
                <w:vertAlign w:val="subscript"/>
              </w:rPr>
            </w:pPr>
            <w:r>
              <w:rPr>
                <w:b/>
                <w:bCs/>
              </w:rPr>
              <w:t>Φ</w:t>
            </w:r>
            <w:r>
              <w:rPr>
                <w:b/>
                <w:bCs/>
                <w:vertAlign w:val="subscript"/>
              </w:rPr>
              <w:t>2</w:t>
            </w:r>
          </w:p>
        </w:tc>
        <w:tc>
          <w:tcPr>
            <w:tcW w:w="1867" w:type="dxa"/>
          </w:tcPr>
          <w:p w14:paraId="2C2BB776" w14:textId="7C9FAD06" w:rsidR="00507391" w:rsidRPr="00507391" w:rsidRDefault="00507391">
            <w:pPr>
              <w:rPr>
                <w:vertAlign w:val="subscript"/>
              </w:rPr>
            </w:pPr>
            <w:r>
              <w:rPr>
                <w:b/>
                <w:bCs/>
              </w:rPr>
              <w:t>Φ</w:t>
            </w:r>
            <w:r>
              <w:rPr>
                <w:b/>
                <w:bCs/>
                <w:vertAlign w:val="subscript"/>
              </w:rPr>
              <w:t>3</w:t>
            </w:r>
          </w:p>
        </w:tc>
        <w:tc>
          <w:tcPr>
            <w:tcW w:w="1827" w:type="dxa"/>
          </w:tcPr>
          <w:p w14:paraId="54B4F0D3" w14:textId="2279FB13" w:rsidR="00507391" w:rsidRPr="00507391" w:rsidRDefault="00507391">
            <w:pPr>
              <w:rPr>
                <w:b/>
                <w:bCs/>
                <w:vertAlign w:val="subscript"/>
              </w:rPr>
            </w:pPr>
            <w:r>
              <w:rPr>
                <w:b/>
                <w:bCs/>
              </w:rPr>
              <w:t>Φ</w:t>
            </w:r>
            <w:r>
              <w:rPr>
                <w:b/>
                <w:bCs/>
                <w:vertAlign w:val="subscript"/>
              </w:rPr>
              <w:t>4</w:t>
            </w:r>
          </w:p>
        </w:tc>
      </w:tr>
      <w:tr w:rsidR="00507391" w14:paraId="6E72DF53" w14:textId="3C87AC3D" w:rsidTr="00507391">
        <w:tc>
          <w:tcPr>
            <w:tcW w:w="1923" w:type="dxa"/>
          </w:tcPr>
          <w:p w14:paraId="75BB6386" w14:textId="569EF166" w:rsidR="00507391" w:rsidRDefault="00507391">
            <w:r>
              <w:t xml:space="preserve">V = </w:t>
            </w:r>
            <w:proofErr w:type="gramStart"/>
            <w:r>
              <w:t>mx,  m</w:t>
            </w:r>
            <w:proofErr w:type="gramEnd"/>
            <w:r>
              <w:t xml:space="preserve"> = 1</w:t>
            </w:r>
          </w:p>
        </w:tc>
        <w:tc>
          <w:tcPr>
            <w:tcW w:w="1866" w:type="dxa"/>
          </w:tcPr>
          <w:p w14:paraId="30E60EF5" w14:textId="5CC65BA1" w:rsidR="00507391" w:rsidRDefault="00507391">
            <w:r>
              <w:t>0.999926</w:t>
            </w:r>
          </w:p>
        </w:tc>
        <w:tc>
          <w:tcPr>
            <w:tcW w:w="1867" w:type="dxa"/>
          </w:tcPr>
          <w:p w14:paraId="04D8897A" w14:textId="7D458237" w:rsidR="00507391" w:rsidRDefault="00507391">
            <w:r>
              <w:t>0.012165</w:t>
            </w:r>
          </w:p>
        </w:tc>
        <w:tc>
          <w:tcPr>
            <w:tcW w:w="1867" w:type="dxa"/>
          </w:tcPr>
          <w:p w14:paraId="021EB0D7" w14:textId="69606AF2" w:rsidR="00507391" w:rsidRDefault="00507391">
            <w:r>
              <w:t>0.000061</w:t>
            </w:r>
          </w:p>
        </w:tc>
        <w:tc>
          <w:tcPr>
            <w:tcW w:w="1827" w:type="dxa"/>
          </w:tcPr>
          <w:p w14:paraId="3BE774FB" w14:textId="51D8638C" w:rsidR="00507391" w:rsidRDefault="00507391">
            <w:r>
              <w:t>0.000195</w:t>
            </w:r>
          </w:p>
        </w:tc>
      </w:tr>
      <w:tr w:rsidR="00507391" w14:paraId="270239B9" w14:textId="397F8C56" w:rsidTr="00507391">
        <w:tc>
          <w:tcPr>
            <w:tcW w:w="1923" w:type="dxa"/>
          </w:tcPr>
          <w:p w14:paraId="47EE6E56" w14:textId="55442960" w:rsidR="00507391" w:rsidRDefault="00507391">
            <w:r>
              <w:t>V = 10x, m = 1</w:t>
            </w:r>
          </w:p>
        </w:tc>
        <w:tc>
          <w:tcPr>
            <w:tcW w:w="1866" w:type="dxa"/>
          </w:tcPr>
          <w:p w14:paraId="210BBB7A" w14:textId="6E133E90" w:rsidR="00507391" w:rsidRDefault="00507391">
            <w:r>
              <w:t>0.992776</w:t>
            </w:r>
          </w:p>
        </w:tc>
        <w:tc>
          <w:tcPr>
            <w:tcW w:w="1867" w:type="dxa"/>
          </w:tcPr>
          <w:p w14:paraId="5A23EFD1" w14:textId="5DE3B23C" w:rsidR="00507391" w:rsidRDefault="00507391">
            <w:r>
              <w:t>0.119818</w:t>
            </w:r>
          </w:p>
        </w:tc>
        <w:tc>
          <w:tcPr>
            <w:tcW w:w="1867" w:type="dxa"/>
          </w:tcPr>
          <w:p w14:paraId="2FB3FD1E" w14:textId="3FF214A6" w:rsidR="00507391" w:rsidRDefault="00507391">
            <w:r>
              <w:t>0.005978</w:t>
            </w:r>
          </w:p>
        </w:tc>
        <w:tc>
          <w:tcPr>
            <w:tcW w:w="1827" w:type="dxa"/>
          </w:tcPr>
          <w:p w14:paraId="6D37A032" w14:textId="0C9A53E5" w:rsidR="00507391" w:rsidRDefault="00507391">
            <w:r>
              <w:t>0.002093</w:t>
            </w:r>
          </w:p>
        </w:tc>
      </w:tr>
      <w:tr w:rsidR="00507391" w14:paraId="0B71A5FE" w14:textId="0A09A005" w:rsidTr="00507391">
        <w:tc>
          <w:tcPr>
            <w:tcW w:w="1923" w:type="dxa"/>
          </w:tcPr>
          <w:p w14:paraId="1B6D2F2C" w14:textId="50DBD60B" w:rsidR="00507391" w:rsidRDefault="00507391">
            <w:r>
              <w:t>V = mx, m = 10</w:t>
            </w:r>
          </w:p>
        </w:tc>
        <w:tc>
          <w:tcPr>
            <w:tcW w:w="1866" w:type="dxa"/>
          </w:tcPr>
          <w:p w14:paraId="46B770F8" w14:textId="03E3E4D8" w:rsidR="00507391" w:rsidRDefault="00507391">
            <w:r>
              <w:t>-0.746506</w:t>
            </w:r>
          </w:p>
        </w:tc>
        <w:tc>
          <w:tcPr>
            <w:tcW w:w="1867" w:type="dxa"/>
          </w:tcPr>
          <w:p w14:paraId="0675A699" w14:textId="0A2B60CD" w:rsidR="00507391" w:rsidRDefault="00507391">
            <w:r>
              <w:t>-0.613818</w:t>
            </w:r>
          </w:p>
        </w:tc>
        <w:tc>
          <w:tcPr>
            <w:tcW w:w="1867" w:type="dxa"/>
          </w:tcPr>
          <w:p w14:paraId="6A850084" w14:textId="0BC257AC" w:rsidR="00507391" w:rsidRDefault="00507391">
            <w:r>
              <w:t>-0.245723</w:t>
            </w:r>
          </w:p>
        </w:tc>
        <w:tc>
          <w:tcPr>
            <w:tcW w:w="1827" w:type="dxa"/>
          </w:tcPr>
          <w:p w14:paraId="2E4C8B0D" w14:textId="296D66D2" w:rsidR="00507391" w:rsidRDefault="00507391">
            <w:r>
              <w:t>-0.071525</w:t>
            </w:r>
          </w:p>
        </w:tc>
      </w:tr>
    </w:tbl>
    <w:p w14:paraId="524CF05C" w14:textId="77777777" w:rsidR="00353C5E" w:rsidRPr="009C48A0" w:rsidRDefault="00353C5E"/>
    <w:sectPr w:rsidR="00353C5E" w:rsidRPr="009C4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23"/>
    <w:rsid w:val="00295934"/>
    <w:rsid w:val="00353C5E"/>
    <w:rsid w:val="003E3023"/>
    <w:rsid w:val="00507391"/>
    <w:rsid w:val="009C48A0"/>
    <w:rsid w:val="00AA14D3"/>
    <w:rsid w:val="00E92600"/>
    <w:rsid w:val="00F85B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F1B8BD6"/>
  <w15:chartTrackingRefBased/>
  <w15:docId w15:val="{3513E6CD-E091-2A4D-83AE-E0172C65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3C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Donahoe</dc:creator>
  <cp:keywords/>
  <dc:description/>
  <cp:lastModifiedBy>Katherine Donahoe</cp:lastModifiedBy>
  <cp:revision>2</cp:revision>
  <dcterms:created xsi:type="dcterms:W3CDTF">2023-04-20T00:40:00Z</dcterms:created>
  <dcterms:modified xsi:type="dcterms:W3CDTF">2023-04-20T04:57:00Z</dcterms:modified>
</cp:coreProperties>
</file>