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plantas aumenta en áreas con mayor heterogeneidad ambiental (parches de sombra y sol, microzonas con distinta humedad y textura de suelo), porque se abren más nichos y pueden coexistir especies con estrategias distintas.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Parcelas con mayor variación de luz y humedad deberían tener mayor riqueza de especies.</w:t>
      </w:r>
    </w:p>
    <w:p>
      <w:pPr>
        <w:pStyle w:val="Compact"/>
        <w:numPr>
          <w:ilvl w:val="0"/>
          <w:numId w:val="1001"/>
        </w:numPr>
      </w:pPr>
      <w:r>
        <w:t xml:space="preserve">Sitios con composición ambiental similar deberían tener floras más parecidas entre sí.</w:t>
      </w:r>
    </w:p>
    <w:p>
      <w:pPr>
        <w:pStyle w:val="Compact"/>
        <w:numPr>
          <w:ilvl w:val="0"/>
          <w:numId w:val="1001"/>
        </w:numPr>
      </w:pPr>
      <w:r>
        <w:t xml:space="preserve">En zonas ambientalmente más homogéneas debería observarse mayor dominancia de pocas especies.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Listado de especies y cobertura/abundancia por parcela.</w:t>
      </w:r>
    </w:p>
    <w:p>
      <w:pPr>
        <w:pStyle w:val="Compact"/>
        <w:numPr>
          <w:ilvl w:val="0"/>
          <w:numId w:val="1002"/>
        </w:numPr>
      </w:pPr>
      <w:r>
        <w:t xml:space="preserve">Variables de microambiente por parcela: luz incidente, humedad de suelo, materia organica, textura.</w:t>
      </w:r>
    </w:p>
    <w:p>
      <w:pPr>
        <w:pStyle w:val="Compact"/>
        <w:numPr>
          <w:ilvl w:val="0"/>
          <w:numId w:val="1002"/>
        </w:numPr>
      </w:pPr>
      <w:r>
        <w:t xml:space="preserve">Un indice de heterogeneidad ambiental por parcela para relacionarlo con riqueza y dominancia.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perturbación humana frecuente (pisoteo y corte) reduce la diversidad al favorecer especies tolerantes y desplazar especies más sensibles.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Áreas con mayor intensidad de uso humano deberían presentar menor riqueza y mayor dominancia de pocas especies ruderales.</w:t>
      </w:r>
    </w:p>
    <w:p>
      <w:pPr>
        <w:pStyle w:val="Compact"/>
        <w:numPr>
          <w:ilvl w:val="0"/>
          <w:numId w:val="1003"/>
        </w:numPr>
      </w:pPr>
      <w:r>
        <w:t xml:space="preserve">En un test manipulativo simple (microparcelas con y sin pisoteo simulado), las parcelas perturbadas deberían perder cobertura de especies sensibles en pocas semanas.</w:t>
      </w:r>
    </w:p>
    <w:p>
      <w:pPr>
        <w:pStyle w:val="Compact"/>
        <w:numPr>
          <w:ilvl w:val="0"/>
          <w:numId w:val="1003"/>
        </w:numPr>
      </w:pPr>
      <w:r>
        <w:t xml:space="preserve">El efecto de perturbación debería ser más fuerte en zonas ya estresadas por baja humedad.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Métricas de perturbación por parcela: frecuencia de paso, distancia a senderos, frecuencia de corte.</w:t>
      </w:r>
    </w:p>
    <w:p>
      <w:pPr>
        <w:pStyle w:val="Compact"/>
        <w:numPr>
          <w:ilvl w:val="0"/>
          <w:numId w:val="1004"/>
        </w:numPr>
      </w:pPr>
      <w:r>
        <w:t xml:space="preserve">Riqueza, cobertura y composición de plantas en parcelas con distinto nivel de perturbación.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 (pisoteo simulado vs control) y seguimiento temporal de composición/cobertura.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2026-09-16T19:15:51Z</dcterms:created>
  <dcterms:modified xsi:type="dcterms:W3CDTF">2026-09-16T19:15:51Z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