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A62B" w14:textId="632E5483" w:rsidR="00B301CC" w:rsidRDefault="00B301CC" w:rsidP="00B301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Public Housing Blog Draft</w:t>
      </w:r>
    </w:p>
    <w:p w14:paraId="36E0F7B0" w14:textId="77777777" w:rsidR="00B301CC" w:rsidRDefault="00B301CC" w:rsidP="00813FE0">
      <w:pPr>
        <w:rPr>
          <w:rFonts w:ascii="Calibri" w:eastAsia="Times New Roman" w:hAnsi="Calibri" w:cs="Calibri"/>
          <w:color w:val="000000"/>
          <w:sz w:val="22"/>
          <w:szCs w:val="22"/>
        </w:rPr>
      </w:pPr>
    </w:p>
    <w:p w14:paraId="6BDF4541" w14:textId="1EAB250C" w:rsidR="003B19D5" w:rsidRPr="003B19D5" w:rsidRDefault="003B19D5" w:rsidP="006F5263">
      <w:pPr>
        <w:pStyle w:val="NoSpacing"/>
        <w:rPr>
          <w:sz w:val="22"/>
          <w:szCs w:val="22"/>
        </w:rPr>
      </w:pPr>
      <w:r w:rsidRPr="003B19D5">
        <w:rPr>
          <w:sz w:val="22"/>
          <w:szCs w:val="22"/>
        </w:rPr>
        <w:t>T</w:t>
      </w:r>
      <w:r w:rsidR="006F5263" w:rsidRPr="003B19D5">
        <w:rPr>
          <w:sz w:val="22"/>
          <w:szCs w:val="22"/>
        </w:rPr>
        <w:t xml:space="preserve">he Department of Housing and Urban Development (HUD) </w:t>
      </w:r>
      <w:r w:rsidR="005F2982" w:rsidRPr="003B19D5">
        <w:rPr>
          <w:sz w:val="22"/>
          <w:szCs w:val="22"/>
        </w:rPr>
        <w:t xml:space="preserve">proposed a rule in April 2019 that </w:t>
      </w:r>
      <w:r w:rsidR="006F5263" w:rsidRPr="003B19D5">
        <w:rPr>
          <w:sz w:val="22"/>
          <w:szCs w:val="22"/>
        </w:rPr>
        <w:t xml:space="preserve">would restrict </w:t>
      </w:r>
      <w:r w:rsidR="005F2982" w:rsidRPr="003B19D5">
        <w:rPr>
          <w:sz w:val="22"/>
          <w:szCs w:val="22"/>
        </w:rPr>
        <w:t xml:space="preserve">housing assistance for mixed-citizenship families. </w:t>
      </w:r>
      <w:r w:rsidR="0036434C">
        <w:rPr>
          <w:sz w:val="22"/>
          <w:szCs w:val="22"/>
        </w:rPr>
        <w:t xml:space="preserve">A revision to </w:t>
      </w:r>
      <w:r w:rsidR="0036434C" w:rsidRPr="0036434C">
        <w:rPr>
          <w:sz w:val="22"/>
          <w:szCs w:val="22"/>
        </w:rPr>
        <w:t>the Housing and Community Development Act of 1980</w:t>
      </w:r>
      <w:r w:rsidR="0036434C">
        <w:rPr>
          <w:sz w:val="22"/>
          <w:szCs w:val="22"/>
        </w:rPr>
        <w:t>, t</w:t>
      </w:r>
      <w:r w:rsidRPr="003B19D5">
        <w:rPr>
          <w:sz w:val="22"/>
          <w:szCs w:val="22"/>
        </w:rPr>
        <w:t xml:space="preserve">he policy proposal marks yet another way that the Trump administration is targeting immigrant families and undocumented immigrants. </w:t>
      </w:r>
      <w:r w:rsidR="00A003CE">
        <w:rPr>
          <w:sz w:val="22"/>
          <w:szCs w:val="22"/>
        </w:rPr>
        <w:t>Restricted</w:t>
      </w:r>
      <w:r w:rsidR="006F5263" w:rsidRPr="003B19D5">
        <w:rPr>
          <w:sz w:val="22"/>
          <w:szCs w:val="22"/>
        </w:rPr>
        <w:t xml:space="preserve"> federal housing programs, public housing</w:t>
      </w:r>
      <w:r w:rsidR="0036434C">
        <w:rPr>
          <w:sz w:val="22"/>
          <w:szCs w:val="22"/>
        </w:rPr>
        <w:t xml:space="preserve"> and project-based federal assistance</w:t>
      </w:r>
      <w:r w:rsidR="006F5263" w:rsidRPr="003B19D5">
        <w:rPr>
          <w:sz w:val="22"/>
          <w:szCs w:val="22"/>
        </w:rPr>
        <w:t xml:space="preserve"> </w:t>
      </w:r>
      <w:r w:rsidR="0036434C">
        <w:rPr>
          <w:sz w:val="22"/>
          <w:szCs w:val="22"/>
        </w:rPr>
        <w:t xml:space="preserve">allow </w:t>
      </w:r>
      <w:r w:rsidR="006F5263" w:rsidRPr="003B19D5">
        <w:rPr>
          <w:sz w:val="22"/>
          <w:szCs w:val="22"/>
        </w:rPr>
        <w:t>“mixed citizenship</w:t>
      </w:r>
      <w:r w:rsidR="00A003CE">
        <w:rPr>
          <w:sz w:val="22"/>
          <w:szCs w:val="22"/>
        </w:rPr>
        <w:t>”</w:t>
      </w:r>
      <w:r w:rsidR="006F5263" w:rsidRPr="003B19D5">
        <w:rPr>
          <w:sz w:val="22"/>
          <w:szCs w:val="22"/>
        </w:rPr>
        <w:t xml:space="preserve"> families, </w:t>
      </w:r>
      <w:r w:rsidR="0036434C">
        <w:rPr>
          <w:sz w:val="22"/>
          <w:szCs w:val="22"/>
        </w:rPr>
        <w:t xml:space="preserve">which are </w:t>
      </w:r>
      <w:r w:rsidR="006F5263" w:rsidRPr="003B19D5">
        <w:rPr>
          <w:sz w:val="22"/>
          <w:szCs w:val="22"/>
        </w:rPr>
        <w:t>households that contain</w:t>
      </w:r>
      <w:r w:rsidR="0036434C">
        <w:rPr>
          <w:sz w:val="22"/>
          <w:szCs w:val="22"/>
        </w:rPr>
        <w:t xml:space="preserve"> at least one member</w:t>
      </w:r>
      <w:r w:rsidR="006F5263" w:rsidRPr="003B19D5">
        <w:rPr>
          <w:sz w:val="22"/>
          <w:szCs w:val="22"/>
        </w:rPr>
        <w:t xml:space="preserve"> </w:t>
      </w:r>
      <w:r w:rsidR="0036434C">
        <w:rPr>
          <w:sz w:val="22"/>
          <w:szCs w:val="22"/>
        </w:rPr>
        <w:t>who is</w:t>
      </w:r>
      <w:r w:rsidR="006F5263" w:rsidRPr="003B19D5">
        <w:rPr>
          <w:sz w:val="22"/>
          <w:szCs w:val="22"/>
        </w:rPr>
        <w:t xml:space="preserve"> not </w:t>
      </w:r>
      <w:r w:rsidR="00A003CE">
        <w:rPr>
          <w:sz w:val="22"/>
          <w:szCs w:val="22"/>
        </w:rPr>
        <w:t xml:space="preserve">a </w:t>
      </w:r>
      <w:r w:rsidR="0036434C">
        <w:rPr>
          <w:sz w:val="22"/>
          <w:szCs w:val="22"/>
        </w:rPr>
        <w:t xml:space="preserve">citizen </w:t>
      </w:r>
      <w:r w:rsidR="006F5263" w:rsidRPr="003B19D5">
        <w:rPr>
          <w:sz w:val="22"/>
          <w:szCs w:val="22"/>
        </w:rPr>
        <w:t>and do</w:t>
      </w:r>
      <w:r w:rsidR="0036434C">
        <w:rPr>
          <w:sz w:val="22"/>
          <w:szCs w:val="22"/>
        </w:rPr>
        <w:t>es</w:t>
      </w:r>
      <w:r w:rsidR="006F5263" w:rsidRPr="003B19D5">
        <w:rPr>
          <w:sz w:val="22"/>
          <w:szCs w:val="22"/>
        </w:rPr>
        <w:t xml:space="preserve"> not have qualifying immigration status, to be eligible for </w:t>
      </w:r>
      <w:r w:rsidR="00A003CE">
        <w:rPr>
          <w:sz w:val="22"/>
          <w:szCs w:val="22"/>
        </w:rPr>
        <w:t>housing aid</w:t>
      </w:r>
      <w:r w:rsidR="0036434C">
        <w:rPr>
          <w:sz w:val="22"/>
          <w:szCs w:val="22"/>
        </w:rPr>
        <w:t xml:space="preserve">. </w:t>
      </w:r>
      <w:r w:rsidRPr="003B19D5">
        <w:rPr>
          <w:sz w:val="22"/>
          <w:szCs w:val="22"/>
        </w:rPr>
        <w:t xml:space="preserve">Under the current system, households with undocumented immigrants or individuals with otherwise “ineligible” immigration status can receive subsidized or public housing, as long as at least one other member of the household is a citizen or has eligible noncitizen status, which includes individuals who are </w:t>
      </w:r>
      <w:r w:rsidR="0036434C">
        <w:rPr>
          <w:sz w:val="22"/>
          <w:szCs w:val="22"/>
        </w:rPr>
        <w:t>legal</w:t>
      </w:r>
      <w:r w:rsidRPr="003B19D5">
        <w:rPr>
          <w:sz w:val="22"/>
          <w:szCs w:val="22"/>
        </w:rPr>
        <w:t xml:space="preserve"> residents, refugees, or asylum seekers. </w:t>
      </w:r>
      <w:r w:rsidR="0036434C">
        <w:rPr>
          <w:sz w:val="22"/>
          <w:szCs w:val="22"/>
        </w:rPr>
        <w:t xml:space="preserve">These programs have prorated rental assistance, so families with “mixed” status pay higher rent to account for “noneligible” individuals </w:t>
      </w:r>
      <w:r w:rsidR="00272DFF">
        <w:rPr>
          <w:sz w:val="22"/>
          <w:szCs w:val="22"/>
        </w:rPr>
        <w:t>(HUD, 2013; Affordable Housing Online)</w:t>
      </w:r>
      <w:r w:rsidR="0036434C">
        <w:rPr>
          <w:sz w:val="22"/>
          <w:szCs w:val="22"/>
        </w:rPr>
        <w:t xml:space="preserve">. </w:t>
      </w:r>
      <w:r w:rsidRPr="003B19D5">
        <w:rPr>
          <w:sz w:val="22"/>
          <w:szCs w:val="22"/>
        </w:rPr>
        <w:t xml:space="preserve">However, the proposal </w:t>
      </w:r>
      <w:r w:rsidR="0036434C">
        <w:rPr>
          <w:sz w:val="22"/>
          <w:szCs w:val="22"/>
        </w:rPr>
        <w:t>changes</w:t>
      </w:r>
      <w:r w:rsidRPr="003B19D5">
        <w:rPr>
          <w:sz w:val="22"/>
          <w:szCs w:val="22"/>
        </w:rPr>
        <w:t xml:space="preserve"> affordable housing qualifications to ban federal housing assistance for households with at least one undocumented </w:t>
      </w:r>
      <w:r w:rsidR="0036434C">
        <w:rPr>
          <w:sz w:val="22"/>
          <w:szCs w:val="22"/>
        </w:rPr>
        <w:t xml:space="preserve">or “ineligible” </w:t>
      </w:r>
      <w:r w:rsidRPr="003B19D5">
        <w:rPr>
          <w:sz w:val="22"/>
          <w:szCs w:val="22"/>
        </w:rPr>
        <w:t>immigrant</w:t>
      </w:r>
      <w:r w:rsidR="0036434C">
        <w:rPr>
          <w:sz w:val="22"/>
          <w:szCs w:val="22"/>
        </w:rPr>
        <w:t xml:space="preserve">. The rule requires that </w:t>
      </w:r>
      <w:r w:rsidR="00A003CE">
        <w:rPr>
          <w:sz w:val="22"/>
          <w:szCs w:val="22"/>
        </w:rPr>
        <w:t xml:space="preserve">every </w:t>
      </w:r>
      <w:r w:rsidR="0036434C">
        <w:rPr>
          <w:sz w:val="22"/>
          <w:szCs w:val="22"/>
        </w:rPr>
        <w:t>member</w:t>
      </w:r>
      <w:r w:rsidR="00A003CE">
        <w:rPr>
          <w:sz w:val="22"/>
          <w:szCs w:val="22"/>
        </w:rPr>
        <w:t xml:space="preserve"> </w:t>
      </w:r>
      <w:r w:rsidR="0036434C">
        <w:rPr>
          <w:sz w:val="22"/>
          <w:szCs w:val="22"/>
        </w:rPr>
        <w:t>of the household receiving federal housing assistance hold eligible immigration status</w:t>
      </w:r>
      <w:r w:rsidR="00A003CE">
        <w:rPr>
          <w:sz w:val="22"/>
          <w:szCs w:val="22"/>
        </w:rPr>
        <w:t xml:space="preserve"> </w:t>
      </w:r>
      <w:r w:rsidR="0036434C">
        <w:rPr>
          <w:sz w:val="22"/>
          <w:szCs w:val="22"/>
        </w:rPr>
        <w:t xml:space="preserve">(HUD, 2019). </w:t>
      </w:r>
    </w:p>
    <w:p w14:paraId="53EF0E5D" w14:textId="77777777" w:rsidR="003B19D5" w:rsidRPr="003B19D5" w:rsidRDefault="003B19D5" w:rsidP="006F5263">
      <w:pPr>
        <w:pStyle w:val="NoSpacing"/>
        <w:rPr>
          <w:sz w:val="22"/>
          <w:szCs w:val="22"/>
        </w:rPr>
      </w:pPr>
    </w:p>
    <w:p w14:paraId="3B3295B6" w14:textId="57E29B5F" w:rsidR="005F2982" w:rsidRPr="003B19D5" w:rsidRDefault="005F2982" w:rsidP="003B19D5">
      <w:pPr>
        <w:pStyle w:val="NoSpacing"/>
        <w:rPr>
          <w:sz w:val="22"/>
          <w:szCs w:val="22"/>
        </w:rPr>
      </w:pPr>
      <w:r w:rsidRPr="003B19D5">
        <w:rPr>
          <w:sz w:val="22"/>
          <w:szCs w:val="22"/>
        </w:rPr>
        <w:t>Though Ben Carson, the HUD Secretary, has claimed that the new rule would cut down on long waiting lists for public housing, former secretary Julián Castro has asserted, “The bottom line is that our government is terrorizing families — first with ICE raids, now with evictions” (</w:t>
      </w:r>
      <w:proofErr w:type="spellStart"/>
      <w:r w:rsidR="00272DFF">
        <w:rPr>
          <w:sz w:val="22"/>
          <w:szCs w:val="22"/>
        </w:rPr>
        <w:t>Karni</w:t>
      </w:r>
      <w:proofErr w:type="spellEnd"/>
      <w:r w:rsidR="00272DFF">
        <w:rPr>
          <w:sz w:val="22"/>
          <w:szCs w:val="22"/>
        </w:rPr>
        <w:t xml:space="preserve"> &amp; Shear</w:t>
      </w:r>
      <w:r w:rsidRPr="003B19D5">
        <w:rPr>
          <w:sz w:val="22"/>
          <w:szCs w:val="22"/>
        </w:rPr>
        <w:t xml:space="preserve">, 2019). </w:t>
      </w:r>
      <w:r w:rsidR="006F5263" w:rsidRPr="003B19D5">
        <w:rPr>
          <w:sz w:val="22"/>
          <w:szCs w:val="22"/>
        </w:rPr>
        <w:t>The proposal affects public housing, project-based rental assistance units, and Housing Choice Voucher (Section 8) recipients</w:t>
      </w:r>
      <w:r w:rsidR="0036434C">
        <w:rPr>
          <w:sz w:val="22"/>
          <w:szCs w:val="22"/>
        </w:rPr>
        <w:t>. A</w:t>
      </w:r>
      <w:r w:rsidR="006F5263" w:rsidRPr="003B19D5">
        <w:rPr>
          <w:sz w:val="22"/>
          <w:szCs w:val="22"/>
        </w:rPr>
        <w:t xml:space="preserve">ccording to </w:t>
      </w:r>
      <w:r w:rsidR="0036434C">
        <w:rPr>
          <w:sz w:val="22"/>
          <w:szCs w:val="22"/>
        </w:rPr>
        <w:t>HUD’s analysis</w:t>
      </w:r>
      <w:r w:rsidR="006F5263" w:rsidRPr="003B19D5">
        <w:rPr>
          <w:sz w:val="22"/>
          <w:szCs w:val="22"/>
        </w:rPr>
        <w:t xml:space="preserve">, </w:t>
      </w:r>
      <w:r w:rsidR="0036434C">
        <w:rPr>
          <w:sz w:val="22"/>
          <w:szCs w:val="22"/>
        </w:rPr>
        <w:t xml:space="preserve">it </w:t>
      </w:r>
      <w:r w:rsidR="006F5263" w:rsidRPr="003B19D5">
        <w:rPr>
          <w:sz w:val="22"/>
          <w:szCs w:val="22"/>
        </w:rPr>
        <w:t>would e</w:t>
      </w:r>
      <w:r w:rsidR="003B19D5" w:rsidRPr="003B19D5">
        <w:rPr>
          <w:sz w:val="22"/>
          <w:szCs w:val="22"/>
        </w:rPr>
        <w:t>vict</w:t>
      </w:r>
      <w:r w:rsidR="006F5263" w:rsidRPr="003B19D5">
        <w:rPr>
          <w:sz w:val="22"/>
          <w:szCs w:val="22"/>
        </w:rPr>
        <w:t xml:space="preserve"> 32,000 households</w:t>
      </w:r>
      <w:r w:rsidR="003B19D5" w:rsidRPr="003B19D5">
        <w:rPr>
          <w:sz w:val="22"/>
          <w:szCs w:val="22"/>
        </w:rPr>
        <w:t xml:space="preserve"> from their subsidized home, amounting</w:t>
      </w:r>
      <w:r w:rsidR="006F5263" w:rsidRPr="003B19D5">
        <w:rPr>
          <w:sz w:val="22"/>
          <w:szCs w:val="22"/>
        </w:rPr>
        <w:t xml:space="preserve"> to 108,000 people and 55,000 children </w:t>
      </w:r>
      <w:r w:rsidR="00272DFF">
        <w:rPr>
          <w:sz w:val="22"/>
          <w:szCs w:val="22"/>
        </w:rPr>
        <w:t>(HUD, 2019)</w:t>
      </w:r>
      <w:r w:rsidR="0036434C">
        <w:rPr>
          <w:sz w:val="22"/>
          <w:szCs w:val="22"/>
        </w:rPr>
        <w:t xml:space="preserve">. </w:t>
      </w:r>
      <w:r w:rsidR="003B19D5" w:rsidRPr="003B19D5">
        <w:rPr>
          <w:sz w:val="22"/>
          <w:szCs w:val="22"/>
        </w:rPr>
        <w:t xml:space="preserve">Though the policy still remains a </w:t>
      </w:r>
      <w:hyperlink r:id="rId8" w:history="1">
        <w:r w:rsidR="003B19D5" w:rsidRPr="0036434C">
          <w:rPr>
            <w:rStyle w:val="Hyperlink"/>
            <w:sz w:val="22"/>
            <w:szCs w:val="22"/>
          </w:rPr>
          <w:t>proposed rule in the Federal Register</w:t>
        </w:r>
      </w:hyperlink>
      <w:r w:rsidR="003B19D5" w:rsidRPr="003B19D5">
        <w:rPr>
          <w:sz w:val="22"/>
          <w:szCs w:val="22"/>
        </w:rPr>
        <w:t xml:space="preserve">, it signals that immigrant </w:t>
      </w:r>
      <w:r w:rsidR="006F5263" w:rsidRPr="003B19D5">
        <w:rPr>
          <w:sz w:val="22"/>
          <w:szCs w:val="22"/>
        </w:rPr>
        <w:t xml:space="preserve">families are facing a growing risk of being ejected from </w:t>
      </w:r>
      <w:r w:rsidR="00A003CE">
        <w:rPr>
          <w:sz w:val="22"/>
          <w:szCs w:val="22"/>
        </w:rPr>
        <w:t>federal housing assistance</w:t>
      </w:r>
      <w:bookmarkStart w:id="0" w:name="_GoBack"/>
      <w:bookmarkEnd w:id="0"/>
      <w:r w:rsidR="006F5263" w:rsidRPr="003B19D5">
        <w:rPr>
          <w:sz w:val="22"/>
          <w:szCs w:val="22"/>
        </w:rPr>
        <w:t xml:space="preserve"> and permanently losing future eligibility. </w:t>
      </w:r>
    </w:p>
    <w:p w14:paraId="6297D62E" w14:textId="3CFD18B4" w:rsidR="00D849BA" w:rsidRDefault="00D849BA" w:rsidP="00813FE0">
      <w:pPr>
        <w:rPr>
          <w:rFonts w:ascii="Calibri" w:eastAsia="Times New Roman" w:hAnsi="Calibri" w:cs="Calibri"/>
          <w:color w:val="000000"/>
          <w:sz w:val="22"/>
          <w:szCs w:val="22"/>
        </w:rPr>
      </w:pPr>
    </w:p>
    <w:p w14:paraId="447AD7A2" w14:textId="33EE5294" w:rsidR="00312A56" w:rsidRPr="0036434C" w:rsidRDefault="00A32DC6" w:rsidP="00813FE0">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But discrimination against immigrants and people of color is not a novel concept in the history of </w:t>
      </w:r>
      <w:r w:rsidR="002C51D4">
        <w:rPr>
          <w:rFonts w:ascii="Calibri" w:eastAsia="Times New Roman" w:hAnsi="Calibri" w:cs="Calibri"/>
          <w:color w:val="000000"/>
          <w:sz w:val="22"/>
          <w:szCs w:val="22"/>
        </w:rPr>
        <w:t>federal housing assistance</w:t>
      </w:r>
      <w:r>
        <w:rPr>
          <w:rFonts w:ascii="Calibri" w:eastAsia="Times New Roman" w:hAnsi="Calibri" w:cs="Calibri"/>
          <w:color w:val="000000"/>
          <w:sz w:val="22"/>
          <w:szCs w:val="22"/>
        </w:rPr>
        <w:t xml:space="preserve">. </w:t>
      </w:r>
      <w:r w:rsidRPr="003B19D5">
        <w:rPr>
          <w:rFonts w:ascii="Calibri" w:eastAsia="Times New Roman" w:hAnsi="Calibri" w:cs="Calibri"/>
          <w:color w:val="000000"/>
          <w:sz w:val="22"/>
          <w:szCs w:val="22"/>
        </w:rPr>
        <w:t xml:space="preserve">Since the 1930s, the federal government has provided various forms of housing assistance to low-income families to increase the affordability of housing, </w:t>
      </w:r>
      <w:r w:rsidR="002C51D4">
        <w:rPr>
          <w:rFonts w:ascii="Calibri" w:eastAsia="Times New Roman" w:hAnsi="Calibri" w:cs="Calibri"/>
          <w:color w:val="000000"/>
          <w:sz w:val="22"/>
          <w:szCs w:val="22"/>
        </w:rPr>
        <w:t xml:space="preserve">offering public housing and </w:t>
      </w:r>
      <w:r w:rsidRPr="003B19D5">
        <w:rPr>
          <w:rFonts w:ascii="Calibri" w:eastAsia="Times New Roman" w:hAnsi="Calibri" w:cs="Calibri"/>
          <w:color w:val="000000"/>
          <w:sz w:val="22"/>
          <w:szCs w:val="22"/>
        </w:rPr>
        <w:t>homeownership and rental housing assistance.</w:t>
      </w:r>
      <w:r w:rsidR="002C51D4">
        <w:rPr>
          <w:rFonts w:ascii="Calibri" w:eastAsia="Times New Roman" w:hAnsi="Calibri" w:cs="Calibri"/>
          <w:color w:val="000000"/>
          <w:sz w:val="22"/>
          <w:szCs w:val="22"/>
        </w:rPr>
        <w:t xml:space="preserve"> In public housing, </w:t>
      </w:r>
      <w:r w:rsidR="002C51D4" w:rsidRPr="00813FE0">
        <w:rPr>
          <w:rFonts w:ascii="Calibri" w:eastAsia="Times New Roman" w:hAnsi="Calibri" w:cs="Calibri"/>
          <w:color w:val="000000"/>
          <w:sz w:val="22"/>
          <w:szCs w:val="22"/>
        </w:rPr>
        <w:t xml:space="preserve">low-income tenants </w:t>
      </w:r>
      <w:r w:rsidR="002C51D4">
        <w:rPr>
          <w:rFonts w:ascii="Calibri" w:eastAsia="Times New Roman" w:hAnsi="Calibri" w:cs="Calibri"/>
          <w:color w:val="000000"/>
          <w:sz w:val="22"/>
          <w:szCs w:val="22"/>
        </w:rPr>
        <w:t>reside in housing</w:t>
      </w:r>
      <w:r w:rsidR="002C51D4" w:rsidRPr="00813FE0">
        <w:rPr>
          <w:rFonts w:ascii="Calibri" w:eastAsia="Times New Roman" w:hAnsi="Calibri" w:cs="Calibri"/>
          <w:color w:val="000000"/>
          <w:sz w:val="22"/>
          <w:szCs w:val="22"/>
        </w:rPr>
        <w:t xml:space="preserve"> developments owned and managed by local public housing agencies </w:t>
      </w:r>
      <w:r w:rsidR="002C51D4">
        <w:rPr>
          <w:rFonts w:ascii="Calibri" w:eastAsia="Times New Roman" w:hAnsi="Calibri" w:cs="Calibri"/>
          <w:color w:val="000000"/>
          <w:sz w:val="22"/>
          <w:szCs w:val="22"/>
        </w:rPr>
        <w:t>and pay a</w:t>
      </w:r>
      <w:r w:rsidR="002C51D4" w:rsidRPr="00813FE0">
        <w:rPr>
          <w:rFonts w:ascii="Calibri" w:eastAsia="Times New Roman" w:hAnsi="Calibri" w:cs="Calibri"/>
          <w:color w:val="000000"/>
          <w:sz w:val="22"/>
          <w:szCs w:val="22"/>
        </w:rPr>
        <w:t xml:space="preserve"> subsidized rental payment.</w:t>
      </w:r>
      <w:r w:rsidR="002C51D4">
        <w:rPr>
          <w:rFonts w:ascii="Calibri" w:eastAsia="Times New Roman" w:hAnsi="Calibri" w:cs="Calibri"/>
          <w:color w:val="000000"/>
          <w:sz w:val="22"/>
          <w:szCs w:val="22"/>
        </w:rPr>
        <w:t xml:space="preserve"> </w:t>
      </w:r>
      <w:r w:rsidR="0036434C">
        <w:rPr>
          <w:rFonts w:ascii="Calibri" w:eastAsia="Times New Roman" w:hAnsi="Calibri" w:cs="Calibri"/>
          <w:color w:val="000000"/>
          <w:sz w:val="22"/>
          <w:szCs w:val="22"/>
        </w:rPr>
        <w:t>In project-based rental assistance, HUD enters subsidy contracts with private developers to offer privately-</w:t>
      </w:r>
      <w:r w:rsidR="0036434C" w:rsidRPr="00813FE0">
        <w:rPr>
          <w:rFonts w:ascii="Calibri" w:eastAsia="Times New Roman" w:hAnsi="Calibri" w:cs="Calibri"/>
          <w:color w:val="000000"/>
          <w:sz w:val="22"/>
          <w:szCs w:val="22"/>
        </w:rPr>
        <w:t>owned subsidized housing for low-income families</w:t>
      </w:r>
      <w:r w:rsidR="0036434C">
        <w:rPr>
          <w:rFonts w:ascii="Calibri" w:eastAsia="Times New Roman" w:hAnsi="Calibri" w:cs="Calibri"/>
          <w:color w:val="000000"/>
          <w:sz w:val="22"/>
          <w:szCs w:val="22"/>
        </w:rPr>
        <w:t xml:space="preserve">. </w:t>
      </w:r>
      <w:r w:rsidR="002C51D4">
        <w:rPr>
          <w:rFonts w:ascii="Calibri" w:eastAsia="Times New Roman" w:hAnsi="Calibri" w:cs="Calibri"/>
          <w:color w:val="000000"/>
          <w:sz w:val="22"/>
          <w:szCs w:val="22"/>
        </w:rPr>
        <w:t>However, governments and real estate agents p</w:t>
      </w:r>
      <w:r>
        <w:rPr>
          <w:rFonts w:ascii="Calibri" w:eastAsia="Times New Roman" w:hAnsi="Calibri" w:cs="Calibri"/>
          <w:color w:val="000000"/>
          <w:sz w:val="22"/>
          <w:szCs w:val="22"/>
        </w:rPr>
        <w:t xml:space="preserve">romoted racial segregation through exclusionary and discriminatory housing policies, </w:t>
      </w:r>
      <w:r w:rsidR="002C51D4">
        <w:rPr>
          <w:rFonts w:ascii="Calibri" w:eastAsia="Times New Roman" w:hAnsi="Calibri" w:cs="Calibri"/>
          <w:color w:val="000000"/>
          <w:sz w:val="22"/>
          <w:szCs w:val="22"/>
        </w:rPr>
        <w:t xml:space="preserve">imposing racial restrictions on residences, engaging in redlining, and devaluing property based on the racial composition of residents. This legacy of state-sponsored racial segregation continues to influence the racial dynamics of cities and </w:t>
      </w:r>
      <w:r w:rsidR="002C51D4">
        <w:rPr>
          <w:rFonts w:ascii="Calibri" w:eastAsia="Times New Roman" w:hAnsi="Calibri" w:cs="Calibri"/>
          <w:sz w:val="22"/>
          <w:szCs w:val="22"/>
        </w:rPr>
        <w:t>p</w:t>
      </w:r>
      <w:r w:rsidR="00312A56">
        <w:rPr>
          <w:rFonts w:ascii="Calibri" w:eastAsia="Times New Roman" w:hAnsi="Calibri" w:cs="Calibri"/>
          <w:sz w:val="22"/>
          <w:szCs w:val="22"/>
        </w:rPr>
        <w:t>ublic housing</w:t>
      </w:r>
      <w:r w:rsidR="002C51D4">
        <w:rPr>
          <w:rFonts w:ascii="Calibri" w:eastAsia="Times New Roman" w:hAnsi="Calibri" w:cs="Calibri"/>
          <w:sz w:val="22"/>
          <w:szCs w:val="22"/>
        </w:rPr>
        <w:t xml:space="preserve">, which continues to be </w:t>
      </w:r>
      <w:r w:rsidR="00312A56">
        <w:rPr>
          <w:rFonts w:ascii="Calibri" w:eastAsia="Times New Roman" w:hAnsi="Calibri" w:cs="Calibri"/>
          <w:sz w:val="22"/>
          <w:szCs w:val="22"/>
        </w:rPr>
        <w:t>one of the largest federal housing programs</w:t>
      </w:r>
      <w:r w:rsidR="002C51D4">
        <w:rPr>
          <w:rFonts w:ascii="Calibri" w:eastAsia="Times New Roman" w:hAnsi="Calibri" w:cs="Calibri"/>
          <w:sz w:val="22"/>
          <w:szCs w:val="22"/>
        </w:rPr>
        <w:t xml:space="preserve"> and houses </w:t>
      </w:r>
      <w:r w:rsidR="00312A56">
        <w:rPr>
          <w:rFonts w:ascii="Calibri" w:eastAsia="Times New Roman" w:hAnsi="Calibri" w:cs="Calibri"/>
          <w:sz w:val="22"/>
          <w:szCs w:val="22"/>
        </w:rPr>
        <w:t xml:space="preserve">over </w:t>
      </w:r>
      <w:r w:rsidR="00312A56" w:rsidRPr="00813FE0">
        <w:rPr>
          <w:rFonts w:ascii="Calibri" w:eastAsia="Times New Roman" w:hAnsi="Calibri" w:cs="Calibri"/>
          <w:color w:val="000000"/>
          <w:sz w:val="22"/>
          <w:szCs w:val="22"/>
        </w:rPr>
        <w:t xml:space="preserve">950,000 households </w:t>
      </w:r>
      <w:r w:rsidR="00312A56">
        <w:rPr>
          <w:rFonts w:ascii="Calibri" w:eastAsia="Times New Roman" w:hAnsi="Calibri" w:cs="Calibri"/>
          <w:color w:val="000000"/>
          <w:sz w:val="22"/>
          <w:szCs w:val="22"/>
        </w:rPr>
        <w:t>(</w:t>
      </w:r>
      <w:r w:rsidR="00312A56" w:rsidRPr="00813FE0">
        <w:rPr>
          <w:rFonts w:ascii="Calibri" w:eastAsia="Times New Roman" w:hAnsi="Calibri" w:cs="Calibri"/>
          <w:color w:val="000000"/>
          <w:sz w:val="22"/>
          <w:szCs w:val="22"/>
        </w:rPr>
        <w:t>Center on Budget and Policy Priorities, 2019</w:t>
      </w:r>
      <w:r w:rsidR="00312A56">
        <w:rPr>
          <w:rFonts w:ascii="Calibri" w:eastAsia="Times New Roman" w:hAnsi="Calibri" w:cs="Calibri"/>
          <w:color w:val="000000"/>
          <w:sz w:val="22"/>
          <w:szCs w:val="22"/>
        </w:rPr>
        <w:t xml:space="preserve">). </w:t>
      </w:r>
    </w:p>
    <w:p w14:paraId="50DECA5C" w14:textId="77777777" w:rsidR="00312A56" w:rsidRDefault="00312A56" w:rsidP="00813FE0">
      <w:pPr>
        <w:rPr>
          <w:rFonts w:ascii="Calibri" w:eastAsia="Times New Roman" w:hAnsi="Calibri" w:cs="Calibri"/>
          <w:color w:val="000000"/>
          <w:sz w:val="22"/>
          <w:szCs w:val="22"/>
        </w:rPr>
      </w:pPr>
    </w:p>
    <w:p w14:paraId="10334BA8" w14:textId="0C2C0B8D" w:rsidR="00312A56" w:rsidRPr="00813FE0" w:rsidRDefault="00312A56" w:rsidP="00813FE0">
      <w:pPr>
        <w:rPr>
          <w:rFonts w:ascii="Calibri" w:eastAsia="Times New Roman" w:hAnsi="Calibri" w:cs="Calibri"/>
          <w:sz w:val="22"/>
          <w:szCs w:val="22"/>
        </w:rPr>
      </w:pPr>
      <w:r>
        <w:rPr>
          <w:rFonts w:ascii="Calibri" w:eastAsia="Times New Roman" w:hAnsi="Calibri" w:cs="Calibri"/>
          <w:sz w:val="22"/>
          <w:szCs w:val="22"/>
        </w:rPr>
        <w:t xml:space="preserve">Using data from the 2017 American Housing Survey, which is sponsored by HUD and conducted by the Census Bureau, we conduct an analysis of </w:t>
      </w:r>
      <w:r w:rsidR="002C51D4">
        <w:rPr>
          <w:rFonts w:ascii="Calibri" w:eastAsia="Times New Roman" w:hAnsi="Calibri" w:cs="Calibri"/>
          <w:sz w:val="22"/>
          <w:szCs w:val="22"/>
        </w:rPr>
        <w:t xml:space="preserve">households in </w:t>
      </w:r>
      <w:r w:rsidR="0036434C">
        <w:rPr>
          <w:rFonts w:ascii="Calibri" w:eastAsia="Times New Roman" w:hAnsi="Calibri" w:cs="Calibri"/>
          <w:sz w:val="22"/>
          <w:szCs w:val="22"/>
        </w:rPr>
        <w:t>“brick-and-mortar” housing aid, or public housing and project-based assistance,</w:t>
      </w:r>
      <w:r w:rsidR="002C51D4">
        <w:rPr>
          <w:rFonts w:ascii="Calibri" w:eastAsia="Times New Roman" w:hAnsi="Calibri" w:cs="Calibri"/>
          <w:sz w:val="22"/>
          <w:szCs w:val="22"/>
        </w:rPr>
        <w:t xml:space="preserve"> by a variety of demographic factors</w:t>
      </w:r>
      <w:r w:rsidR="0036434C">
        <w:rPr>
          <w:rFonts w:ascii="Calibri" w:eastAsia="Times New Roman" w:hAnsi="Calibri" w:cs="Calibri"/>
          <w:sz w:val="22"/>
          <w:szCs w:val="22"/>
        </w:rPr>
        <w:t>.</w:t>
      </w:r>
    </w:p>
    <w:p w14:paraId="456A16F1" w14:textId="77777777" w:rsidR="002C51D4" w:rsidRDefault="002C51D4" w:rsidP="00902FAC">
      <w:pPr>
        <w:pStyle w:val="NoSpacing"/>
        <w:rPr>
          <w:rFonts w:ascii="Calibri" w:hAnsi="Calibri" w:cs="Calibri"/>
          <w:b/>
          <w:sz w:val="22"/>
          <w:szCs w:val="22"/>
        </w:rPr>
      </w:pPr>
    </w:p>
    <w:p w14:paraId="56CCFE26" w14:textId="553EE9A8" w:rsidR="00902FAC" w:rsidRPr="00B301CC" w:rsidRDefault="00902FAC" w:rsidP="00902FAC">
      <w:pPr>
        <w:pStyle w:val="NoSpacing"/>
        <w:rPr>
          <w:sz w:val="22"/>
          <w:szCs w:val="22"/>
        </w:rPr>
      </w:pPr>
      <w:r w:rsidRPr="00B301CC">
        <w:rPr>
          <w:sz w:val="22"/>
          <w:szCs w:val="22"/>
        </w:rPr>
        <w:t xml:space="preserve">Black or African American households have the greatest percentage in public housing, </w:t>
      </w:r>
      <w:r w:rsidR="002C51D4" w:rsidRPr="00B301CC">
        <w:rPr>
          <w:sz w:val="22"/>
          <w:szCs w:val="22"/>
        </w:rPr>
        <w:t>with 6.4% (± 0.6)</w:t>
      </w:r>
      <w:r w:rsidR="002C51D4">
        <w:rPr>
          <w:sz w:val="22"/>
          <w:szCs w:val="22"/>
        </w:rPr>
        <w:t xml:space="preserve"> of households in public housing, </w:t>
      </w:r>
      <w:r w:rsidRPr="00B301CC">
        <w:rPr>
          <w:sz w:val="22"/>
          <w:szCs w:val="22"/>
        </w:rPr>
        <w:t>and White alone households have the smallest percentage</w:t>
      </w:r>
      <w:r w:rsidR="002C51D4">
        <w:rPr>
          <w:sz w:val="22"/>
          <w:szCs w:val="22"/>
        </w:rPr>
        <w:t xml:space="preserve"> in public housing</w:t>
      </w:r>
      <w:r w:rsidRPr="00B301CC">
        <w:rPr>
          <w:sz w:val="22"/>
          <w:szCs w:val="22"/>
        </w:rPr>
        <w:t>,</w:t>
      </w:r>
      <w:r w:rsidR="002C51D4">
        <w:rPr>
          <w:sz w:val="22"/>
          <w:szCs w:val="22"/>
        </w:rPr>
        <w:t xml:space="preserve"> at</w:t>
      </w:r>
      <w:r w:rsidRPr="00B301CC">
        <w:rPr>
          <w:sz w:val="22"/>
          <w:szCs w:val="22"/>
        </w:rPr>
        <w:t xml:space="preserve"> 1.1% (± 0.1)</w:t>
      </w:r>
      <w:r w:rsidR="002C51D4">
        <w:rPr>
          <w:sz w:val="22"/>
          <w:szCs w:val="22"/>
        </w:rPr>
        <w:t xml:space="preserve">. As expected, racial minority and Hispanic or Latinx households are much more likely to be in public housing than While alone households. </w:t>
      </w:r>
      <w:r w:rsidR="00E72787">
        <w:rPr>
          <w:sz w:val="22"/>
          <w:szCs w:val="22"/>
        </w:rPr>
        <w:t>Additionally, three times as many female</w:t>
      </w:r>
      <w:r w:rsidR="00BE7013" w:rsidRPr="00B301CC">
        <w:rPr>
          <w:sz w:val="22"/>
          <w:szCs w:val="22"/>
        </w:rPr>
        <w:t>-</w:t>
      </w:r>
      <w:r w:rsidR="00BE7013" w:rsidRPr="00B301CC">
        <w:rPr>
          <w:sz w:val="22"/>
          <w:szCs w:val="22"/>
        </w:rPr>
        <w:lastRenderedPageBreak/>
        <w:t>headed households than male-headed households rely on public housing,</w:t>
      </w:r>
      <w:r w:rsidR="00E72787">
        <w:rPr>
          <w:sz w:val="22"/>
          <w:szCs w:val="22"/>
        </w:rPr>
        <w:t xml:space="preserve"> around 3%</w:t>
      </w:r>
      <w:r w:rsidR="00BE7013" w:rsidRPr="00B301CC">
        <w:rPr>
          <w:sz w:val="22"/>
          <w:szCs w:val="22"/>
        </w:rPr>
        <w:t xml:space="preserve"> as compared to </w:t>
      </w:r>
      <w:r w:rsidR="00E72787">
        <w:rPr>
          <w:sz w:val="22"/>
          <w:szCs w:val="22"/>
        </w:rPr>
        <w:t>1%.</w:t>
      </w:r>
      <w:r w:rsidR="00BE7013" w:rsidRPr="00B301CC">
        <w:rPr>
          <w:sz w:val="22"/>
          <w:szCs w:val="22"/>
        </w:rPr>
        <w:t xml:space="preserve"> </w:t>
      </w:r>
      <w:r w:rsidR="0036434C">
        <w:rPr>
          <w:sz w:val="22"/>
          <w:szCs w:val="22"/>
        </w:rPr>
        <w:t>Higher</w:t>
      </w:r>
      <w:r w:rsidR="00BE7013" w:rsidRPr="00B301CC">
        <w:rPr>
          <w:sz w:val="22"/>
          <w:szCs w:val="22"/>
        </w:rPr>
        <w:t xml:space="preserve"> rates of poverty among women than among men, as well as occupational segregation</w:t>
      </w:r>
      <w:r w:rsidR="0036434C">
        <w:rPr>
          <w:sz w:val="22"/>
          <w:szCs w:val="22"/>
        </w:rPr>
        <w:t xml:space="preserve"> </w:t>
      </w:r>
      <w:r w:rsidR="00BE7013" w:rsidRPr="00B301CC">
        <w:rPr>
          <w:sz w:val="22"/>
          <w:szCs w:val="22"/>
        </w:rPr>
        <w:t xml:space="preserve">and housing discrimination </w:t>
      </w:r>
      <w:r w:rsidR="0036434C">
        <w:rPr>
          <w:sz w:val="22"/>
          <w:szCs w:val="22"/>
        </w:rPr>
        <w:t xml:space="preserve">may drive these trends </w:t>
      </w:r>
      <w:r w:rsidR="00AD0408">
        <w:rPr>
          <w:sz w:val="22"/>
          <w:szCs w:val="22"/>
        </w:rPr>
        <w:t>(</w:t>
      </w:r>
      <w:proofErr w:type="spellStart"/>
      <w:proofErr w:type="gramStart"/>
      <w:r w:rsidR="00272DFF">
        <w:rPr>
          <w:sz w:val="22"/>
          <w:szCs w:val="22"/>
        </w:rPr>
        <w:t>Re:Gender</w:t>
      </w:r>
      <w:proofErr w:type="spellEnd"/>
      <w:proofErr w:type="gramEnd"/>
      <w:r w:rsidR="00272DFF">
        <w:rPr>
          <w:sz w:val="22"/>
          <w:szCs w:val="22"/>
        </w:rPr>
        <w:t>, 2016</w:t>
      </w:r>
      <w:r w:rsidR="0036434C">
        <w:rPr>
          <w:sz w:val="22"/>
          <w:szCs w:val="22"/>
        </w:rPr>
        <w:t>)</w:t>
      </w:r>
      <w:r w:rsidR="002C51D4">
        <w:rPr>
          <w:sz w:val="22"/>
          <w:szCs w:val="22"/>
        </w:rPr>
        <w:t>.</w:t>
      </w:r>
      <w:r w:rsidR="008E75AD">
        <w:rPr>
          <w:sz w:val="22"/>
          <w:szCs w:val="22"/>
        </w:rPr>
        <w:t xml:space="preserve"> While </w:t>
      </w:r>
      <w:r w:rsidR="00BE7013" w:rsidRPr="00B301CC">
        <w:rPr>
          <w:sz w:val="22"/>
          <w:szCs w:val="22"/>
        </w:rPr>
        <w:t xml:space="preserve">White </w:t>
      </w:r>
      <w:r w:rsidR="0036434C">
        <w:rPr>
          <w:sz w:val="22"/>
          <w:szCs w:val="22"/>
        </w:rPr>
        <w:t xml:space="preserve">alone </w:t>
      </w:r>
      <w:r w:rsidR="00BE7013" w:rsidRPr="00B301CC">
        <w:rPr>
          <w:sz w:val="22"/>
          <w:szCs w:val="22"/>
        </w:rPr>
        <w:t xml:space="preserve">households </w:t>
      </w:r>
      <w:r w:rsidR="0036434C">
        <w:rPr>
          <w:sz w:val="22"/>
          <w:szCs w:val="22"/>
        </w:rPr>
        <w:t>headed by men</w:t>
      </w:r>
      <w:r w:rsidR="00BE7013" w:rsidRPr="00B301CC">
        <w:rPr>
          <w:sz w:val="22"/>
          <w:szCs w:val="22"/>
        </w:rPr>
        <w:t xml:space="preserve"> are the least likely to be in public housing, </w:t>
      </w:r>
      <w:r w:rsidR="00E72787" w:rsidRPr="00B301CC">
        <w:rPr>
          <w:sz w:val="22"/>
          <w:szCs w:val="22"/>
        </w:rPr>
        <w:t xml:space="preserve">Black or African American </w:t>
      </w:r>
      <w:r w:rsidR="00E72787">
        <w:rPr>
          <w:sz w:val="22"/>
          <w:szCs w:val="22"/>
        </w:rPr>
        <w:t>h</w:t>
      </w:r>
      <w:r w:rsidR="00E72787" w:rsidRPr="00B301CC">
        <w:rPr>
          <w:sz w:val="22"/>
          <w:szCs w:val="22"/>
        </w:rPr>
        <w:t>ouseholds</w:t>
      </w:r>
      <w:r w:rsidR="00E72787">
        <w:rPr>
          <w:sz w:val="22"/>
          <w:szCs w:val="22"/>
        </w:rPr>
        <w:t xml:space="preserve"> headed by</w:t>
      </w:r>
      <w:r w:rsidR="00E72787" w:rsidRPr="00B301CC">
        <w:rPr>
          <w:sz w:val="22"/>
          <w:szCs w:val="22"/>
        </w:rPr>
        <w:t xml:space="preserve"> women are the most likely to be in public housing</w:t>
      </w:r>
      <w:r w:rsidR="00DE2330">
        <w:rPr>
          <w:sz w:val="22"/>
          <w:szCs w:val="22"/>
        </w:rPr>
        <w:t xml:space="preserve">, </w:t>
      </w:r>
      <w:r w:rsidR="00E72787">
        <w:rPr>
          <w:sz w:val="22"/>
          <w:szCs w:val="22"/>
        </w:rPr>
        <w:t>over 10 times more likely than White male-headed households</w:t>
      </w:r>
      <w:r w:rsidR="00DE2330">
        <w:rPr>
          <w:sz w:val="22"/>
          <w:szCs w:val="22"/>
        </w:rPr>
        <w:t xml:space="preserve">. </w:t>
      </w:r>
      <w:r w:rsidR="00BE7013" w:rsidRPr="00B301CC">
        <w:rPr>
          <w:sz w:val="22"/>
          <w:szCs w:val="22"/>
        </w:rPr>
        <w:t xml:space="preserve">Households that are AIAN alone, Hispanic of any race, </w:t>
      </w:r>
      <w:r w:rsidR="008E75AD">
        <w:rPr>
          <w:sz w:val="22"/>
          <w:szCs w:val="22"/>
        </w:rPr>
        <w:t xml:space="preserve">and </w:t>
      </w:r>
      <w:r w:rsidR="00BE7013" w:rsidRPr="00B301CC">
        <w:rPr>
          <w:sz w:val="22"/>
          <w:szCs w:val="22"/>
        </w:rPr>
        <w:t>Asian alone</w:t>
      </w:r>
      <w:r w:rsidR="008E75AD">
        <w:rPr>
          <w:sz w:val="22"/>
          <w:szCs w:val="22"/>
        </w:rPr>
        <w:t>,</w:t>
      </w:r>
      <w:r w:rsidR="00BE7013" w:rsidRPr="00B301CC">
        <w:rPr>
          <w:sz w:val="22"/>
          <w:szCs w:val="22"/>
        </w:rPr>
        <w:t xml:space="preserve"> and with either female or male householders</w:t>
      </w:r>
      <w:r w:rsidR="008E75AD">
        <w:rPr>
          <w:sz w:val="22"/>
          <w:szCs w:val="22"/>
        </w:rPr>
        <w:t>,</w:t>
      </w:r>
      <w:r w:rsidR="00BE7013" w:rsidRPr="00B301CC">
        <w:rPr>
          <w:sz w:val="22"/>
          <w:szCs w:val="22"/>
        </w:rPr>
        <w:t xml:space="preserve"> are </w:t>
      </w:r>
      <w:r w:rsidR="00DE2330">
        <w:rPr>
          <w:sz w:val="22"/>
          <w:szCs w:val="22"/>
        </w:rPr>
        <w:t>much</w:t>
      </w:r>
      <w:r w:rsidR="00BE7013" w:rsidRPr="00B301CC">
        <w:rPr>
          <w:sz w:val="22"/>
          <w:szCs w:val="22"/>
        </w:rPr>
        <w:t xml:space="preserve"> more likely to be in public housing than are </w:t>
      </w:r>
      <w:r w:rsidR="008E75AD">
        <w:rPr>
          <w:sz w:val="22"/>
          <w:szCs w:val="22"/>
        </w:rPr>
        <w:t>W</w:t>
      </w:r>
      <w:r w:rsidR="00BE7013" w:rsidRPr="00B301CC">
        <w:rPr>
          <w:sz w:val="22"/>
          <w:szCs w:val="22"/>
        </w:rPr>
        <w:t>hite alone households with a male householder.</w:t>
      </w:r>
      <w:r w:rsidR="00BE7013" w:rsidRPr="00B301CC">
        <w:rPr>
          <w:rStyle w:val="FootnoteReference"/>
          <w:sz w:val="22"/>
          <w:szCs w:val="22"/>
        </w:rPr>
        <w:footnoteReference w:id="1"/>
      </w:r>
    </w:p>
    <w:p w14:paraId="23B0B80D" w14:textId="3C692016" w:rsidR="00CA3BD2" w:rsidRDefault="00CA3BD2" w:rsidP="00CA3BD2">
      <w:pPr>
        <w:pStyle w:val="NoSpacing"/>
      </w:pPr>
    </w:p>
    <w:p w14:paraId="617062A1" w14:textId="77777777" w:rsidR="0036434C" w:rsidRDefault="0036434C" w:rsidP="0036434C">
      <w:pPr>
        <w:pStyle w:val="NoSpacing"/>
        <w:jc w:val="center"/>
      </w:pPr>
      <w:r>
        <w:rPr>
          <w:noProof/>
        </w:rPr>
        <w:drawing>
          <wp:inline distT="0" distB="0" distL="0" distR="0" wp14:anchorId="0B1F228F" wp14:editId="6B34E206">
            <wp:extent cx="5948558"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Race_scaled.png"/>
                    <pic:cNvPicPr/>
                  </pic:nvPicPr>
                  <pic:blipFill>
                    <a:blip r:embed="rId9">
                      <a:extLst>
                        <a:ext uri="{28A0092B-C50C-407E-A947-70E740481C1C}">
                          <a14:useLocalDpi xmlns:a14="http://schemas.microsoft.com/office/drawing/2010/main" val="0"/>
                        </a:ext>
                      </a:extLst>
                    </a:blip>
                    <a:stretch>
                      <a:fillRect/>
                    </a:stretch>
                  </pic:blipFill>
                  <pic:spPr>
                    <a:xfrm>
                      <a:off x="0" y="0"/>
                      <a:ext cx="5948558" cy="4572000"/>
                    </a:xfrm>
                    <a:prstGeom prst="rect">
                      <a:avLst/>
                    </a:prstGeom>
                  </pic:spPr>
                </pic:pic>
              </a:graphicData>
            </a:graphic>
          </wp:inline>
        </w:drawing>
      </w:r>
    </w:p>
    <w:p w14:paraId="2800B619" w14:textId="7EFD95FF" w:rsidR="000760C5" w:rsidRDefault="0036434C" w:rsidP="0036434C">
      <w:pPr>
        <w:pStyle w:val="NoSpacing"/>
        <w:jc w:val="center"/>
      </w:pPr>
      <w:r>
        <w:rPr>
          <w:noProof/>
        </w:rPr>
        <w:lastRenderedPageBreak/>
        <w:drawing>
          <wp:inline distT="0" distB="0" distL="0" distR="0" wp14:anchorId="07808366" wp14:editId="50EB6C8B">
            <wp:extent cx="5948556"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RaceSex_v2sided_scaled.png"/>
                    <pic:cNvPicPr/>
                  </pic:nvPicPr>
                  <pic:blipFill>
                    <a:blip r:embed="rId10">
                      <a:extLst>
                        <a:ext uri="{28A0092B-C50C-407E-A947-70E740481C1C}">
                          <a14:useLocalDpi xmlns:a14="http://schemas.microsoft.com/office/drawing/2010/main" val="0"/>
                        </a:ext>
                      </a:extLst>
                    </a:blip>
                    <a:stretch>
                      <a:fillRect/>
                    </a:stretch>
                  </pic:blipFill>
                  <pic:spPr>
                    <a:xfrm>
                      <a:off x="0" y="0"/>
                      <a:ext cx="5948556" cy="4572000"/>
                    </a:xfrm>
                    <a:prstGeom prst="rect">
                      <a:avLst/>
                    </a:prstGeom>
                  </pic:spPr>
                </pic:pic>
              </a:graphicData>
            </a:graphic>
          </wp:inline>
        </w:drawing>
      </w:r>
    </w:p>
    <w:p w14:paraId="634B6DA8" w14:textId="77777777" w:rsidR="00D849BA" w:rsidRPr="00D849BA" w:rsidRDefault="00D849BA" w:rsidP="00CA3BD2">
      <w:pPr>
        <w:pStyle w:val="NoSpacing"/>
        <w:rPr>
          <w:b/>
        </w:rPr>
      </w:pPr>
    </w:p>
    <w:p w14:paraId="1C4B670A" w14:textId="40081145" w:rsidR="0078010E" w:rsidRPr="00B301CC" w:rsidRDefault="0036434C" w:rsidP="0078010E">
      <w:pPr>
        <w:pStyle w:val="NoSpacing"/>
        <w:rPr>
          <w:sz w:val="22"/>
          <w:szCs w:val="22"/>
        </w:rPr>
      </w:pPr>
      <w:r>
        <w:rPr>
          <w:sz w:val="22"/>
          <w:szCs w:val="22"/>
        </w:rPr>
        <w:t>The e</w:t>
      </w:r>
      <w:r w:rsidR="0078010E" w:rsidRPr="00B301CC">
        <w:rPr>
          <w:sz w:val="22"/>
          <w:szCs w:val="22"/>
        </w:rPr>
        <w:t xml:space="preserve">ducation level of </w:t>
      </w:r>
      <w:r>
        <w:rPr>
          <w:sz w:val="22"/>
          <w:szCs w:val="22"/>
        </w:rPr>
        <w:t xml:space="preserve">the </w:t>
      </w:r>
      <w:r w:rsidR="0078010E" w:rsidRPr="00B301CC">
        <w:rPr>
          <w:sz w:val="22"/>
          <w:szCs w:val="22"/>
        </w:rPr>
        <w:t>householder</w:t>
      </w:r>
      <w:r>
        <w:rPr>
          <w:sz w:val="22"/>
          <w:szCs w:val="22"/>
        </w:rPr>
        <w:t xml:space="preserve"> </w:t>
      </w:r>
      <w:r w:rsidR="0078010E" w:rsidRPr="00B301CC">
        <w:rPr>
          <w:sz w:val="22"/>
          <w:szCs w:val="22"/>
        </w:rPr>
        <w:t>also impacts the likelihood that a household will be in public housing</w:t>
      </w:r>
      <w:r>
        <w:rPr>
          <w:sz w:val="22"/>
          <w:szCs w:val="22"/>
        </w:rPr>
        <w:t xml:space="preserve"> and project-based rental assistance</w:t>
      </w:r>
      <w:r w:rsidR="0078010E" w:rsidRPr="00B301CC">
        <w:rPr>
          <w:sz w:val="22"/>
          <w:szCs w:val="22"/>
        </w:rPr>
        <w:t xml:space="preserve">. </w:t>
      </w:r>
      <w:r w:rsidR="00D11650">
        <w:rPr>
          <w:sz w:val="22"/>
          <w:szCs w:val="22"/>
        </w:rPr>
        <w:t>Our analysis confirms that households with heads that have higher levels of educational attainment are less likely to live in public housing. While</w:t>
      </w:r>
      <w:r w:rsidR="0078010E" w:rsidRPr="00B301CC">
        <w:rPr>
          <w:sz w:val="22"/>
          <w:szCs w:val="22"/>
        </w:rPr>
        <w:t xml:space="preserve"> </w:t>
      </w:r>
      <w:r w:rsidR="00DE2330">
        <w:rPr>
          <w:sz w:val="22"/>
          <w:szCs w:val="22"/>
        </w:rPr>
        <w:t>around 6%</w:t>
      </w:r>
      <w:r>
        <w:rPr>
          <w:sz w:val="22"/>
          <w:szCs w:val="22"/>
        </w:rPr>
        <w:t xml:space="preserve"> </w:t>
      </w:r>
      <w:r w:rsidRPr="00DE2330">
        <w:rPr>
          <w:sz w:val="22"/>
          <w:szCs w:val="22"/>
        </w:rPr>
        <w:t>(± 0.</w:t>
      </w:r>
      <w:r>
        <w:rPr>
          <w:sz w:val="22"/>
          <w:szCs w:val="22"/>
        </w:rPr>
        <w:t>6</w:t>
      </w:r>
      <w:r w:rsidRPr="00DE2330">
        <w:rPr>
          <w:sz w:val="22"/>
          <w:szCs w:val="22"/>
        </w:rPr>
        <w:t>)</w:t>
      </w:r>
      <w:r>
        <w:rPr>
          <w:sz w:val="22"/>
          <w:szCs w:val="22"/>
        </w:rPr>
        <w:t xml:space="preserve"> o</w:t>
      </w:r>
      <w:r w:rsidR="0078010E" w:rsidRPr="00B301CC">
        <w:rPr>
          <w:sz w:val="22"/>
          <w:szCs w:val="22"/>
        </w:rPr>
        <w:t>f households with heads that have less than a high school education</w:t>
      </w:r>
      <w:r w:rsidR="00D11650">
        <w:rPr>
          <w:sz w:val="22"/>
          <w:szCs w:val="22"/>
        </w:rPr>
        <w:t xml:space="preserve"> live</w:t>
      </w:r>
      <w:r w:rsidR="0078010E" w:rsidRPr="00B301CC">
        <w:rPr>
          <w:sz w:val="22"/>
          <w:szCs w:val="22"/>
        </w:rPr>
        <w:t xml:space="preserve"> in public housing</w:t>
      </w:r>
      <w:r w:rsidR="00E72787">
        <w:rPr>
          <w:sz w:val="22"/>
          <w:szCs w:val="22"/>
        </w:rPr>
        <w:t xml:space="preserve">, only 0.4% </w:t>
      </w:r>
      <w:r w:rsidRPr="00DE2330">
        <w:rPr>
          <w:sz w:val="22"/>
          <w:szCs w:val="22"/>
        </w:rPr>
        <w:t>(± 0.</w:t>
      </w:r>
      <w:r>
        <w:rPr>
          <w:sz w:val="22"/>
          <w:szCs w:val="22"/>
        </w:rPr>
        <w:t>1</w:t>
      </w:r>
      <w:r w:rsidRPr="00DE2330">
        <w:rPr>
          <w:sz w:val="22"/>
          <w:szCs w:val="22"/>
        </w:rPr>
        <w:t xml:space="preserve">), </w:t>
      </w:r>
      <w:r w:rsidR="00E72787">
        <w:rPr>
          <w:sz w:val="22"/>
          <w:szCs w:val="22"/>
        </w:rPr>
        <w:t xml:space="preserve">of </w:t>
      </w:r>
      <w:r w:rsidR="00DE2330">
        <w:rPr>
          <w:sz w:val="22"/>
          <w:szCs w:val="22"/>
        </w:rPr>
        <w:t xml:space="preserve">households with heads that have a Bachelor’s degree or higher reside in public housing. </w:t>
      </w:r>
      <w:r w:rsidR="00B301CC" w:rsidRPr="00B301CC">
        <w:rPr>
          <w:sz w:val="22"/>
          <w:szCs w:val="22"/>
        </w:rPr>
        <w:t xml:space="preserve">Even across racial and ethnic groups, householders with below a high school education level are </w:t>
      </w:r>
      <w:r w:rsidR="00DE2330">
        <w:rPr>
          <w:sz w:val="22"/>
          <w:szCs w:val="22"/>
        </w:rPr>
        <w:t xml:space="preserve">much </w:t>
      </w:r>
      <w:r w:rsidR="00B301CC" w:rsidRPr="00B301CC">
        <w:rPr>
          <w:sz w:val="22"/>
          <w:szCs w:val="22"/>
        </w:rPr>
        <w:t>more likely to rely on public housing. While this may be tied to income levels, it may also be a result of differences in literacy in the housing application process.</w:t>
      </w:r>
    </w:p>
    <w:p w14:paraId="63D7EE7C" w14:textId="77777777" w:rsidR="00DE2330" w:rsidRPr="00DE2330" w:rsidRDefault="00DE2330" w:rsidP="00DE2330">
      <w:pPr>
        <w:rPr>
          <w:sz w:val="22"/>
          <w:szCs w:val="22"/>
        </w:rPr>
      </w:pPr>
    </w:p>
    <w:p w14:paraId="34F266F9" w14:textId="77777777" w:rsidR="0036434C" w:rsidRDefault="00DE2330" w:rsidP="0036434C">
      <w:pPr>
        <w:rPr>
          <w:sz w:val="22"/>
          <w:szCs w:val="22"/>
        </w:rPr>
      </w:pPr>
      <w:r>
        <w:rPr>
          <w:sz w:val="22"/>
          <w:szCs w:val="22"/>
        </w:rPr>
        <w:t>We find that h</w:t>
      </w:r>
      <w:r w:rsidR="006F5263" w:rsidRPr="00DE2330">
        <w:rPr>
          <w:sz w:val="22"/>
          <w:szCs w:val="22"/>
        </w:rPr>
        <w:t xml:space="preserve">ouseholds </w:t>
      </w:r>
      <w:r w:rsidR="0036434C">
        <w:rPr>
          <w:sz w:val="22"/>
          <w:szCs w:val="22"/>
        </w:rPr>
        <w:t xml:space="preserve">comprised of members whom are all citizens, </w:t>
      </w:r>
      <w:r w:rsidR="006F5263" w:rsidRPr="00DE2330">
        <w:rPr>
          <w:sz w:val="22"/>
          <w:szCs w:val="22"/>
        </w:rPr>
        <w:t xml:space="preserve">both naturalized and native, are </w:t>
      </w:r>
      <w:r w:rsidR="0036434C">
        <w:rPr>
          <w:sz w:val="22"/>
          <w:szCs w:val="22"/>
        </w:rPr>
        <w:t xml:space="preserve">over </w:t>
      </w:r>
      <w:r>
        <w:rPr>
          <w:sz w:val="22"/>
          <w:szCs w:val="22"/>
        </w:rPr>
        <w:t xml:space="preserve">50% </w:t>
      </w:r>
      <w:r w:rsidR="006F5263" w:rsidRPr="00DE2330">
        <w:rPr>
          <w:sz w:val="22"/>
          <w:szCs w:val="22"/>
        </w:rPr>
        <w:t xml:space="preserve">more likely to </w:t>
      </w:r>
      <w:r w:rsidR="0036434C">
        <w:rPr>
          <w:sz w:val="22"/>
          <w:szCs w:val="22"/>
        </w:rPr>
        <w:t>live in</w:t>
      </w:r>
      <w:r w:rsidR="006F5263" w:rsidRPr="00DE2330">
        <w:rPr>
          <w:sz w:val="22"/>
          <w:szCs w:val="22"/>
        </w:rPr>
        <w:t xml:space="preserve"> public housing than are households with at least one citizen, </w:t>
      </w:r>
      <w:r w:rsidR="0036434C">
        <w:rPr>
          <w:sz w:val="22"/>
          <w:szCs w:val="22"/>
        </w:rPr>
        <w:t xml:space="preserve">but without all citizen members, </w:t>
      </w:r>
      <w:r w:rsidR="006F5263" w:rsidRPr="00DE2330">
        <w:rPr>
          <w:sz w:val="22"/>
          <w:szCs w:val="22"/>
        </w:rPr>
        <w:t>with 2.0% (± 0.1) as compared to 1.</w:t>
      </w:r>
      <w:r w:rsidR="0036434C">
        <w:rPr>
          <w:sz w:val="22"/>
          <w:szCs w:val="22"/>
        </w:rPr>
        <w:t>3</w:t>
      </w:r>
      <w:r w:rsidR="006F5263" w:rsidRPr="00DE2330">
        <w:rPr>
          <w:sz w:val="22"/>
          <w:szCs w:val="22"/>
        </w:rPr>
        <w:t>% (± 0.</w:t>
      </w:r>
      <w:r w:rsidR="0036434C">
        <w:rPr>
          <w:sz w:val="22"/>
          <w:szCs w:val="22"/>
        </w:rPr>
        <w:t>4</w:t>
      </w:r>
      <w:r w:rsidR="006F5263" w:rsidRPr="00DE2330">
        <w:rPr>
          <w:sz w:val="22"/>
          <w:szCs w:val="22"/>
        </w:rPr>
        <w:t>), respectively. However,</w:t>
      </w:r>
      <w:r w:rsidR="0036434C">
        <w:rPr>
          <w:sz w:val="22"/>
          <w:szCs w:val="22"/>
        </w:rPr>
        <w:t xml:space="preserve"> there are a similar </w:t>
      </w:r>
      <w:r w:rsidR="006F5263" w:rsidRPr="00DE2330">
        <w:rPr>
          <w:sz w:val="22"/>
          <w:szCs w:val="22"/>
        </w:rPr>
        <w:t>proportion of households without any citizens in the household and those with at least 1 citizen</w:t>
      </w:r>
      <w:r w:rsidR="0036434C">
        <w:rPr>
          <w:sz w:val="22"/>
          <w:szCs w:val="22"/>
        </w:rPr>
        <w:t xml:space="preserve"> but without all citizen members that live in public housing</w:t>
      </w:r>
      <w:r w:rsidR="006F5263" w:rsidRPr="00DE2330">
        <w:rPr>
          <w:sz w:val="22"/>
          <w:szCs w:val="22"/>
        </w:rPr>
        <w:t xml:space="preserve">. </w:t>
      </w:r>
    </w:p>
    <w:p w14:paraId="7D30E9FF" w14:textId="108B6135" w:rsidR="00D849BA" w:rsidRDefault="00D849BA" w:rsidP="000D13D1">
      <w:pPr>
        <w:pStyle w:val="NoSpacing"/>
      </w:pPr>
    </w:p>
    <w:p w14:paraId="56E6C574" w14:textId="77777777" w:rsidR="00D849BA" w:rsidRDefault="00D849BA" w:rsidP="000D13D1">
      <w:pPr>
        <w:pStyle w:val="NoSpacing"/>
      </w:pPr>
    </w:p>
    <w:p w14:paraId="75B45501" w14:textId="7DD30FCF" w:rsidR="0036434C" w:rsidRDefault="0036434C" w:rsidP="000D13D1">
      <w:pPr>
        <w:pStyle w:val="NoSpacing"/>
      </w:pPr>
      <w:r>
        <w:rPr>
          <w:noProof/>
        </w:rPr>
        <w:lastRenderedPageBreak/>
        <w:drawing>
          <wp:inline distT="0" distB="0" distL="0" distR="0" wp14:anchorId="56D4BAB2" wp14:editId="6ECA55C3">
            <wp:extent cx="5943600" cy="4568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Citz2_scal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inline>
        </w:drawing>
      </w:r>
    </w:p>
    <w:p w14:paraId="4B6D375E" w14:textId="77777777" w:rsidR="0036434C" w:rsidRDefault="0036434C" w:rsidP="0036434C">
      <w:pPr>
        <w:rPr>
          <w:sz w:val="22"/>
          <w:szCs w:val="22"/>
        </w:rPr>
      </w:pPr>
    </w:p>
    <w:p w14:paraId="3D4A0FC7" w14:textId="5D4C1923" w:rsidR="0036434C" w:rsidRPr="0036434C" w:rsidRDefault="0036434C" w:rsidP="0036434C">
      <w:pPr>
        <w:rPr>
          <w:sz w:val="22"/>
          <w:szCs w:val="22"/>
        </w:rPr>
      </w:pPr>
      <w:r w:rsidRPr="00DE2330">
        <w:rPr>
          <w:sz w:val="22"/>
          <w:szCs w:val="22"/>
        </w:rPr>
        <w:t xml:space="preserve">Trends in reliance </w:t>
      </w:r>
      <w:r>
        <w:rPr>
          <w:sz w:val="22"/>
          <w:szCs w:val="22"/>
        </w:rPr>
        <w:t xml:space="preserve">on public housing </w:t>
      </w:r>
      <w:r w:rsidRPr="00DE2330">
        <w:rPr>
          <w:sz w:val="22"/>
          <w:szCs w:val="22"/>
        </w:rPr>
        <w:t xml:space="preserve">by household citizenship status differ slightly by race, with significant differences for </w:t>
      </w:r>
      <w:r>
        <w:rPr>
          <w:sz w:val="22"/>
          <w:szCs w:val="22"/>
        </w:rPr>
        <w:t xml:space="preserve">Asian and Hispanic/Latinx households. Asian and Hispanic/Latinx households in public housing and project-based rental assistance face the largest threat to attacks on immigration and citizenship status. Over a quarter of Asian households and one-fifth of Hispanic/Latinx households in public housing or project-based assistance have at least one member who is not a citizen. Over 16% and almost 5% of Asian and Hispanic/Latinx households in public housing and project-based assistance, respectively, do not have any citizens. </w:t>
      </w:r>
    </w:p>
    <w:p w14:paraId="251276FB" w14:textId="77777777" w:rsidR="0036434C" w:rsidRDefault="0036434C" w:rsidP="000D13D1">
      <w:pPr>
        <w:pStyle w:val="NoSpacing"/>
      </w:pPr>
    </w:p>
    <w:p w14:paraId="3A5C43A2" w14:textId="17821D8C" w:rsidR="004A6C29" w:rsidRPr="004A6C29" w:rsidRDefault="0036434C" w:rsidP="000D13D1">
      <w:pPr>
        <w:pStyle w:val="NoSpacing"/>
      </w:pPr>
      <w:r>
        <w:rPr>
          <w:noProof/>
        </w:rPr>
        <w:lastRenderedPageBreak/>
        <w:drawing>
          <wp:inline distT="0" distB="0" distL="0" distR="0" wp14:anchorId="4AAC13E0" wp14:editId="072841C8">
            <wp:extent cx="594360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RaceCtz2_vDonut_sca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8190"/>
                    </a:xfrm>
                    <a:prstGeom prst="rect">
                      <a:avLst/>
                    </a:prstGeom>
                  </pic:spPr>
                </pic:pic>
              </a:graphicData>
            </a:graphic>
          </wp:inline>
        </w:drawing>
      </w:r>
    </w:p>
    <w:p w14:paraId="3880B1AF" w14:textId="77777777" w:rsidR="00D849BA" w:rsidRDefault="00D849BA" w:rsidP="00613E3B">
      <w:pPr>
        <w:pStyle w:val="NoSpacing"/>
        <w:rPr>
          <w:noProof/>
        </w:rPr>
      </w:pPr>
    </w:p>
    <w:p w14:paraId="3F0653F4" w14:textId="30D636D7" w:rsidR="004A6C29" w:rsidRDefault="004A6C29" w:rsidP="00613E3B">
      <w:pPr>
        <w:pStyle w:val="NoSpacing"/>
        <w:rPr>
          <w:b/>
        </w:rPr>
      </w:pPr>
    </w:p>
    <w:p w14:paraId="2502A768" w14:textId="43C7C338" w:rsidR="00D849BA" w:rsidRPr="004A6C29" w:rsidRDefault="00D849BA" w:rsidP="00D849BA">
      <w:pPr>
        <w:pStyle w:val="NoSpacing"/>
        <w:jc w:val="center"/>
      </w:pPr>
    </w:p>
    <w:p w14:paraId="5DC89836" w14:textId="77777777" w:rsidR="00DB6D95" w:rsidRDefault="00DB6D95">
      <w:r>
        <w:br w:type="page"/>
      </w:r>
    </w:p>
    <w:p w14:paraId="58FFBEA3" w14:textId="32395D9A" w:rsidR="00CA3BD2" w:rsidRDefault="00813FE0">
      <w:r>
        <w:lastRenderedPageBreak/>
        <w:t>Sources</w:t>
      </w:r>
    </w:p>
    <w:p w14:paraId="72540BC7" w14:textId="1D54C822" w:rsidR="00272DFF" w:rsidRDefault="00272DFF" w:rsidP="00272DFF"/>
    <w:p w14:paraId="75645FF9" w14:textId="5E7E38C8" w:rsidR="00272DFF" w:rsidRDefault="00272DFF" w:rsidP="00272DFF">
      <w:r>
        <w:t xml:space="preserve">Affordable </w:t>
      </w:r>
      <w:r>
        <w:t xml:space="preserve">Housing Online. </w:t>
      </w:r>
      <w:r>
        <w:rPr>
          <w:i/>
        </w:rPr>
        <w:t>Housing for eligible noncitizens</w:t>
      </w:r>
      <w:r>
        <w:t xml:space="preserve">. Affordable Housing Online. </w:t>
      </w:r>
      <w:r w:rsidRPr="00272DFF">
        <w:t>https://affordablehousingonlin</w:t>
      </w:r>
      <w:r w:rsidRPr="00272DFF">
        <w:t>e</w:t>
      </w:r>
      <w:r w:rsidRPr="00272DFF">
        <w:t>.com/guide/housing-for-immigrants/eligible-noncitizens</w:t>
      </w:r>
    </w:p>
    <w:p w14:paraId="237FB58B" w14:textId="77777777" w:rsidR="00272DFF" w:rsidRDefault="00272DFF" w:rsidP="00902FAC"/>
    <w:p w14:paraId="744124AB" w14:textId="6F529D9F" w:rsidR="00272DFF" w:rsidRDefault="00272DFF" w:rsidP="00902FAC">
      <w:r w:rsidRPr="00902FAC">
        <w:t>Center on Budget and Policy Priorities</w:t>
      </w:r>
      <w:r>
        <w:t xml:space="preserve">. (2019, December 10). </w:t>
      </w:r>
      <w:r w:rsidRPr="00272DFF">
        <w:rPr>
          <w:i/>
        </w:rPr>
        <w:t xml:space="preserve">Federal </w:t>
      </w:r>
      <w:r>
        <w:rPr>
          <w:i/>
        </w:rPr>
        <w:t>r</w:t>
      </w:r>
      <w:r w:rsidRPr="00272DFF">
        <w:rPr>
          <w:i/>
        </w:rPr>
        <w:t xml:space="preserve">ental </w:t>
      </w:r>
      <w:r>
        <w:rPr>
          <w:i/>
        </w:rPr>
        <w:t>a</w:t>
      </w:r>
      <w:r w:rsidRPr="00272DFF">
        <w:rPr>
          <w:i/>
        </w:rPr>
        <w:t xml:space="preserve">ssistance </w:t>
      </w:r>
      <w:r>
        <w:rPr>
          <w:i/>
        </w:rPr>
        <w:t>f</w:t>
      </w:r>
      <w:r w:rsidRPr="00272DFF">
        <w:rPr>
          <w:i/>
        </w:rPr>
        <w:t xml:space="preserve">act </w:t>
      </w:r>
      <w:r>
        <w:rPr>
          <w:i/>
        </w:rPr>
        <w:t>s</w:t>
      </w:r>
      <w:r w:rsidRPr="00272DFF">
        <w:rPr>
          <w:i/>
        </w:rPr>
        <w:t>heet</w:t>
      </w:r>
      <w:r>
        <w:t xml:space="preserve">. </w:t>
      </w:r>
      <w:r w:rsidRPr="00272DFF">
        <w:t>https://www.cbpp.org/sites/default/files/atoms/files/12-10-19hous-factsheet-us.pdf</w:t>
      </w:r>
      <w:r>
        <w:t xml:space="preserve"> </w:t>
      </w:r>
    </w:p>
    <w:p w14:paraId="06776067" w14:textId="77777777" w:rsidR="00272DFF" w:rsidRDefault="00272DFF" w:rsidP="00272DFF"/>
    <w:p w14:paraId="211EF893" w14:textId="1B951738" w:rsidR="00272DFF" w:rsidRDefault="00272DFF" w:rsidP="00272DFF">
      <w:proofErr w:type="spellStart"/>
      <w:r>
        <w:t>Karni</w:t>
      </w:r>
      <w:proofErr w:type="spellEnd"/>
      <w:r>
        <w:t xml:space="preserve">, A. &amp; Shear, M. D. (2019, April 17). </w:t>
      </w:r>
      <w:r w:rsidRPr="00201884">
        <w:t xml:space="preserve">HUD </w:t>
      </w:r>
      <w:r w:rsidRPr="00201884">
        <w:t>moves to limit public housing aid for undocumented immigrants</w:t>
      </w:r>
      <w:r>
        <w:t xml:space="preserve">. </w:t>
      </w:r>
      <w:r>
        <w:rPr>
          <w:i/>
        </w:rPr>
        <w:t>The New York Times</w:t>
      </w:r>
      <w:r>
        <w:t xml:space="preserve">. </w:t>
      </w:r>
      <w:r>
        <w:t xml:space="preserve"> </w:t>
      </w:r>
      <w:r w:rsidRPr="00272DFF">
        <w:t>https://www.nytimes</w:t>
      </w:r>
      <w:r w:rsidRPr="00272DFF">
        <w:t>.</w:t>
      </w:r>
      <w:r w:rsidRPr="00272DFF">
        <w:t>com/2019/04/17/us/politics/hud-public-housing-immigrants.html</w:t>
      </w:r>
    </w:p>
    <w:p w14:paraId="7EA5FEBE" w14:textId="77777777" w:rsidR="00272DFF" w:rsidRDefault="00272DFF" w:rsidP="00902FAC"/>
    <w:p w14:paraId="739D272A" w14:textId="6E75ED79" w:rsidR="00272DFF" w:rsidRDefault="00272DFF" w:rsidP="00272DFF">
      <w:proofErr w:type="spellStart"/>
      <w:proofErr w:type="gramStart"/>
      <w:r>
        <w:t>Re:</w:t>
      </w:r>
      <w:r>
        <w:t>G</w:t>
      </w:r>
      <w:r>
        <w:t>ender</w:t>
      </w:r>
      <w:proofErr w:type="spellEnd"/>
      <w:proofErr w:type="gramEnd"/>
      <w:r>
        <w:t xml:space="preserve">. (2016, January). </w:t>
      </w:r>
      <w:r w:rsidRPr="00272DFF">
        <w:rPr>
          <w:i/>
        </w:rPr>
        <w:t>A gender lens on affordable housing</w:t>
      </w:r>
      <w:r>
        <w:t xml:space="preserve">. </w:t>
      </w:r>
      <w:r w:rsidRPr="00272DFF">
        <w:t>https://w</w:t>
      </w:r>
      <w:r w:rsidRPr="00272DFF">
        <w:t>w</w:t>
      </w:r>
      <w:r w:rsidRPr="00272DFF">
        <w:t>w.icrw.org/wp</w:t>
      </w:r>
      <w:r>
        <w:t>-</w:t>
      </w:r>
      <w:r w:rsidRPr="00272DFF">
        <w:t>content/uploads/2016/11/gender_lens_on_affordable_housing_by_regender_final-1.pdf</w:t>
      </w:r>
    </w:p>
    <w:p w14:paraId="3F9F36B3" w14:textId="31CAD18D" w:rsidR="00272DFF" w:rsidRDefault="00272DFF" w:rsidP="00902FAC"/>
    <w:p w14:paraId="40AB3E10" w14:textId="697466C5" w:rsidR="00272DFF" w:rsidRPr="00272DFF" w:rsidRDefault="00272DFF" w:rsidP="00272DFF">
      <w:pPr>
        <w:rPr>
          <w:i/>
        </w:rPr>
      </w:pPr>
      <w:r w:rsidRPr="00272DFF">
        <w:t>United States Department of Housing and Urban Development. (20</w:t>
      </w:r>
      <w:r>
        <w:t>1</w:t>
      </w:r>
      <w:r>
        <w:t>3</w:t>
      </w:r>
      <w:r w:rsidRPr="00272DFF">
        <w:t xml:space="preserve">). </w:t>
      </w:r>
      <w:r w:rsidRPr="00272DFF">
        <w:rPr>
          <w:i/>
        </w:rPr>
        <w:t>HUD Handbook 4350.3:</w:t>
      </w:r>
    </w:p>
    <w:p w14:paraId="4CD5DFAB" w14:textId="320EBA82" w:rsidR="00272DFF" w:rsidRPr="00272DFF" w:rsidRDefault="00272DFF" w:rsidP="00902FAC">
      <w:pPr>
        <w:rPr>
          <w:i/>
        </w:rPr>
      </w:pPr>
      <w:r w:rsidRPr="00272DFF">
        <w:rPr>
          <w:i/>
        </w:rPr>
        <w:t xml:space="preserve">Occupancy </w:t>
      </w:r>
      <w:r w:rsidRPr="00272DFF">
        <w:rPr>
          <w:i/>
        </w:rPr>
        <w:t>requirements of subsidized</w:t>
      </w:r>
      <w:r>
        <w:rPr>
          <w:i/>
        </w:rPr>
        <w:t xml:space="preserve"> </w:t>
      </w:r>
      <w:r w:rsidRPr="00272DFF">
        <w:rPr>
          <w:i/>
        </w:rPr>
        <w:t xml:space="preserve">multifamily housing </w:t>
      </w:r>
      <w:r w:rsidRPr="00272DFF">
        <w:t>programs</w:t>
      </w:r>
      <w:r>
        <w:t xml:space="preserve">. </w:t>
      </w:r>
      <w:r w:rsidRPr="00272DFF">
        <w:t>https://www.hud.gov/sites/documents/43503C3HSGH.PDF</w:t>
      </w:r>
    </w:p>
    <w:p w14:paraId="07742D35" w14:textId="77777777" w:rsidR="00272DFF" w:rsidRDefault="00272DFF" w:rsidP="00902FAC"/>
    <w:p w14:paraId="607EFE81" w14:textId="0357F721" w:rsidR="00272DFF" w:rsidRDefault="00272DFF" w:rsidP="00272DFF">
      <w:r w:rsidRPr="00272DFF">
        <w:t>United States Department of Housing and Urban Development. (20</w:t>
      </w:r>
      <w:r>
        <w:t>17</w:t>
      </w:r>
      <w:r w:rsidRPr="00272DFF">
        <w:t xml:space="preserve">). </w:t>
      </w:r>
      <w:r w:rsidRPr="00272DFF">
        <w:rPr>
          <w:i/>
        </w:rPr>
        <w:t>American housing survey</w:t>
      </w:r>
      <w:r w:rsidRPr="00272DFF">
        <w:t xml:space="preserve"> </w:t>
      </w:r>
      <w:r w:rsidRPr="00272DFF">
        <w:rPr>
          <w:i/>
        </w:rPr>
        <w:t>2017 national public use file</w:t>
      </w:r>
      <w:r>
        <w:rPr>
          <w:i/>
        </w:rPr>
        <w:t xml:space="preserve"> (PUF)</w:t>
      </w:r>
      <w:r w:rsidRPr="00272DFF">
        <w:rPr>
          <w:i/>
        </w:rPr>
        <w:t xml:space="preserve"> </w:t>
      </w:r>
      <w:r w:rsidRPr="00272DFF">
        <w:t xml:space="preserve">[Data file]. </w:t>
      </w:r>
      <w:r>
        <w:t xml:space="preserve">United States Census Bureau. </w:t>
      </w:r>
      <w:r w:rsidRPr="00272DFF">
        <w:t>https://www.census.gov/programs-surveys/ahs/data/2017/ahs-2017-public-use-file--puf-/ahs-2017-national-public-use-file--puf-.html</w:t>
      </w:r>
    </w:p>
    <w:p w14:paraId="191BF47C" w14:textId="77777777" w:rsidR="00272DFF" w:rsidRDefault="00272DFF" w:rsidP="00902FAC"/>
    <w:p w14:paraId="2865D3A6" w14:textId="336DBAE2" w:rsidR="0036434C" w:rsidRDefault="00272DFF" w:rsidP="00902FAC">
      <w:r w:rsidRPr="00272DFF">
        <w:t xml:space="preserve">United States </w:t>
      </w:r>
      <w:r w:rsidR="0036434C" w:rsidRPr="0036434C">
        <w:t>Department of Housing and Urban Development</w:t>
      </w:r>
      <w:r>
        <w:t>. (2019, April 15).</w:t>
      </w:r>
      <w:r w:rsidR="0036434C" w:rsidRPr="0036434C">
        <w:t xml:space="preserve"> </w:t>
      </w:r>
      <w:r w:rsidR="0036434C" w:rsidRPr="00272DFF">
        <w:rPr>
          <w:i/>
        </w:rPr>
        <w:t xml:space="preserve">Regulatory </w:t>
      </w:r>
      <w:r>
        <w:rPr>
          <w:i/>
        </w:rPr>
        <w:t>i</w:t>
      </w:r>
      <w:r w:rsidR="0036434C" w:rsidRPr="00272DFF">
        <w:rPr>
          <w:i/>
        </w:rPr>
        <w:t>mpac</w:t>
      </w:r>
      <w:r>
        <w:rPr>
          <w:i/>
        </w:rPr>
        <w:t>t a</w:t>
      </w:r>
      <w:r w:rsidR="0036434C" w:rsidRPr="00272DFF">
        <w:rPr>
          <w:i/>
        </w:rPr>
        <w:t xml:space="preserve">nalysis: Amendments to </w:t>
      </w:r>
      <w:r>
        <w:rPr>
          <w:i/>
        </w:rPr>
        <w:t>f</w:t>
      </w:r>
      <w:r w:rsidR="0036434C" w:rsidRPr="00272DFF">
        <w:rPr>
          <w:i/>
        </w:rPr>
        <w:t xml:space="preserve">urther </w:t>
      </w:r>
      <w:r w:rsidRPr="00272DFF">
        <w:rPr>
          <w:i/>
        </w:rPr>
        <w:t xml:space="preserve">implement provisions </w:t>
      </w:r>
      <w:r w:rsidR="0036434C" w:rsidRPr="00272DFF">
        <w:rPr>
          <w:i/>
        </w:rPr>
        <w:t>of the Housing and Community Development Act of 1980</w:t>
      </w:r>
      <w:r>
        <w:t>.</w:t>
      </w:r>
      <w:r w:rsidR="0036434C" w:rsidRPr="0036434C">
        <w:t xml:space="preserve"> </w:t>
      </w:r>
      <w:r w:rsidR="0036434C" w:rsidRPr="00272DFF">
        <w:t>https://nlihc.org/sites/de</w:t>
      </w:r>
      <w:r w:rsidR="0036434C" w:rsidRPr="00272DFF">
        <w:t>f</w:t>
      </w:r>
      <w:r w:rsidR="0036434C" w:rsidRPr="00272DFF">
        <w:t>ault/files/2019-05/Noncitizen-RIA-Final-April-15-2019.pdf</w:t>
      </w:r>
    </w:p>
    <w:p w14:paraId="5ED6E27D" w14:textId="2FFBD2FC" w:rsidR="00813FE0" w:rsidRDefault="00813FE0" w:rsidP="00902FAC"/>
    <w:sectPr w:rsidR="00813FE0" w:rsidSect="00250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F7F2F" w14:textId="77777777" w:rsidR="00DE1FA1" w:rsidRDefault="00DE1FA1" w:rsidP="00BE7013">
      <w:r>
        <w:separator/>
      </w:r>
    </w:p>
  </w:endnote>
  <w:endnote w:type="continuationSeparator" w:id="0">
    <w:p w14:paraId="7763DDA4" w14:textId="77777777" w:rsidR="00DE1FA1" w:rsidRDefault="00DE1FA1" w:rsidP="00BE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C043D" w14:textId="77777777" w:rsidR="00DE1FA1" w:rsidRDefault="00DE1FA1" w:rsidP="00BE7013">
      <w:r>
        <w:separator/>
      </w:r>
    </w:p>
  </w:footnote>
  <w:footnote w:type="continuationSeparator" w:id="0">
    <w:p w14:paraId="10928734" w14:textId="77777777" w:rsidR="00DE1FA1" w:rsidRDefault="00DE1FA1" w:rsidP="00BE7013">
      <w:r>
        <w:continuationSeparator/>
      </w:r>
    </w:p>
  </w:footnote>
  <w:footnote w:id="1">
    <w:p w14:paraId="79EC9470" w14:textId="291CA43D" w:rsidR="00BE7013" w:rsidRDefault="00BE7013">
      <w:pPr>
        <w:pStyle w:val="FootnoteText"/>
      </w:pPr>
      <w:r>
        <w:rPr>
          <w:rStyle w:val="FootnoteReference"/>
        </w:rPr>
        <w:footnoteRef/>
      </w:r>
      <w:r>
        <w:t xml:space="preserve"> </w:t>
      </w:r>
      <w:r w:rsidRPr="00BE7013">
        <w:t>Estimates for NHPI households have significant margins of error for both female and male householders, both of which are above 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E66"/>
    <w:multiLevelType w:val="hybridMultilevel"/>
    <w:tmpl w:val="BF9693D2"/>
    <w:lvl w:ilvl="0" w:tplc="D31689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C96"/>
    <w:multiLevelType w:val="multilevel"/>
    <w:tmpl w:val="93C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0F3"/>
    <w:multiLevelType w:val="hybridMultilevel"/>
    <w:tmpl w:val="AB2065F6"/>
    <w:lvl w:ilvl="0" w:tplc="D8A83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2"/>
    <w:rsid w:val="00004BD4"/>
    <w:rsid w:val="00017479"/>
    <w:rsid w:val="00054DF8"/>
    <w:rsid w:val="000760C5"/>
    <w:rsid w:val="00085669"/>
    <w:rsid w:val="000859F2"/>
    <w:rsid w:val="0008682F"/>
    <w:rsid w:val="000A65C4"/>
    <w:rsid w:val="000D13D1"/>
    <w:rsid w:val="000D5102"/>
    <w:rsid w:val="0010344F"/>
    <w:rsid w:val="001319E6"/>
    <w:rsid w:val="001751BD"/>
    <w:rsid w:val="0019500D"/>
    <w:rsid w:val="001F2E03"/>
    <w:rsid w:val="001F5DD0"/>
    <w:rsid w:val="00201884"/>
    <w:rsid w:val="00214CE6"/>
    <w:rsid w:val="002303B3"/>
    <w:rsid w:val="002501A4"/>
    <w:rsid w:val="00254427"/>
    <w:rsid w:val="00257AF1"/>
    <w:rsid w:val="002644C0"/>
    <w:rsid w:val="00272DFF"/>
    <w:rsid w:val="0028168F"/>
    <w:rsid w:val="00292372"/>
    <w:rsid w:val="002A5A14"/>
    <w:rsid w:val="002C44C2"/>
    <w:rsid w:val="002C51D4"/>
    <w:rsid w:val="002E4D69"/>
    <w:rsid w:val="002F42F6"/>
    <w:rsid w:val="002F59A0"/>
    <w:rsid w:val="00300DF6"/>
    <w:rsid w:val="00312A56"/>
    <w:rsid w:val="003252B1"/>
    <w:rsid w:val="00354224"/>
    <w:rsid w:val="00361884"/>
    <w:rsid w:val="00361F04"/>
    <w:rsid w:val="00362E7D"/>
    <w:rsid w:val="0036434C"/>
    <w:rsid w:val="00366AD9"/>
    <w:rsid w:val="003763F7"/>
    <w:rsid w:val="00376DDC"/>
    <w:rsid w:val="003B19D5"/>
    <w:rsid w:val="003C6EE0"/>
    <w:rsid w:val="003E22FC"/>
    <w:rsid w:val="00461BA7"/>
    <w:rsid w:val="00461CB0"/>
    <w:rsid w:val="004646A9"/>
    <w:rsid w:val="00487B99"/>
    <w:rsid w:val="004A6C29"/>
    <w:rsid w:val="004C0DEE"/>
    <w:rsid w:val="004E1FAF"/>
    <w:rsid w:val="004F2CB3"/>
    <w:rsid w:val="004F70B5"/>
    <w:rsid w:val="00516596"/>
    <w:rsid w:val="00535DA8"/>
    <w:rsid w:val="005421A0"/>
    <w:rsid w:val="0055113C"/>
    <w:rsid w:val="00557564"/>
    <w:rsid w:val="005705D7"/>
    <w:rsid w:val="005829C9"/>
    <w:rsid w:val="005921CC"/>
    <w:rsid w:val="005974BA"/>
    <w:rsid w:val="005A0BAF"/>
    <w:rsid w:val="005E53BD"/>
    <w:rsid w:val="005F2982"/>
    <w:rsid w:val="00602B86"/>
    <w:rsid w:val="00613E3B"/>
    <w:rsid w:val="006222C5"/>
    <w:rsid w:val="00625774"/>
    <w:rsid w:val="006309A9"/>
    <w:rsid w:val="00637BB0"/>
    <w:rsid w:val="006400D0"/>
    <w:rsid w:val="00655213"/>
    <w:rsid w:val="006622D2"/>
    <w:rsid w:val="00686412"/>
    <w:rsid w:val="006C40FB"/>
    <w:rsid w:val="006E3489"/>
    <w:rsid w:val="006F5263"/>
    <w:rsid w:val="007215C2"/>
    <w:rsid w:val="0073753D"/>
    <w:rsid w:val="007757CF"/>
    <w:rsid w:val="0078010E"/>
    <w:rsid w:val="007864E1"/>
    <w:rsid w:val="00792671"/>
    <w:rsid w:val="007A2BC1"/>
    <w:rsid w:val="007C1226"/>
    <w:rsid w:val="007F4986"/>
    <w:rsid w:val="008031FB"/>
    <w:rsid w:val="00813FE0"/>
    <w:rsid w:val="008157D1"/>
    <w:rsid w:val="008458D0"/>
    <w:rsid w:val="00851E51"/>
    <w:rsid w:val="00855C45"/>
    <w:rsid w:val="00860792"/>
    <w:rsid w:val="008668F5"/>
    <w:rsid w:val="008715C1"/>
    <w:rsid w:val="00885772"/>
    <w:rsid w:val="008A0B1F"/>
    <w:rsid w:val="008A13FD"/>
    <w:rsid w:val="008B5F90"/>
    <w:rsid w:val="008E0A18"/>
    <w:rsid w:val="008E75AD"/>
    <w:rsid w:val="00902FAC"/>
    <w:rsid w:val="009267B2"/>
    <w:rsid w:val="00931DCC"/>
    <w:rsid w:val="00952857"/>
    <w:rsid w:val="00961AD2"/>
    <w:rsid w:val="00964BD9"/>
    <w:rsid w:val="00995753"/>
    <w:rsid w:val="009B4680"/>
    <w:rsid w:val="009B5B85"/>
    <w:rsid w:val="009B5EED"/>
    <w:rsid w:val="009D5A0D"/>
    <w:rsid w:val="009F4FE7"/>
    <w:rsid w:val="009F70EA"/>
    <w:rsid w:val="009F7912"/>
    <w:rsid w:val="00A003CE"/>
    <w:rsid w:val="00A12E96"/>
    <w:rsid w:val="00A23EE1"/>
    <w:rsid w:val="00A25DB4"/>
    <w:rsid w:val="00A32DC6"/>
    <w:rsid w:val="00A40698"/>
    <w:rsid w:val="00A5368D"/>
    <w:rsid w:val="00AA7DBB"/>
    <w:rsid w:val="00AB5712"/>
    <w:rsid w:val="00AC012E"/>
    <w:rsid w:val="00AD0408"/>
    <w:rsid w:val="00AD4BA1"/>
    <w:rsid w:val="00AE5D2D"/>
    <w:rsid w:val="00B00B7C"/>
    <w:rsid w:val="00B301CC"/>
    <w:rsid w:val="00B30AF7"/>
    <w:rsid w:val="00B45899"/>
    <w:rsid w:val="00B73AE3"/>
    <w:rsid w:val="00BA7EF6"/>
    <w:rsid w:val="00BC3E63"/>
    <w:rsid w:val="00BC4B98"/>
    <w:rsid w:val="00BD50F9"/>
    <w:rsid w:val="00BE7013"/>
    <w:rsid w:val="00C13899"/>
    <w:rsid w:val="00C27F65"/>
    <w:rsid w:val="00C40962"/>
    <w:rsid w:val="00C649AC"/>
    <w:rsid w:val="00C70549"/>
    <w:rsid w:val="00C7510C"/>
    <w:rsid w:val="00C77937"/>
    <w:rsid w:val="00C8543F"/>
    <w:rsid w:val="00CA07E4"/>
    <w:rsid w:val="00CA3BD2"/>
    <w:rsid w:val="00CB13DA"/>
    <w:rsid w:val="00CC6711"/>
    <w:rsid w:val="00CE532A"/>
    <w:rsid w:val="00D01F6E"/>
    <w:rsid w:val="00D11650"/>
    <w:rsid w:val="00D16347"/>
    <w:rsid w:val="00D172EA"/>
    <w:rsid w:val="00D35BAB"/>
    <w:rsid w:val="00D55104"/>
    <w:rsid w:val="00D611C7"/>
    <w:rsid w:val="00D66236"/>
    <w:rsid w:val="00D67684"/>
    <w:rsid w:val="00D775A5"/>
    <w:rsid w:val="00D849BA"/>
    <w:rsid w:val="00D9151E"/>
    <w:rsid w:val="00DA1C30"/>
    <w:rsid w:val="00DB0E95"/>
    <w:rsid w:val="00DB4E2A"/>
    <w:rsid w:val="00DB6D95"/>
    <w:rsid w:val="00DD42D5"/>
    <w:rsid w:val="00DE0279"/>
    <w:rsid w:val="00DE1FA1"/>
    <w:rsid w:val="00DE2330"/>
    <w:rsid w:val="00DF3CE7"/>
    <w:rsid w:val="00DF6F65"/>
    <w:rsid w:val="00E005A1"/>
    <w:rsid w:val="00E00A13"/>
    <w:rsid w:val="00E1285B"/>
    <w:rsid w:val="00E21154"/>
    <w:rsid w:val="00E65976"/>
    <w:rsid w:val="00E72787"/>
    <w:rsid w:val="00E7618B"/>
    <w:rsid w:val="00E77C4D"/>
    <w:rsid w:val="00E8555F"/>
    <w:rsid w:val="00E90965"/>
    <w:rsid w:val="00EA18D7"/>
    <w:rsid w:val="00EA6902"/>
    <w:rsid w:val="00EB3C9D"/>
    <w:rsid w:val="00EC1FC5"/>
    <w:rsid w:val="00F127C7"/>
    <w:rsid w:val="00F166D2"/>
    <w:rsid w:val="00F171D0"/>
    <w:rsid w:val="00F31AE5"/>
    <w:rsid w:val="00F544D7"/>
    <w:rsid w:val="00F7559A"/>
    <w:rsid w:val="00F83B71"/>
    <w:rsid w:val="00F868A0"/>
    <w:rsid w:val="00FB0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FC343"/>
  <w14:defaultImageDpi w14:val="32767"/>
  <w15:chartTrackingRefBased/>
  <w15:docId w15:val="{F6BC9D85-680A-8C48-BAA4-5CC85EA1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BD2"/>
  </w:style>
  <w:style w:type="character" w:styleId="Hyperlink">
    <w:name w:val="Hyperlink"/>
    <w:basedOn w:val="DefaultParagraphFont"/>
    <w:uiPriority w:val="99"/>
    <w:unhideWhenUsed/>
    <w:rsid w:val="00DB0E95"/>
    <w:rPr>
      <w:color w:val="0563C1" w:themeColor="hyperlink"/>
      <w:u w:val="single"/>
    </w:rPr>
  </w:style>
  <w:style w:type="character" w:styleId="UnresolvedMention">
    <w:name w:val="Unresolved Mention"/>
    <w:basedOn w:val="DefaultParagraphFont"/>
    <w:uiPriority w:val="99"/>
    <w:rsid w:val="00DB0E95"/>
    <w:rPr>
      <w:color w:val="605E5C"/>
      <w:shd w:val="clear" w:color="auto" w:fill="E1DFDD"/>
    </w:rPr>
  </w:style>
  <w:style w:type="paragraph" w:styleId="ListParagraph">
    <w:name w:val="List Paragraph"/>
    <w:basedOn w:val="Normal"/>
    <w:uiPriority w:val="34"/>
    <w:qFormat/>
    <w:rsid w:val="00813FE0"/>
    <w:pPr>
      <w:ind w:left="720"/>
      <w:contextualSpacing/>
    </w:pPr>
  </w:style>
  <w:style w:type="character" w:styleId="FollowedHyperlink">
    <w:name w:val="FollowedHyperlink"/>
    <w:basedOn w:val="DefaultParagraphFont"/>
    <w:uiPriority w:val="99"/>
    <w:semiHidden/>
    <w:unhideWhenUsed/>
    <w:rsid w:val="00813FE0"/>
    <w:rPr>
      <w:color w:val="954F72" w:themeColor="followedHyperlink"/>
      <w:u w:val="single"/>
    </w:rPr>
  </w:style>
  <w:style w:type="paragraph" w:styleId="NormalWeb">
    <w:name w:val="Normal (Web)"/>
    <w:basedOn w:val="Normal"/>
    <w:uiPriority w:val="99"/>
    <w:semiHidden/>
    <w:unhideWhenUsed/>
    <w:rsid w:val="00813F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E7013"/>
    <w:rPr>
      <w:sz w:val="20"/>
      <w:szCs w:val="20"/>
    </w:rPr>
  </w:style>
  <w:style w:type="character" w:customStyle="1" w:styleId="FootnoteTextChar">
    <w:name w:val="Footnote Text Char"/>
    <w:basedOn w:val="DefaultParagraphFont"/>
    <w:link w:val="FootnoteText"/>
    <w:uiPriority w:val="99"/>
    <w:semiHidden/>
    <w:rsid w:val="00BE7013"/>
    <w:rPr>
      <w:sz w:val="20"/>
      <w:szCs w:val="20"/>
    </w:rPr>
  </w:style>
  <w:style w:type="character" w:styleId="FootnoteReference">
    <w:name w:val="footnote reference"/>
    <w:basedOn w:val="DefaultParagraphFont"/>
    <w:uiPriority w:val="99"/>
    <w:semiHidden/>
    <w:unhideWhenUsed/>
    <w:rsid w:val="00BE7013"/>
    <w:rPr>
      <w:vertAlign w:val="superscript"/>
    </w:rPr>
  </w:style>
  <w:style w:type="character" w:styleId="CommentReference">
    <w:name w:val="annotation reference"/>
    <w:basedOn w:val="DefaultParagraphFont"/>
    <w:uiPriority w:val="99"/>
    <w:semiHidden/>
    <w:unhideWhenUsed/>
    <w:rsid w:val="008715C1"/>
    <w:rPr>
      <w:sz w:val="16"/>
      <w:szCs w:val="16"/>
    </w:rPr>
  </w:style>
  <w:style w:type="paragraph" w:styleId="CommentText">
    <w:name w:val="annotation text"/>
    <w:basedOn w:val="Normal"/>
    <w:link w:val="CommentTextChar"/>
    <w:uiPriority w:val="99"/>
    <w:semiHidden/>
    <w:unhideWhenUsed/>
    <w:rsid w:val="008715C1"/>
    <w:rPr>
      <w:sz w:val="20"/>
      <w:szCs w:val="20"/>
    </w:rPr>
  </w:style>
  <w:style w:type="character" w:customStyle="1" w:styleId="CommentTextChar">
    <w:name w:val="Comment Text Char"/>
    <w:basedOn w:val="DefaultParagraphFont"/>
    <w:link w:val="CommentText"/>
    <w:uiPriority w:val="99"/>
    <w:semiHidden/>
    <w:rsid w:val="008715C1"/>
    <w:rPr>
      <w:sz w:val="20"/>
      <w:szCs w:val="20"/>
    </w:rPr>
  </w:style>
  <w:style w:type="paragraph" w:styleId="CommentSubject">
    <w:name w:val="annotation subject"/>
    <w:basedOn w:val="CommentText"/>
    <w:next w:val="CommentText"/>
    <w:link w:val="CommentSubjectChar"/>
    <w:uiPriority w:val="99"/>
    <w:semiHidden/>
    <w:unhideWhenUsed/>
    <w:rsid w:val="008715C1"/>
    <w:rPr>
      <w:b/>
      <w:bCs/>
    </w:rPr>
  </w:style>
  <w:style w:type="character" w:customStyle="1" w:styleId="CommentSubjectChar">
    <w:name w:val="Comment Subject Char"/>
    <w:basedOn w:val="CommentTextChar"/>
    <w:link w:val="CommentSubject"/>
    <w:uiPriority w:val="99"/>
    <w:semiHidden/>
    <w:rsid w:val="008715C1"/>
    <w:rPr>
      <w:b/>
      <w:bCs/>
      <w:sz w:val="20"/>
      <w:szCs w:val="20"/>
    </w:rPr>
  </w:style>
  <w:style w:type="paragraph" w:styleId="BalloonText">
    <w:name w:val="Balloon Text"/>
    <w:basedOn w:val="Normal"/>
    <w:link w:val="BalloonTextChar"/>
    <w:uiPriority w:val="99"/>
    <w:semiHidden/>
    <w:unhideWhenUsed/>
    <w:rsid w:val="008715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15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70">
      <w:bodyDiv w:val="1"/>
      <w:marLeft w:val="0"/>
      <w:marRight w:val="0"/>
      <w:marTop w:val="0"/>
      <w:marBottom w:val="0"/>
      <w:divBdr>
        <w:top w:val="none" w:sz="0" w:space="0" w:color="auto"/>
        <w:left w:val="none" w:sz="0" w:space="0" w:color="auto"/>
        <w:bottom w:val="none" w:sz="0" w:space="0" w:color="auto"/>
        <w:right w:val="none" w:sz="0" w:space="0" w:color="auto"/>
      </w:divBdr>
    </w:div>
    <w:div w:id="2324420">
      <w:bodyDiv w:val="1"/>
      <w:marLeft w:val="0"/>
      <w:marRight w:val="0"/>
      <w:marTop w:val="0"/>
      <w:marBottom w:val="0"/>
      <w:divBdr>
        <w:top w:val="none" w:sz="0" w:space="0" w:color="auto"/>
        <w:left w:val="none" w:sz="0" w:space="0" w:color="auto"/>
        <w:bottom w:val="none" w:sz="0" w:space="0" w:color="auto"/>
        <w:right w:val="none" w:sz="0" w:space="0" w:color="auto"/>
      </w:divBdr>
    </w:div>
    <w:div w:id="304824574">
      <w:bodyDiv w:val="1"/>
      <w:marLeft w:val="0"/>
      <w:marRight w:val="0"/>
      <w:marTop w:val="0"/>
      <w:marBottom w:val="0"/>
      <w:divBdr>
        <w:top w:val="none" w:sz="0" w:space="0" w:color="auto"/>
        <w:left w:val="none" w:sz="0" w:space="0" w:color="auto"/>
        <w:bottom w:val="none" w:sz="0" w:space="0" w:color="auto"/>
        <w:right w:val="none" w:sz="0" w:space="0" w:color="auto"/>
      </w:divBdr>
    </w:div>
    <w:div w:id="333848267">
      <w:bodyDiv w:val="1"/>
      <w:marLeft w:val="0"/>
      <w:marRight w:val="0"/>
      <w:marTop w:val="0"/>
      <w:marBottom w:val="0"/>
      <w:divBdr>
        <w:top w:val="none" w:sz="0" w:space="0" w:color="auto"/>
        <w:left w:val="none" w:sz="0" w:space="0" w:color="auto"/>
        <w:bottom w:val="none" w:sz="0" w:space="0" w:color="auto"/>
        <w:right w:val="none" w:sz="0" w:space="0" w:color="auto"/>
      </w:divBdr>
    </w:div>
    <w:div w:id="342515725">
      <w:bodyDiv w:val="1"/>
      <w:marLeft w:val="0"/>
      <w:marRight w:val="0"/>
      <w:marTop w:val="0"/>
      <w:marBottom w:val="0"/>
      <w:divBdr>
        <w:top w:val="none" w:sz="0" w:space="0" w:color="auto"/>
        <w:left w:val="none" w:sz="0" w:space="0" w:color="auto"/>
        <w:bottom w:val="none" w:sz="0" w:space="0" w:color="auto"/>
        <w:right w:val="none" w:sz="0" w:space="0" w:color="auto"/>
      </w:divBdr>
    </w:div>
    <w:div w:id="521094336">
      <w:bodyDiv w:val="1"/>
      <w:marLeft w:val="0"/>
      <w:marRight w:val="0"/>
      <w:marTop w:val="0"/>
      <w:marBottom w:val="0"/>
      <w:divBdr>
        <w:top w:val="none" w:sz="0" w:space="0" w:color="auto"/>
        <w:left w:val="none" w:sz="0" w:space="0" w:color="auto"/>
        <w:bottom w:val="none" w:sz="0" w:space="0" w:color="auto"/>
        <w:right w:val="none" w:sz="0" w:space="0" w:color="auto"/>
      </w:divBdr>
    </w:div>
    <w:div w:id="567497981">
      <w:bodyDiv w:val="1"/>
      <w:marLeft w:val="0"/>
      <w:marRight w:val="0"/>
      <w:marTop w:val="0"/>
      <w:marBottom w:val="0"/>
      <w:divBdr>
        <w:top w:val="none" w:sz="0" w:space="0" w:color="auto"/>
        <w:left w:val="none" w:sz="0" w:space="0" w:color="auto"/>
        <w:bottom w:val="none" w:sz="0" w:space="0" w:color="auto"/>
        <w:right w:val="none" w:sz="0" w:space="0" w:color="auto"/>
      </w:divBdr>
    </w:div>
    <w:div w:id="716127122">
      <w:bodyDiv w:val="1"/>
      <w:marLeft w:val="0"/>
      <w:marRight w:val="0"/>
      <w:marTop w:val="0"/>
      <w:marBottom w:val="0"/>
      <w:divBdr>
        <w:top w:val="none" w:sz="0" w:space="0" w:color="auto"/>
        <w:left w:val="none" w:sz="0" w:space="0" w:color="auto"/>
        <w:bottom w:val="none" w:sz="0" w:space="0" w:color="auto"/>
        <w:right w:val="none" w:sz="0" w:space="0" w:color="auto"/>
      </w:divBdr>
    </w:div>
    <w:div w:id="787967278">
      <w:bodyDiv w:val="1"/>
      <w:marLeft w:val="0"/>
      <w:marRight w:val="0"/>
      <w:marTop w:val="0"/>
      <w:marBottom w:val="0"/>
      <w:divBdr>
        <w:top w:val="none" w:sz="0" w:space="0" w:color="auto"/>
        <w:left w:val="none" w:sz="0" w:space="0" w:color="auto"/>
        <w:bottom w:val="none" w:sz="0" w:space="0" w:color="auto"/>
        <w:right w:val="none" w:sz="0" w:space="0" w:color="auto"/>
      </w:divBdr>
    </w:div>
    <w:div w:id="910038416">
      <w:bodyDiv w:val="1"/>
      <w:marLeft w:val="0"/>
      <w:marRight w:val="0"/>
      <w:marTop w:val="0"/>
      <w:marBottom w:val="0"/>
      <w:divBdr>
        <w:top w:val="none" w:sz="0" w:space="0" w:color="auto"/>
        <w:left w:val="none" w:sz="0" w:space="0" w:color="auto"/>
        <w:bottom w:val="none" w:sz="0" w:space="0" w:color="auto"/>
        <w:right w:val="none" w:sz="0" w:space="0" w:color="auto"/>
      </w:divBdr>
    </w:div>
    <w:div w:id="1067337025">
      <w:bodyDiv w:val="1"/>
      <w:marLeft w:val="0"/>
      <w:marRight w:val="0"/>
      <w:marTop w:val="0"/>
      <w:marBottom w:val="0"/>
      <w:divBdr>
        <w:top w:val="none" w:sz="0" w:space="0" w:color="auto"/>
        <w:left w:val="none" w:sz="0" w:space="0" w:color="auto"/>
        <w:bottom w:val="none" w:sz="0" w:space="0" w:color="auto"/>
        <w:right w:val="none" w:sz="0" w:space="0" w:color="auto"/>
      </w:divBdr>
    </w:div>
    <w:div w:id="1414276451">
      <w:bodyDiv w:val="1"/>
      <w:marLeft w:val="0"/>
      <w:marRight w:val="0"/>
      <w:marTop w:val="0"/>
      <w:marBottom w:val="0"/>
      <w:divBdr>
        <w:top w:val="none" w:sz="0" w:space="0" w:color="auto"/>
        <w:left w:val="none" w:sz="0" w:space="0" w:color="auto"/>
        <w:bottom w:val="none" w:sz="0" w:space="0" w:color="auto"/>
        <w:right w:val="none" w:sz="0" w:space="0" w:color="auto"/>
      </w:divBdr>
    </w:div>
    <w:div w:id="1506746914">
      <w:bodyDiv w:val="1"/>
      <w:marLeft w:val="0"/>
      <w:marRight w:val="0"/>
      <w:marTop w:val="0"/>
      <w:marBottom w:val="0"/>
      <w:divBdr>
        <w:top w:val="none" w:sz="0" w:space="0" w:color="auto"/>
        <w:left w:val="none" w:sz="0" w:space="0" w:color="auto"/>
        <w:bottom w:val="none" w:sz="0" w:space="0" w:color="auto"/>
        <w:right w:val="none" w:sz="0" w:space="0" w:color="auto"/>
      </w:divBdr>
    </w:div>
    <w:div w:id="1584875148">
      <w:bodyDiv w:val="1"/>
      <w:marLeft w:val="0"/>
      <w:marRight w:val="0"/>
      <w:marTop w:val="0"/>
      <w:marBottom w:val="0"/>
      <w:divBdr>
        <w:top w:val="none" w:sz="0" w:space="0" w:color="auto"/>
        <w:left w:val="none" w:sz="0" w:space="0" w:color="auto"/>
        <w:bottom w:val="none" w:sz="0" w:space="0" w:color="auto"/>
        <w:right w:val="none" w:sz="0" w:space="0" w:color="auto"/>
      </w:divBdr>
    </w:div>
    <w:div w:id="1694384750">
      <w:bodyDiv w:val="1"/>
      <w:marLeft w:val="0"/>
      <w:marRight w:val="0"/>
      <w:marTop w:val="0"/>
      <w:marBottom w:val="0"/>
      <w:divBdr>
        <w:top w:val="none" w:sz="0" w:space="0" w:color="auto"/>
        <w:left w:val="none" w:sz="0" w:space="0" w:color="auto"/>
        <w:bottom w:val="none" w:sz="0" w:space="0" w:color="auto"/>
        <w:right w:val="none" w:sz="0" w:space="0" w:color="auto"/>
      </w:divBdr>
    </w:div>
    <w:div w:id="1761412566">
      <w:bodyDiv w:val="1"/>
      <w:marLeft w:val="0"/>
      <w:marRight w:val="0"/>
      <w:marTop w:val="0"/>
      <w:marBottom w:val="0"/>
      <w:divBdr>
        <w:top w:val="none" w:sz="0" w:space="0" w:color="auto"/>
        <w:left w:val="none" w:sz="0" w:space="0" w:color="auto"/>
        <w:bottom w:val="none" w:sz="0" w:space="0" w:color="auto"/>
        <w:right w:val="none" w:sz="0" w:space="0" w:color="auto"/>
      </w:divBdr>
    </w:div>
    <w:div w:id="2017997745">
      <w:bodyDiv w:val="1"/>
      <w:marLeft w:val="0"/>
      <w:marRight w:val="0"/>
      <w:marTop w:val="0"/>
      <w:marBottom w:val="0"/>
      <w:divBdr>
        <w:top w:val="none" w:sz="0" w:space="0" w:color="auto"/>
        <w:left w:val="none" w:sz="0" w:space="0" w:color="auto"/>
        <w:bottom w:val="none" w:sz="0" w:space="0" w:color="auto"/>
        <w:right w:val="none" w:sz="0" w:space="0" w:color="auto"/>
      </w:divBdr>
    </w:div>
    <w:div w:id="20811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documents/2019/05/10/2019-09566/housing-and-community-development-act-of-1980-verification-of-eligible-stat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200A7-A372-3344-B1E6-BBE969E1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J</dc:creator>
  <cp:keywords/>
  <dc:description/>
  <cp:lastModifiedBy>Alissa J</cp:lastModifiedBy>
  <cp:revision>5</cp:revision>
  <dcterms:created xsi:type="dcterms:W3CDTF">2020-03-19T19:36:00Z</dcterms:created>
  <dcterms:modified xsi:type="dcterms:W3CDTF">2020-03-19T20:55:00Z</dcterms:modified>
</cp:coreProperties>
</file>