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5"/>
        <w:gridCol w:w="1242"/>
        <w:gridCol w:w="796"/>
        <w:gridCol w:w="906"/>
        <w:gridCol w:w="1818"/>
      </w:tblGrid>
      <w:tr>
        <w:trPr>
          <w:trHeight w:val="607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Formula: Mother-offspring association ~ age class × age (threshold parameterization), with random effects for season and individual (data from 1996–2025)</w:t>
            </w:r>
          </w:p>
        </w:tc>
      </w:tr>
      <w:tr>
        <w:trPr>
          <w:trHeight w:val="563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2×10-16 ***</w:t>
            </w:r>
          </w:p>
        </w:tc>
      </w:tr>
      <w:tr>
        <w:trPr>
          <w:trHeight w:val="6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 (pre-threshold slope)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6.43×10-12 ***</w:t>
            </w:r>
          </w:p>
        </w:tc>
      </w:tr>
      <w:tr>
        <w:trPr>
          <w:trHeight w:val="611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 (post-threshold slope)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2026-02-15T11:55:41Z</dcterms:modified>
  <cp:category/>
</cp:coreProperties>
</file>