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27"/>
        <w:gridCol w:w="1242"/>
        <w:gridCol w:w="796"/>
        <w:gridCol w:w="869"/>
        <w:gridCol w:w="1818"/>
      </w:tblGrid>
      <w:tr>
        <w:trPr>
          <w:trHeight w:val="607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Model Formula: Mother-offspring association ~ age + density + extreme events, with random effects for season and individual (data from 2016–2023)</w:t>
            </w:r>
          </w:p>
        </w:tc>
      </w:tr>
      <w:tr>
        <w:trPr>
          <w:trHeight w:val="563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03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4.63×10-13 ***</w:t>
            </w:r>
          </w:p>
        </w:tc>
      </w:tr>
      <w:tr>
        <w:trPr>
          <w:trHeight w:val="61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Maternal age (linear)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1.12×10-06 ***</w:t>
            </w:r>
          </w:p>
        </w:tc>
      </w:tr>
      <w:tr>
        <w:trPr>
          <w:trHeight w:val="61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Location density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0.0221 *</w:t>
            </w:r>
          </w:p>
        </w:tc>
      </w:tr>
      <w:tr>
        <w:trPr>
          <w:trHeight w:val="566" w:hRule="auto"/>
        </w:trPr>
        body4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Number of extreme wave and tide events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0.0124 *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2026-02-15T11:55:44Z</dcterms:modified>
  <cp:category/>
</cp:coreProperties>
</file>