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Threshold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ΔAIC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 weight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2,737.4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2,723.8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0.402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2026-04-20T22:00:53Z</dcterms:modified>
  <cp:category/>
</cp:coreProperties>
</file>