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08"/>
        <w:gridCol w:w="1266"/>
        <w:gridCol w:w="839"/>
        <w:gridCol w:w="1084"/>
        <w:gridCol w:w="1431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-88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Maternal age : Pre-threshold (&lt; 8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-9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Maternal age : Post-threshold (≥ 8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0.7727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2026-07-13T17:10:35Z</dcterms:modified>
  <cp:category/>
</cp:coreProperties>
</file>