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2A4B7" w14:textId="655E79F9" w:rsidR="003D0D07" w:rsidRPr="003D0D07" w:rsidRDefault="003D0D07" w:rsidP="003D0D07">
      <w:pPr>
        <w:spacing w:after="0" w:line="240" w:lineRule="auto"/>
        <w:rPr>
          <w:rFonts w:ascii="Calibri" w:hAnsi="Calibri" w:cs="Calibri"/>
          <w:kern w:val="0"/>
          <w14:ligatures w14:val="none"/>
        </w:rPr>
      </w:pPr>
      <w:r w:rsidRPr="003D0D07">
        <w:rPr>
          <w:rFonts w:ascii="Calibri" w:hAnsi="Calibri" w:cs="Calibri" w:hint="eastAsia"/>
          <w:kern w:val="0"/>
          <w14:ligatures w14:val="none"/>
        </w:rPr>
        <w:t xml:space="preserve">Proposed </w:t>
      </w:r>
      <w:r w:rsidRPr="003D0D07">
        <w:rPr>
          <w:rFonts w:ascii="Calibri" w:hAnsi="Calibri" w:cs="Calibri"/>
          <w:kern w:val="0"/>
          <w14:ligatures w14:val="none"/>
        </w:rPr>
        <w:t>follow-up</w:t>
      </w:r>
      <w:r w:rsidRPr="003D0D07">
        <w:rPr>
          <w:rFonts w:ascii="Calibri" w:hAnsi="Calibri" w:cs="Calibri" w:hint="eastAsia"/>
          <w:kern w:val="0"/>
          <w14:ligatures w14:val="none"/>
        </w:rPr>
        <w:t xml:space="preserve"> study</w:t>
      </w:r>
      <w:r>
        <w:rPr>
          <w:rFonts w:ascii="Calibri" w:hAnsi="Calibri" w:cs="Calibri" w:hint="eastAsia"/>
          <w:kern w:val="0"/>
          <w14:ligatures w14:val="none"/>
        </w:rPr>
        <w:t xml:space="preserve"> as of May 11, 2025</w:t>
      </w:r>
      <w:r w:rsidRPr="003D0D07">
        <w:rPr>
          <w:rFonts w:ascii="Calibri" w:hAnsi="Calibri" w:cs="Calibri" w:hint="eastAsia"/>
          <w:kern w:val="0"/>
          <w14:ligatures w14:val="none"/>
        </w:rPr>
        <w:t>: by Youngji Jo, UConn Health</w:t>
      </w:r>
      <w:r>
        <w:rPr>
          <w:rFonts w:ascii="Calibri" w:hAnsi="Calibri" w:cs="Calibri" w:hint="eastAsia"/>
          <w:kern w:val="0"/>
          <w14:ligatures w14:val="none"/>
        </w:rPr>
        <w:t xml:space="preserve"> </w:t>
      </w:r>
    </w:p>
    <w:p w14:paraId="24EE1B03" w14:textId="77777777" w:rsidR="003D0D07" w:rsidRDefault="003D0D07" w:rsidP="003D0D07">
      <w:pPr>
        <w:spacing w:after="0" w:line="240" w:lineRule="auto"/>
        <w:rPr>
          <w:rFonts w:ascii="Calibri" w:hAnsi="Calibri" w:cs="Calibri"/>
          <w:b/>
          <w:bCs/>
          <w:kern w:val="0"/>
          <w14:ligatures w14:val="none"/>
        </w:rPr>
      </w:pPr>
    </w:p>
    <w:p w14:paraId="24C7995F" w14:textId="0D76E2F9" w:rsidR="003D0D07" w:rsidRDefault="00591BF2" w:rsidP="003D0D07">
      <w:pPr>
        <w:spacing w:after="0" w:line="240" w:lineRule="auto"/>
        <w:rPr>
          <w:rFonts w:ascii="Calibri" w:hAnsi="Calibri" w:cs="Calibri"/>
          <w:kern w:val="0"/>
          <w14:ligatures w14:val="none"/>
        </w:rPr>
      </w:pPr>
      <w:r w:rsidRPr="00591BF2">
        <w:rPr>
          <w:rFonts w:ascii="Calibri" w:eastAsia="Times New Roman" w:hAnsi="Calibri" w:cs="Calibri"/>
          <w:b/>
          <w:bCs/>
          <w:kern w:val="0"/>
          <w14:ligatures w14:val="none"/>
        </w:rPr>
        <w:t>Title</w:t>
      </w:r>
      <w:r w:rsidR="003D0D07">
        <w:rPr>
          <w:rFonts w:ascii="Calibri" w:hAnsi="Calibri" w:cs="Calibri" w:hint="eastAsia"/>
          <w:b/>
          <w:bCs/>
          <w:kern w:val="0"/>
          <w14:ligatures w14:val="none"/>
        </w:rPr>
        <w:t xml:space="preserve"> (TBD)</w:t>
      </w:r>
      <w:r w:rsidRPr="00591BF2">
        <w:rPr>
          <w:rFonts w:ascii="Calibri" w:eastAsia="Times New Roman" w:hAnsi="Calibri" w:cs="Calibri"/>
          <w:kern w:val="0"/>
          <w14:ligatures w14:val="none"/>
        </w:rPr>
        <w:t>: Dynamics of Hybrid, Vaccine, and Infection-Only Immunity Against SARS-CoV-2 Variants: A Longitudinal K-SEROSMART Cohort Study</w:t>
      </w:r>
      <w:r w:rsidR="003D0D07">
        <w:rPr>
          <w:rFonts w:ascii="Calibri" w:hAnsi="Calibri" w:cs="Calibri" w:hint="eastAsia"/>
          <w:kern w:val="0"/>
          <w14:ligatures w14:val="none"/>
        </w:rPr>
        <w:t xml:space="preserve"> </w:t>
      </w:r>
    </w:p>
    <w:p w14:paraId="71B7B955" w14:textId="77777777" w:rsidR="003D0D07" w:rsidRPr="003D0D07" w:rsidRDefault="003D0D07" w:rsidP="003D0D07">
      <w:pPr>
        <w:spacing w:after="0" w:line="240" w:lineRule="auto"/>
        <w:rPr>
          <w:rFonts w:ascii="Calibri" w:hAnsi="Calibri" w:cs="Calibri" w:hint="eastAsia"/>
          <w:kern w:val="0"/>
          <w14:ligatures w14:val="none"/>
        </w:rPr>
      </w:pPr>
    </w:p>
    <w:p w14:paraId="111CE095" w14:textId="60BDC88F" w:rsidR="003D0D07" w:rsidRPr="003D0D07" w:rsidRDefault="003D0D07" w:rsidP="003D0D07">
      <w:pPr>
        <w:pStyle w:val="NormalWeb"/>
        <w:spacing w:before="0" w:beforeAutospacing="0" w:after="0" w:afterAutospacing="0"/>
        <w:rPr>
          <w:rFonts w:ascii="Calibri" w:eastAsiaTheme="minorEastAsia" w:hAnsi="Calibri" w:cs="Calibri"/>
        </w:rPr>
      </w:pPr>
      <w:r w:rsidRPr="003D0D07">
        <w:rPr>
          <w:rStyle w:val="Strong"/>
          <w:rFonts w:ascii="Calibri" w:eastAsiaTheme="majorEastAsia" w:hAnsi="Calibri" w:cs="Calibri"/>
        </w:rPr>
        <w:t>Background</w:t>
      </w:r>
      <w:r w:rsidRPr="003D0D07">
        <w:rPr>
          <w:rFonts w:ascii="Calibri" w:hAnsi="Calibri" w:cs="Calibri"/>
        </w:rPr>
        <w:t xml:space="preserve">: The K-SEROSMART study (2022) revealed that hybrid immunity offered initial protection against Omicron infections, but its advantage waned rapidly, with 92% of hybrid and 81% of infection-only infections unconfirmed, particularly in ages 40–59 (hybrid) and &lt;20 (infection-only) with recent immunological events (&lt;1 month). This follow-up study investigates the dynamics of hybrid, vaccine-only, and infection-only immunity against SARS-CoV-2 </w:t>
      </w:r>
      <w:r w:rsidRPr="003D0D07">
        <w:rPr>
          <w:rFonts w:ascii="Calibri" w:eastAsiaTheme="minorEastAsia" w:hAnsi="Calibri" w:cs="Calibri" w:hint="eastAsia"/>
        </w:rPr>
        <w:t>Omicron sub</w:t>
      </w:r>
      <w:r w:rsidRPr="003D0D07">
        <w:rPr>
          <w:rFonts w:ascii="Calibri" w:hAnsi="Calibri" w:cs="Calibri"/>
        </w:rPr>
        <w:t>variants addressing unconfirmed infection uncertainty and survival bias using time-varying Cox regression.</w:t>
      </w:r>
    </w:p>
    <w:p w14:paraId="61A78283" w14:textId="77777777" w:rsidR="003D0D07" w:rsidRPr="003D0D07" w:rsidRDefault="003D0D07" w:rsidP="003D0D07">
      <w:pPr>
        <w:pStyle w:val="NormalWeb"/>
        <w:spacing w:before="0" w:beforeAutospacing="0" w:after="0" w:afterAutospacing="0"/>
        <w:rPr>
          <w:rFonts w:ascii="Calibri" w:eastAsiaTheme="minorEastAsia" w:hAnsi="Calibri" w:cs="Calibri" w:hint="eastAsia"/>
        </w:rPr>
      </w:pPr>
    </w:p>
    <w:p w14:paraId="6718F0CB" w14:textId="3B4089DE" w:rsidR="003D0D07" w:rsidRPr="003D0D07" w:rsidRDefault="003D0D07" w:rsidP="003D0D07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3D0D07">
        <w:rPr>
          <w:rStyle w:val="Strong"/>
          <w:rFonts w:ascii="Calibri" w:eastAsiaTheme="majorEastAsia" w:hAnsi="Calibri" w:cs="Calibri"/>
        </w:rPr>
        <w:t>Objectives</w:t>
      </w:r>
      <w:r w:rsidRPr="003D0D07">
        <w:rPr>
          <w:rFonts w:ascii="Calibri" w:hAnsi="Calibri" w:cs="Calibri"/>
        </w:rPr>
        <w:t>:</w:t>
      </w:r>
      <w:r w:rsidRPr="003D0D07">
        <w:rPr>
          <w:rFonts w:ascii="Calibri" w:eastAsiaTheme="minorEastAsia" w:hAnsi="Calibri" w:cs="Calibri" w:hint="eastAsia"/>
        </w:rPr>
        <w:t xml:space="preserve"> </w:t>
      </w:r>
      <w:r w:rsidRPr="003D0D07">
        <w:rPr>
          <w:rFonts w:ascii="Calibri" w:hAnsi="Calibri" w:cs="Calibri"/>
        </w:rPr>
        <w:t xml:space="preserve">Quantify waning immunity against variants over </w:t>
      </w:r>
      <w:r w:rsidRPr="003D0D07">
        <w:rPr>
          <w:rFonts w:ascii="Calibri" w:eastAsiaTheme="minorEastAsia" w:hAnsi="Calibri" w:cs="Calibri" w:hint="eastAsia"/>
        </w:rPr>
        <w:t>22</w:t>
      </w:r>
      <w:r w:rsidRPr="003D0D07">
        <w:rPr>
          <w:rFonts w:ascii="Calibri" w:hAnsi="Calibri" w:cs="Calibri"/>
        </w:rPr>
        <w:t xml:space="preserve"> months via antibody </w:t>
      </w:r>
      <w:proofErr w:type="gramStart"/>
      <w:r w:rsidRPr="003D0D07">
        <w:rPr>
          <w:rFonts w:ascii="Calibri" w:hAnsi="Calibri" w:cs="Calibri"/>
        </w:rPr>
        <w:t>titers</w:t>
      </w:r>
      <w:proofErr w:type="gramEnd"/>
      <w:r w:rsidRPr="003D0D07">
        <w:rPr>
          <w:rFonts w:ascii="Calibri" w:hAnsi="Calibri" w:cs="Calibri"/>
        </w:rPr>
        <w:t xml:space="preserve"> and breakthrough infection rates.</w:t>
      </w:r>
      <w:r w:rsidRPr="003D0D07">
        <w:rPr>
          <w:rFonts w:ascii="Calibri" w:eastAsiaTheme="minorEastAsia" w:hAnsi="Calibri" w:cs="Calibri" w:hint="eastAsia"/>
        </w:rPr>
        <w:t xml:space="preserve"> </w:t>
      </w:r>
      <w:r w:rsidRPr="003D0D07">
        <w:rPr>
          <w:rFonts w:ascii="Calibri" w:hAnsi="Calibri" w:cs="Calibri"/>
        </w:rPr>
        <w:t>Identify immunity gaps for targeted surveillance and vaccination policies.</w:t>
      </w:r>
    </w:p>
    <w:p w14:paraId="5749C72C" w14:textId="77777777" w:rsidR="003D0D07" w:rsidRPr="003D0D07" w:rsidRDefault="003D0D07" w:rsidP="003D0D07">
      <w:pPr>
        <w:pStyle w:val="NormalWeb"/>
        <w:spacing w:before="0" w:beforeAutospacing="0" w:after="0" w:afterAutospacing="0"/>
        <w:rPr>
          <w:rStyle w:val="Strong"/>
          <w:rFonts w:ascii="Calibri" w:eastAsiaTheme="majorEastAsia" w:hAnsi="Calibri" w:cs="Calibri"/>
        </w:rPr>
      </w:pPr>
    </w:p>
    <w:p w14:paraId="42DA7E80" w14:textId="4AF5EB1E" w:rsidR="003D0D07" w:rsidRPr="003D0D07" w:rsidRDefault="003D0D07" w:rsidP="003D0D07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3D0D07">
        <w:rPr>
          <w:rStyle w:val="Strong"/>
          <w:rFonts w:ascii="Calibri" w:eastAsiaTheme="majorEastAsia" w:hAnsi="Calibri" w:cs="Calibri"/>
        </w:rPr>
        <w:t>Methods</w:t>
      </w:r>
      <w:r w:rsidRPr="003D0D07">
        <w:rPr>
          <w:rFonts w:ascii="Calibri" w:hAnsi="Calibri" w:cs="Calibri"/>
        </w:rPr>
        <w:t>:</w:t>
      </w:r>
    </w:p>
    <w:p w14:paraId="5333DDC6" w14:textId="25D8A877" w:rsidR="003D0D07" w:rsidRPr="003D0D07" w:rsidRDefault="003D0D07" w:rsidP="003D0D07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Calibri" w:hAnsi="Calibri" w:cs="Calibri"/>
        </w:rPr>
      </w:pPr>
      <w:r w:rsidRPr="003D0D07">
        <w:rPr>
          <w:rStyle w:val="Strong"/>
          <w:rFonts w:ascii="Calibri" w:eastAsiaTheme="majorEastAsia" w:hAnsi="Calibri" w:cs="Calibri"/>
        </w:rPr>
        <w:t>Population</w:t>
      </w:r>
      <w:r w:rsidRPr="003D0D07">
        <w:rPr>
          <w:rFonts w:ascii="Calibri" w:hAnsi="Calibri" w:cs="Calibri"/>
        </w:rPr>
        <w:t>: Extend K-SEROSMART cohort (n=</w:t>
      </w:r>
      <w:r w:rsidR="00B923C0">
        <w:rPr>
          <w:rFonts w:ascii="Calibri" w:eastAsiaTheme="minorEastAsia" w:hAnsi="Calibri" w:cs="Calibri" w:hint="eastAsia"/>
        </w:rPr>
        <w:t>~3</w:t>
      </w:r>
      <w:r w:rsidRPr="003D0D07">
        <w:rPr>
          <w:rFonts w:ascii="Calibri" w:hAnsi="Calibri" w:cs="Calibri"/>
        </w:rPr>
        <w:t xml:space="preserve">,000) </w:t>
      </w:r>
      <w:r w:rsidR="00B923C0">
        <w:rPr>
          <w:rFonts w:ascii="Calibri" w:eastAsiaTheme="minorEastAsia" w:hAnsi="Calibri" w:cs="Calibri" w:hint="eastAsia"/>
        </w:rPr>
        <w:t>by merging Wave 1,2,4 and 5 over</w:t>
      </w:r>
      <w:r w:rsidRPr="003D0D07">
        <w:rPr>
          <w:rFonts w:ascii="Calibri" w:hAnsi="Calibri" w:cs="Calibri"/>
        </w:rPr>
        <w:t xml:space="preserve"> 202</w:t>
      </w:r>
      <w:r w:rsidR="00B923C0">
        <w:rPr>
          <w:rFonts w:ascii="Calibri" w:eastAsiaTheme="minorEastAsia" w:hAnsi="Calibri" w:cs="Calibri" w:hint="eastAsia"/>
        </w:rPr>
        <w:t>2</w:t>
      </w:r>
      <w:r w:rsidRPr="003D0D07">
        <w:rPr>
          <w:rFonts w:ascii="Calibri" w:hAnsi="Calibri" w:cs="Calibri"/>
        </w:rPr>
        <w:t>–2024 follow-up, stratified by immunity type and age.</w:t>
      </w:r>
    </w:p>
    <w:p w14:paraId="4B69FFA9" w14:textId="77777777" w:rsidR="003D0D07" w:rsidRPr="003D0D07" w:rsidRDefault="003D0D07" w:rsidP="003D0D07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Calibri" w:hAnsi="Calibri" w:cs="Calibri"/>
        </w:rPr>
      </w:pPr>
      <w:r w:rsidRPr="003D0D07">
        <w:rPr>
          <w:rStyle w:val="Strong"/>
          <w:rFonts w:ascii="Calibri" w:eastAsiaTheme="majorEastAsia" w:hAnsi="Calibri" w:cs="Calibri"/>
        </w:rPr>
        <w:t>Analyses</w:t>
      </w:r>
      <w:r w:rsidRPr="003D0D07">
        <w:rPr>
          <w:rFonts w:ascii="Calibri" w:hAnsi="Calibri" w:cs="Calibri"/>
        </w:rPr>
        <w:t>:</w:t>
      </w:r>
    </w:p>
    <w:p w14:paraId="0845B647" w14:textId="77777777" w:rsidR="003D0D07" w:rsidRPr="003D0D07" w:rsidRDefault="003D0D07" w:rsidP="003D0D07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Calibri" w:hAnsi="Calibri" w:cs="Calibri"/>
        </w:rPr>
      </w:pPr>
      <w:r w:rsidRPr="003D0D07">
        <w:rPr>
          <w:rFonts w:ascii="Calibri" w:hAnsi="Calibri" w:cs="Calibri"/>
        </w:rPr>
        <w:t xml:space="preserve">Apply </w:t>
      </w:r>
      <w:r w:rsidRPr="003D0D07">
        <w:rPr>
          <w:rStyle w:val="Strong"/>
          <w:rFonts w:ascii="Calibri" w:eastAsiaTheme="majorEastAsia" w:hAnsi="Calibri" w:cs="Calibri"/>
        </w:rPr>
        <w:t>time-varying Cox regression</w:t>
      </w:r>
      <w:r w:rsidRPr="003D0D07">
        <w:rPr>
          <w:rFonts w:ascii="Calibri" w:hAnsi="Calibri" w:cs="Calibri"/>
        </w:rPr>
        <w:t xml:space="preserve"> to model breakthrough infection hazards, with time-dependent covariates (e.g., time since immunological event, antibody levels, booster status, variant type) to address survival bias. Use Schoenfeld residuals to ensure model fit.</w:t>
      </w:r>
    </w:p>
    <w:p w14:paraId="756E7E8F" w14:textId="77777777" w:rsidR="003D0D07" w:rsidRPr="003D0D07" w:rsidRDefault="003D0D07" w:rsidP="003D0D07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Calibri" w:hAnsi="Calibri" w:cs="Calibri"/>
        </w:rPr>
      </w:pPr>
      <w:r w:rsidRPr="003D0D07">
        <w:rPr>
          <w:rFonts w:ascii="Calibri" w:hAnsi="Calibri" w:cs="Calibri"/>
        </w:rPr>
        <w:t xml:space="preserve">Impute unconfirmed infection dates using predictive </w:t>
      </w:r>
      <w:proofErr w:type="gramStart"/>
      <w:r w:rsidRPr="003D0D07">
        <w:rPr>
          <w:rFonts w:ascii="Calibri" w:hAnsi="Calibri" w:cs="Calibri"/>
        </w:rPr>
        <w:t>mean</w:t>
      </w:r>
      <w:proofErr w:type="gramEnd"/>
      <w:r w:rsidRPr="003D0D07">
        <w:rPr>
          <w:rFonts w:ascii="Calibri" w:hAnsi="Calibri" w:cs="Calibri"/>
        </w:rPr>
        <w:t xml:space="preserve"> </w:t>
      </w:r>
      <w:proofErr w:type="gramStart"/>
      <w:r w:rsidRPr="003D0D07">
        <w:rPr>
          <w:rFonts w:ascii="Calibri" w:hAnsi="Calibri" w:cs="Calibri"/>
        </w:rPr>
        <w:t>matching ({</w:t>
      </w:r>
      <w:proofErr w:type="gramEnd"/>
      <w:r w:rsidRPr="003D0D07">
        <w:rPr>
          <w:rFonts w:ascii="Calibri" w:hAnsi="Calibri" w:cs="Calibri"/>
        </w:rPr>
        <w:t>mice} R package).</w:t>
      </w:r>
    </w:p>
    <w:p w14:paraId="2AFA19B4" w14:textId="77777777" w:rsidR="003D0D07" w:rsidRPr="003D0D07" w:rsidRDefault="003D0D07" w:rsidP="003D0D07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Calibri" w:hAnsi="Calibri" w:cs="Calibri"/>
        </w:rPr>
      </w:pPr>
      <w:r w:rsidRPr="003D0D07">
        <w:rPr>
          <w:rFonts w:ascii="Calibri" w:hAnsi="Calibri" w:cs="Calibri"/>
        </w:rPr>
        <w:t>Compare hazard ratios by immunity type, age, variant, and booster status, supplemented by Kaplan-Meier curves and log-rank tests.</w:t>
      </w:r>
    </w:p>
    <w:p w14:paraId="57B8DBA4" w14:textId="77777777" w:rsidR="003D0D07" w:rsidRPr="003D0D07" w:rsidRDefault="003D0D07" w:rsidP="003D0D07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Calibri" w:hAnsi="Calibri" w:cs="Calibri"/>
        </w:rPr>
      </w:pPr>
      <w:r w:rsidRPr="003D0D07">
        <w:rPr>
          <w:rFonts w:ascii="Calibri" w:hAnsi="Calibri" w:cs="Calibri"/>
        </w:rPr>
        <w:t>Assess booster effects via propensity score matching.</w:t>
      </w:r>
    </w:p>
    <w:p w14:paraId="14956032" w14:textId="77777777" w:rsidR="003D0D07" w:rsidRPr="003D0D07" w:rsidRDefault="003D0D07" w:rsidP="003D0D07">
      <w:pPr>
        <w:pStyle w:val="NormalWeb"/>
        <w:spacing w:before="0" w:beforeAutospacing="0" w:after="0" w:afterAutospacing="0"/>
        <w:rPr>
          <w:rStyle w:val="Strong"/>
          <w:rFonts w:ascii="Calibri" w:eastAsiaTheme="majorEastAsia" w:hAnsi="Calibri" w:cs="Calibri"/>
        </w:rPr>
      </w:pPr>
    </w:p>
    <w:p w14:paraId="4645F491" w14:textId="1A38EAD3" w:rsidR="003D0D07" w:rsidRPr="003D0D07" w:rsidRDefault="003D0D07" w:rsidP="003D0D07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3D0D07">
        <w:rPr>
          <w:rStyle w:val="Strong"/>
          <w:rFonts w:ascii="Calibri" w:eastAsiaTheme="majorEastAsia" w:hAnsi="Calibri" w:cs="Calibri"/>
        </w:rPr>
        <w:t>Expected Outcomes</w:t>
      </w:r>
      <w:r w:rsidRPr="003D0D07">
        <w:rPr>
          <w:rFonts w:ascii="Calibri" w:hAnsi="Calibri" w:cs="Calibri"/>
        </w:rPr>
        <w:t>:</w:t>
      </w:r>
    </w:p>
    <w:p w14:paraId="04C43AB1" w14:textId="7B4E2D10" w:rsidR="003D0D07" w:rsidRPr="003D0D07" w:rsidRDefault="003D0D07" w:rsidP="003D0D07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Calibri" w:hAnsi="Calibri" w:cs="Calibri"/>
        </w:rPr>
      </w:pPr>
      <w:r w:rsidRPr="003D0D07">
        <w:rPr>
          <w:rFonts w:ascii="Calibri" w:hAnsi="Calibri" w:cs="Calibri"/>
        </w:rPr>
        <w:t>Trajectories of antibody waning and breakthrough risks, identifying vulnerable groups.</w:t>
      </w:r>
    </w:p>
    <w:p w14:paraId="2E145F58" w14:textId="77777777" w:rsidR="003D0D07" w:rsidRPr="003D0D07" w:rsidRDefault="003D0D07" w:rsidP="003D0D07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Calibri" w:hAnsi="Calibri" w:cs="Calibri"/>
        </w:rPr>
      </w:pPr>
      <w:r w:rsidRPr="003D0D07">
        <w:rPr>
          <w:rFonts w:ascii="Calibri" w:hAnsi="Calibri" w:cs="Calibri"/>
        </w:rPr>
        <w:t>Evidence on booster efficacy, guiding vaccination schedules.</w:t>
      </w:r>
    </w:p>
    <w:p w14:paraId="5E9A8C35" w14:textId="77777777" w:rsidR="003D0D07" w:rsidRPr="003D0D07" w:rsidRDefault="003D0D07" w:rsidP="003D0D07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Calibri" w:hAnsi="Calibri" w:cs="Calibri"/>
        </w:rPr>
      </w:pPr>
      <w:r w:rsidRPr="003D0D07">
        <w:rPr>
          <w:rFonts w:ascii="Calibri" w:hAnsi="Calibri" w:cs="Calibri"/>
        </w:rPr>
        <w:t>Policy recommendations for targeted boosters and routine anti-N screening to curb silent transmission.</w:t>
      </w:r>
    </w:p>
    <w:p w14:paraId="6F6760A1" w14:textId="77777777" w:rsidR="003D0D07" w:rsidRPr="003D0D07" w:rsidRDefault="003D0D07" w:rsidP="003D0D07">
      <w:pPr>
        <w:pStyle w:val="NormalWeb"/>
        <w:spacing w:before="0" w:beforeAutospacing="0" w:after="0" w:afterAutospacing="0"/>
        <w:rPr>
          <w:rStyle w:val="Strong"/>
          <w:rFonts w:ascii="Calibri" w:eastAsiaTheme="majorEastAsia" w:hAnsi="Calibri" w:cs="Calibri"/>
        </w:rPr>
      </w:pPr>
    </w:p>
    <w:p w14:paraId="6A01B3E7" w14:textId="11672A1C" w:rsidR="003D0D07" w:rsidRPr="003D0D07" w:rsidRDefault="003D0D07" w:rsidP="003D0D07">
      <w:pPr>
        <w:pStyle w:val="NormalWeb"/>
        <w:spacing w:before="0" w:beforeAutospacing="0" w:after="0" w:afterAutospacing="0"/>
        <w:rPr>
          <w:rFonts w:ascii="Calibri" w:eastAsiaTheme="minorEastAsia" w:hAnsi="Calibri" w:cs="Calibri"/>
        </w:rPr>
      </w:pPr>
      <w:r w:rsidRPr="003D0D07">
        <w:rPr>
          <w:rStyle w:val="Strong"/>
          <w:rFonts w:ascii="Calibri" w:eastAsiaTheme="majorEastAsia" w:hAnsi="Calibri" w:cs="Calibri"/>
        </w:rPr>
        <w:t>Significance</w:t>
      </w:r>
      <w:r w:rsidRPr="003D0D07">
        <w:rPr>
          <w:rFonts w:ascii="Calibri" w:hAnsi="Calibri" w:cs="Calibri"/>
        </w:rPr>
        <w:t>: This study will clarify immunity dynamics against evolving SARS-CoV-2 variants</w:t>
      </w:r>
      <w:r w:rsidR="00717E35">
        <w:rPr>
          <w:rFonts w:ascii="Calibri" w:eastAsiaTheme="minorEastAsia" w:hAnsi="Calibri" w:cs="Calibri" w:hint="eastAsia"/>
        </w:rPr>
        <w:t xml:space="preserve"> with </w:t>
      </w:r>
      <w:r w:rsidR="00717E35">
        <w:rPr>
          <w:rFonts w:ascii="Calibri" w:eastAsiaTheme="minorEastAsia" w:hAnsi="Calibri" w:cs="Calibri"/>
        </w:rPr>
        <w:t>increasing</w:t>
      </w:r>
      <w:r w:rsidR="00717E35">
        <w:rPr>
          <w:rFonts w:ascii="Calibri" w:eastAsiaTheme="minorEastAsia" w:hAnsi="Calibri" w:cs="Calibri" w:hint="eastAsia"/>
        </w:rPr>
        <w:t xml:space="preserve"> </w:t>
      </w:r>
      <w:r w:rsidR="00717E35">
        <w:rPr>
          <w:rFonts w:ascii="Calibri" w:hAnsi="Calibri" w:cs="Calibri"/>
        </w:rPr>
        <w:t>unconfirmed infections</w:t>
      </w:r>
      <w:r w:rsidR="00717E35">
        <w:rPr>
          <w:rFonts w:ascii="Calibri" w:eastAsiaTheme="minorEastAsia" w:hAnsi="Calibri" w:cs="Calibri"/>
        </w:rPr>
        <w:t>, mitigating survival bias with time-varying Cox regression,</w:t>
      </w:r>
      <w:r w:rsidRPr="003D0D07">
        <w:rPr>
          <w:rFonts w:ascii="Calibri" w:hAnsi="Calibri" w:cs="Calibri"/>
        </w:rPr>
        <w:t xml:space="preserve"> and addressing </w:t>
      </w:r>
      <w:r w:rsidR="00D53424">
        <w:rPr>
          <w:rFonts w:ascii="Calibri" w:eastAsiaTheme="minorEastAsia" w:hAnsi="Calibri" w:cs="Calibri" w:hint="eastAsia"/>
        </w:rPr>
        <w:t xml:space="preserve">N </w:t>
      </w:r>
      <w:proofErr w:type="gramStart"/>
      <w:r w:rsidR="00D53424">
        <w:rPr>
          <w:rFonts w:ascii="Calibri" w:eastAsiaTheme="minorEastAsia" w:hAnsi="Calibri" w:cs="Calibri" w:hint="eastAsia"/>
        </w:rPr>
        <w:t>titer based</w:t>
      </w:r>
      <w:proofErr w:type="gramEnd"/>
      <w:r w:rsidR="00D53424">
        <w:rPr>
          <w:rFonts w:ascii="Calibri" w:eastAsiaTheme="minorEastAsia" w:hAnsi="Calibri" w:cs="Calibri" w:hint="eastAsia"/>
        </w:rPr>
        <w:t xml:space="preserve"> </w:t>
      </w:r>
      <w:r w:rsidR="00D53424">
        <w:rPr>
          <w:rFonts w:ascii="Calibri" w:eastAsiaTheme="minorEastAsia" w:hAnsi="Calibri" w:cs="Calibri"/>
        </w:rPr>
        <w:t>decision</w:t>
      </w:r>
      <w:r w:rsidR="00D53424">
        <w:rPr>
          <w:rFonts w:ascii="Calibri" w:eastAsiaTheme="minorEastAsia" w:hAnsi="Calibri" w:cs="Calibri" w:hint="eastAsia"/>
        </w:rPr>
        <w:t xml:space="preserve"> </w:t>
      </w:r>
      <w:r w:rsidRPr="003D0D07">
        <w:rPr>
          <w:rFonts w:ascii="Calibri" w:hAnsi="Calibri" w:cs="Calibri"/>
        </w:rPr>
        <w:t>uncertainty. Focusing on high-risk groups, it will inform tailored vaccination and surveillance strategies, enhancing public health responses in South Korea and globally.</w:t>
      </w:r>
    </w:p>
    <w:p w14:paraId="645A38E0" w14:textId="77777777" w:rsidR="003D0D07" w:rsidRPr="003D0D07" w:rsidRDefault="003D0D07" w:rsidP="003D0D07">
      <w:pPr>
        <w:pStyle w:val="NormalWeb"/>
        <w:spacing w:before="0" w:beforeAutospacing="0" w:after="0" w:afterAutospacing="0"/>
        <w:rPr>
          <w:rFonts w:ascii="Calibri" w:eastAsiaTheme="minorEastAsia" w:hAnsi="Calibri" w:cs="Calibri" w:hint="eastAsia"/>
          <w:sz w:val="22"/>
          <w:szCs w:val="22"/>
        </w:rPr>
      </w:pPr>
    </w:p>
    <w:sectPr w:rsidR="003D0D07" w:rsidRPr="003D0D07" w:rsidSect="003D0D07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2462"/>
    <w:multiLevelType w:val="multilevel"/>
    <w:tmpl w:val="DF6AA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455A9"/>
    <w:multiLevelType w:val="multilevel"/>
    <w:tmpl w:val="17BC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63C11"/>
    <w:multiLevelType w:val="multilevel"/>
    <w:tmpl w:val="410A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45476"/>
    <w:multiLevelType w:val="multilevel"/>
    <w:tmpl w:val="D36A1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483F59"/>
    <w:multiLevelType w:val="multilevel"/>
    <w:tmpl w:val="142A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A4F8E"/>
    <w:multiLevelType w:val="multilevel"/>
    <w:tmpl w:val="959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06BDD"/>
    <w:multiLevelType w:val="multilevel"/>
    <w:tmpl w:val="8F6E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A04A8"/>
    <w:multiLevelType w:val="multilevel"/>
    <w:tmpl w:val="A3988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D465C6"/>
    <w:multiLevelType w:val="multilevel"/>
    <w:tmpl w:val="F4AE475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4405E3"/>
    <w:multiLevelType w:val="multilevel"/>
    <w:tmpl w:val="EF48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67208A"/>
    <w:multiLevelType w:val="multilevel"/>
    <w:tmpl w:val="12161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6A539C"/>
    <w:multiLevelType w:val="multilevel"/>
    <w:tmpl w:val="C35C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3F381A"/>
    <w:multiLevelType w:val="multilevel"/>
    <w:tmpl w:val="DABE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895362"/>
    <w:multiLevelType w:val="multilevel"/>
    <w:tmpl w:val="4838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2F5E47"/>
    <w:multiLevelType w:val="multilevel"/>
    <w:tmpl w:val="374010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43247E"/>
    <w:multiLevelType w:val="multilevel"/>
    <w:tmpl w:val="4A20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844789">
    <w:abstractNumId w:val="3"/>
  </w:num>
  <w:num w:numId="2" w16cid:durableId="2126994377">
    <w:abstractNumId w:val="15"/>
  </w:num>
  <w:num w:numId="3" w16cid:durableId="2000428244">
    <w:abstractNumId w:val="2"/>
  </w:num>
  <w:num w:numId="4" w16cid:durableId="1917587533">
    <w:abstractNumId w:val="10"/>
  </w:num>
  <w:num w:numId="5" w16cid:durableId="1509562945">
    <w:abstractNumId w:val="4"/>
  </w:num>
  <w:num w:numId="6" w16cid:durableId="939869769">
    <w:abstractNumId w:val="11"/>
  </w:num>
  <w:num w:numId="7" w16cid:durableId="610403824">
    <w:abstractNumId w:val="6"/>
  </w:num>
  <w:num w:numId="8" w16cid:durableId="1905868206">
    <w:abstractNumId w:val="13"/>
  </w:num>
  <w:num w:numId="9" w16cid:durableId="633608604">
    <w:abstractNumId w:val="5"/>
  </w:num>
  <w:num w:numId="10" w16cid:durableId="1740204865">
    <w:abstractNumId w:val="0"/>
  </w:num>
  <w:num w:numId="11" w16cid:durableId="330836358">
    <w:abstractNumId w:val="14"/>
  </w:num>
  <w:num w:numId="12" w16cid:durableId="1419323454">
    <w:abstractNumId w:val="12"/>
  </w:num>
  <w:num w:numId="13" w16cid:durableId="1018656893">
    <w:abstractNumId w:val="7"/>
  </w:num>
  <w:num w:numId="14" w16cid:durableId="1330792108">
    <w:abstractNumId w:val="9"/>
  </w:num>
  <w:num w:numId="15" w16cid:durableId="86508732">
    <w:abstractNumId w:val="1"/>
  </w:num>
  <w:num w:numId="16" w16cid:durableId="7529755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QxNjY3MrEwt7AwMbJU0lEKTi0uzszPAykwrAUAirrl6CwAAAA="/>
  </w:docVars>
  <w:rsids>
    <w:rsidRoot w:val="00591BF2"/>
    <w:rsid w:val="003C58F2"/>
    <w:rsid w:val="003D0D07"/>
    <w:rsid w:val="004E4E7B"/>
    <w:rsid w:val="00563EA8"/>
    <w:rsid w:val="00591BF2"/>
    <w:rsid w:val="00717E35"/>
    <w:rsid w:val="007208EC"/>
    <w:rsid w:val="0073762E"/>
    <w:rsid w:val="00B923C0"/>
    <w:rsid w:val="00BC63FF"/>
    <w:rsid w:val="00D53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6B3103"/>
  <w15:chartTrackingRefBased/>
  <w15:docId w15:val="{8A0266C7-5F06-4AFB-8557-1856B28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1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1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1B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B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B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B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B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BF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91BF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91B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3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8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306</Words>
  <Characters>2048</Characters>
  <Application>Microsoft Office Word</Application>
  <DocSecurity>0</DocSecurity>
  <Lines>37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Jo,Youngji</dc:creator>
  <cp:keywords/>
  <dc:description/>
  <cp:lastModifiedBy>Jo,Youngji</cp:lastModifiedBy>
  <cp:revision>5</cp:revision>
  <dcterms:created xsi:type="dcterms:W3CDTF">2025-05-11T10:42:00Z</dcterms:created>
  <dcterms:modified xsi:type="dcterms:W3CDTF">2025-05-11T11:27:00Z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b5f9d884-c9ad-4f0f-902f-01d95cd97693</vt:lpwstr>
  </property>
</Properties>
</file>