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57CCF" w14:textId="21922360" w:rsidR="00ED1CF7" w:rsidRDefault="00ED1CF7" w:rsidP="00506D21">
      <w:pPr>
        <w:spacing w:line="240" w:lineRule="auto"/>
        <w:rPr>
          <w:rFonts w:ascii="Times New Roman" w:hAnsi="Times New Roman" w:cs="Times New Roman"/>
          <w:sz w:val="22"/>
          <w:szCs w:val="22"/>
        </w:rPr>
      </w:pPr>
      <w:r w:rsidRPr="00506D21">
        <w:rPr>
          <w:rFonts w:ascii="Times New Roman" w:hAnsi="Times New Roman" w:cs="Times New Roman"/>
          <w:sz w:val="22"/>
          <w:szCs w:val="22"/>
        </w:rPr>
        <w:t xml:space="preserve">Reviewer </w:t>
      </w:r>
      <w:r>
        <w:rPr>
          <w:rFonts w:ascii="Times New Roman" w:hAnsi="Times New Roman" w:cs="Times New Roman" w:hint="eastAsia"/>
          <w:sz w:val="22"/>
          <w:szCs w:val="22"/>
        </w:rPr>
        <w:t>1</w:t>
      </w:r>
    </w:p>
    <w:p w14:paraId="2875CAB2" w14:textId="3C59C273" w:rsidR="00E62920" w:rsidRDefault="008A21EB"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B3495D" w:rsidRPr="00B3495D">
        <w:rPr>
          <w:rFonts w:ascii="Times New Roman" w:hAnsi="Times New Roman" w:cs="Times New Roman"/>
          <w:b/>
          <w:bCs/>
          <w:sz w:val="22"/>
          <w:szCs w:val="22"/>
        </w:rPr>
        <w:t xml:space="preserve"> 1.</w:t>
      </w:r>
      <w:r w:rsidR="00B3495D">
        <w:rPr>
          <w:rFonts w:ascii="Times New Roman" w:hAnsi="Times New Roman" w:cs="Times New Roman"/>
          <w:sz w:val="22"/>
          <w:szCs w:val="22"/>
        </w:rPr>
        <w:t xml:space="preserve"> </w:t>
      </w:r>
      <w:r w:rsidR="00506D21" w:rsidRPr="00506D21">
        <w:rPr>
          <w:rFonts w:ascii="Times New Roman" w:hAnsi="Times New Roman" w:cs="Times New Roman"/>
          <w:sz w:val="22"/>
          <w:szCs w:val="22"/>
        </w:rPr>
        <w:t>The abstract should clearly specify what is meant by “infection risk.” Infection with what variant? This clarification would help readers interpret the protective effectiveness estimates correctly.</w:t>
      </w:r>
    </w:p>
    <w:p w14:paraId="5BE58A28" w14:textId="77777777" w:rsidR="009A0924" w:rsidRPr="009A0924" w:rsidRDefault="00B3495D" w:rsidP="009A0924">
      <w:pPr>
        <w:spacing w:line="240" w:lineRule="auto"/>
        <w:rPr>
          <w:rFonts w:ascii="Times New Roman" w:hAnsi="Times New Roman" w:cs="Times New Roman"/>
          <w:sz w:val="22"/>
          <w:szCs w:val="22"/>
        </w:rPr>
      </w:pPr>
      <w:r w:rsidRPr="009A0924">
        <w:rPr>
          <w:rFonts w:ascii="Times New Roman" w:hAnsi="Times New Roman" w:cs="Times New Roman"/>
          <w:b/>
          <w:bCs/>
          <w:sz w:val="22"/>
          <w:szCs w:val="22"/>
        </w:rPr>
        <w:t>Response</w:t>
      </w:r>
      <w:r w:rsidR="00E62920" w:rsidRPr="009A0924">
        <w:rPr>
          <w:rFonts w:ascii="Times New Roman" w:hAnsi="Times New Roman" w:cs="Times New Roman"/>
          <w:b/>
          <w:bCs/>
          <w:sz w:val="22"/>
          <w:szCs w:val="22"/>
        </w:rPr>
        <w:t>:</w:t>
      </w:r>
      <w:r w:rsidR="00E62920">
        <w:rPr>
          <w:rFonts w:ascii="Times New Roman" w:hAnsi="Times New Roman" w:cs="Times New Roman"/>
          <w:sz w:val="22"/>
          <w:szCs w:val="22"/>
        </w:rPr>
        <w:t xml:space="preserve"> </w:t>
      </w:r>
      <w:r w:rsidR="009A0924" w:rsidRPr="009A0924">
        <w:rPr>
          <w:rFonts w:ascii="Times New Roman" w:hAnsi="Times New Roman" w:cs="Times New Roman"/>
          <w:sz w:val="22"/>
          <w:szCs w:val="22"/>
        </w:rPr>
        <w:t>We clarified in the abstract that the infection risk refers specifically to SARS-CoV-2 Omicron infections. The revised sentence now reads:</w:t>
      </w:r>
    </w:p>
    <w:p w14:paraId="424904B9" w14:textId="0FF214AC" w:rsidR="00E62920" w:rsidRDefault="009A0924" w:rsidP="009A0924">
      <w:pPr>
        <w:spacing w:line="240" w:lineRule="auto"/>
        <w:rPr>
          <w:rFonts w:ascii="Times New Roman" w:hAnsi="Times New Roman" w:cs="Times New Roman"/>
          <w:sz w:val="22"/>
          <w:szCs w:val="22"/>
        </w:rPr>
      </w:pPr>
      <w:r w:rsidRPr="009A0924">
        <w:rPr>
          <w:rFonts w:ascii="Times New Roman" w:hAnsi="Times New Roman" w:cs="Times New Roman"/>
          <w:sz w:val="22"/>
          <w:szCs w:val="22"/>
        </w:rPr>
        <w:t>“Evaluating the risk of SARS-CoV-2 Omicron infection after the Omicron wave is challenging due to unconfirmed infections.”</w:t>
      </w:r>
    </w:p>
    <w:p w14:paraId="7A8539C5" w14:textId="77777777" w:rsidR="009A0924" w:rsidRPr="00506D21" w:rsidRDefault="009A0924" w:rsidP="009A0924">
      <w:pPr>
        <w:spacing w:line="240" w:lineRule="auto"/>
        <w:rPr>
          <w:rFonts w:ascii="Times New Roman" w:hAnsi="Times New Roman" w:cs="Times New Roman"/>
          <w:sz w:val="22"/>
          <w:szCs w:val="22"/>
        </w:rPr>
      </w:pPr>
    </w:p>
    <w:p w14:paraId="11A5B051" w14:textId="44D4A695" w:rsidR="00506D21" w:rsidRDefault="00067D6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b/>
          <w:bCs/>
          <w:sz w:val="22"/>
          <w:szCs w:val="22"/>
        </w:rPr>
        <w:t>2</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In several sections, the hazard ratio (HR) is described as if it were the confidence interval (CI). Correcting these instances and presenting HRs and CIs distinctly would help resolve these issues.</w:t>
      </w:r>
    </w:p>
    <w:p w14:paraId="714E41E0" w14:textId="26361E9C" w:rsidR="00067D65" w:rsidRPr="00506D21" w:rsidRDefault="00067D65" w:rsidP="00506D21">
      <w:pPr>
        <w:spacing w:line="240" w:lineRule="auto"/>
        <w:rPr>
          <w:rFonts w:ascii="Times New Roman" w:hAnsi="Times New Roman" w:cs="Times New Roman"/>
          <w:sz w:val="22"/>
          <w:szCs w:val="22"/>
        </w:rPr>
      </w:pPr>
      <w:r w:rsidRPr="00067D65">
        <w:rPr>
          <w:rFonts w:ascii="Times New Roman" w:hAnsi="Times New Roman" w:cs="Times New Roman"/>
          <w:b/>
          <w:bCs/>
          <w:sz w:val="22"/>
          <w:szCs w:val="22"/>
        </w:rPr>
        <w:t>Response:</w:t>
      </w:r>
      <w:r>
        <w:rPr>
          <w:rFonts w:ascii="Times New Roman" w:hAnsi="Times New Roman" w:cs="Times New Roman"/>
          <w:sz w:val="22"/>
          <w:szCs w:val="22"/>
        </w:rPr>
        <w:t xml:space="preserve"> </w:t>
      </w:r>
      <w:r w:rsidRPr="00067D65">
        <w:rPr>
          <w:rFonts w:ascii="Times New Roman" w:hAnsi="Times New Roman" w:cs="Times New Roman"/>
          <w:sz w:val="22"/>
          <w:szCs w:val="22"/>
        </w:rPr>
        <w:t>We reviewed the manuscript and corrected all instances where hazard ratios and confidence intervals were not clearly distinguished. All estimates are now consistently reported in the format HR = X (95% CI: L, U), ensuring clear separation between HRs and their corresponding confidence intervals</w:t>
      </w:r>
    </w:p>
    <w:p w14:paraId="6B6C6B1D" w14:textId="77777777" w:rsidR="00067D65" w:rsidRDefault="00067D65" w:rsidP="00506D21">
      <w:pPr>
        <w:spacing w:line="240" w:lineRule="auto"/>
        <w:rPr>
          <w:rFonts w:ascii="Times New Roman" w:hAnsi="Times New Roman" w:cs="Times New Roman"/>
          <w:sz w:val="22"/>
          <w:szCs w:val="22"/>
        </w:rPr>
      </w:pPr>
    </w:p>
    <w:p w14:paraId="23B23E8E" w14:textId="55939746" w:rsidR="00506D21" w:rsidRDefault="00DA1048"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hint="eastAsia"/>
          <w:b/>
          <w:bCs/>
          <w:sz w:val="22"/>
          <w:szCs w:val="22"/>
        </w:rPr>
        <w:t>3</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DA1048">
        <w:rPr>
          <w:rFonts w:ascii="Times New Roman" w:hAnsi="Times New Roman" w:cs="Times New Roman"/>
          <w:sz w:val="22"/>
          <w:szCs w:val="22"/>
        </w:rPr>
        <w:t>Clarify throughout the results that HRs are relative to specific reference groups (e.g., hybrid immunity vs. vaccine-only or infection-only). Consistent phrasing like “HR compared to the hybrid immunity group” would improve comprehension.</w:t>
      </w:r>
    </w:p>
    <w:p w14:paraId="1A71340E" w14:textId="4935F165" w:rsidR="00DA1048" w:rsidRDefault="00DA1048" w:rsidP="00506D21">
      <w:pPr>
        <w:spacing w:line="240" w:lineRule="auto"/>
        <w:rPr>
          <w:rFonts w:ascii="Times New Roman" w:hAnsi="Times New Roman" w:cs="Times New Roman"/>
          <w:sz w:val="22"/>
          <w:szCs w:val="22"/>
        </w:rPr>
      </w:pPr>
      <w:r w:rsidRPr="00067D65">
        <w:rPr>
          <w:rFonts w:ascii="Times New Roman" w:hAnsi="Times New Roman" w:cs="Times New Roman"/>
          <w:b/>
          <w:bCs/>
          <w:sz w:val="22"/>
          <w:szCs w:val="22"/>
        </w:rPr>
        <w:t>Response:</w:t>
      </w:r>
      <w:r>
        <w:rPr>
          <w:rFonts w:ascii="Times New Roman" w:hAnsi="Times New Roman" w:cs="Times New Roman"/>
          <w:sz w:val="22"/>
          <w:szCs w:val="22"/>
        </w:rPr>
        <w:t xml:space="preserve"> </w:t>
      </w:r>
      <w:r w:rsidRPr="00DA1048">
        <w:rPr>
          <w:rFonts w:ascii="Times New Roman" w:hAnsi="Times New Roman" w:cs="Times New Roman"/>
          <w:sz w:val="22"/>
          <w:szCs w:val="22"/>
        </w:rPr>
        <w:t>We revised the Results section to explicitly indicate the reference group for all hazard ratios. Each comparison now consistently specifies the direction of the contrast (e.g., “vaccine-induced vs hybrid-induced” and “infection-induced vs hybrid-induced”), ensuring clarity throughout the manuscript.</w:t>
      </w:r>
    </w:p>
    <w:p w14:paraId="3EC1194B" w14:textId="77777777" w:rsidR="00DA1048" w:rsidRPr="00506D21" w:rsidRDefault="00DA1048" w:rsidP="00506D21">
      <w:pPr>
        <w:spacing w:line="240" w:lineRule="auto"/>
        <w:rPr>
          <w:rFonts w:ascii="Times New Roman" w:hAnsi="Times New Roman" w:cs="Times New Roman"/>
          <w:sz w:val="22"/>
          <w:szCs w:val="22"/>
        </w:rPr>
      </w:pPr>
    </w:p>
    <w:p w14:paraId="08168902" w14:textId="77777777" w:rsidR="00506D21" w:rsidRPr="00506D21" w:rsidRDefault="00506D21" w:rsidP="00506D21">
      <w:pPr>
        <w:spacing w:line="240" w:lineRule="auto"/>
        <w:rPr>
          <w:rFonts w:ascii="Times New Roman" w:hAnsi="Times New Roman" w:cs="Times New Roman"/>
          <w:sz w:val="22"/>
          <w:szCs w:val="22"/>
        </w:rPr>
      </w:pPr>
      <w:r w:rsidRPr="00506D21">
        <w:rPr>
          <w:rFonts w:ascii="Times New Roman" w:hAnsi="Times New Roman" w:cs="Times New Roman"/>
          <w:sz w:val="22"/>
          <w:szCs w:val="22"/>
        </w:rPr>
        <w:t>Add direct comparison between immunity types.</w:t>
      </w:r>
    </w:p>
    <w:p w14:paraId="6392C6C6" w14:textId="202B7AFF" w:rsidR="00506D21" w:rsidRPr="00506D21" w:rsidRDefault="0075448F"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hint="eastAsia"/>
          <w:b/>
          <w:bCs/>
          <w:sz w:val="22"/>
          <w:szCs w:val="22"/>
        </w:rPr>
        <w:t>4</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D86030">
        <w:rPr>
          <w:rFonts w:ascii="Times New Roman" w:hAnsi="Times New Roman" w:cs="Times New Roman"/>
          <w:sz w:val="22"/>
          <w:szCs w:val="22"/>
        </w:rPr>
        <w:t>Although hybrid immunity is the focus, including an explicit comparison between infection-only and vaccine-only</w:t>
      </w:r>
      <w:r w:rsidR="00EF36DF" w:rsidRPr="00D86030">
        <w:rPr>
          <w:rFonts w:ascii="Times New Roman" w:hAnsi="Times New Roman" w:cs="Times New Roman"/>
          <w:sz w:val="22"/>
          <w:szCs w:val="22"/>
        </w:rPr>
        <w:t xml:space="preserve"> </w:t>
      </w:r>
      <w:r w:rsidR="00506D21" w:rsidRPr="00D86030">
        <w:rPr>
          <w:rFonts w:ascii="Times New Roman" w:hAnsi="Times New Roman" w:cs="Times New Roman"/>
          <w:sz w:val="22"/>
          <w:szCs w:val="22"/>
        </w:rPr>
        <w:t>groups (e.g., HRs for infection-only vs. vaccine-only) would provide a more complete and holistic understanding of differential protection, given that the data already exists.</w:t>
      </w:r>
    </w:p>
    <w:p w14:paraId="0434C3AF" w14:textId="18D30B9A" w:rsidR="00DA1048" w:rsidRDefault="00D86030" w:rsidP="00506D21">
      <w:pPr>
        <w:spacing w:line="240" w:lineRule="auto"/>
        <w:rPr>
          <w:rFonts w:ascii="Times New Roman" w:hAnsi="Times New Roman" w:cs="Times New Roman"/>
          <w:sz w:val="22"/>
          <w:szCs w:val="22"/>
        </w:rPr>
      </w:pPr>
      <w:r w:rsidRPr="00067D65">
        <w:rPr>
          <w:rFonts w:ascii="Times New Roman" w:hAnsi="Times New Roman" w:cs="Times New Roman"/>
          <w:b/>
          <w:bCs/>
          <w:sz w:val="22"/>
          <w:szCs w:val="22"/>
        </w:rPr>
        <w:t>Response:</w:t>
      </w:r>
      <w:r>
        <w:rPr>
          <w:rFonts w:ascii="Times New Roman" w:hAnsi="Times New Roman" w:cs="Times New Roman" w:hint="eastAsia"/>
          <w:b/>
          <w:bCs/>
          <w:sz w:val="22"/>
          <w:szCs w:val="22"/>
        </w:rPr>
        <w:t xml:space="preserve"> </w:t>
      </w:r>
      <w:r w:rsidRPr="00D86030">
        <w:rPr>
          <w:rFonts w:ascii="Times New Roman" w:hAnsi="Times New Roman" w:cs="Times New Roman"/>
          <w:sz w:val="22"/>
          <w:szCs w:val="22"/>
        </w:rPr>
        <w:t>A direct vaccine-only vs. infection-only comparison has been added in Figure S1, providing explicit time-varying hazard ratio estimates between these two groups as requested.</w:t>
      </w:r>
    </w:p>
    <w:p w14:paraId="247A6AFB" w14:textId="77777777" w:rsidR="00074722" w:rsidRDefault="00074722" w:rsidP="00506D21">
      <w:pPr>
        <w:spacing w:line="240" w:lineRule="auto"/>
        <w:rPr>
          <w:rFonts w:ascii="Times New Roman" w:hAnsi="Times New Roman" w:cs="Times New Roman"/>
          <w:sz w:val="22"/>
          <w:szCs w:val="22"/>
        </w:rPr>
      </w:pPr>
    </w:p>
    <w:p w14:paraId="113B7669" w14:textId="1F103913" w:rsidR="00506D21" w:rsidRDefault="00074722"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b/>
          <w:bCs/>
          <w:sz w:val="22"/>
          <w:szCs w:val="22"/>
        </w:rPr>
        <w:t>5</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074722">
        <w:rPr>
          <w:rFonts w:ascii="Times New Roman" w:hAnsi="Times New Roman" w:cs="Times New Roman"/>
          <w:sz w:val="22"/>
          <w:szCs w:val="22"/>
          <w:highlight w:val="yellow"/>
        </w:rPr>
        <w:t>The discussion could be strengthened by addressing potential biological or immunological explanations for the observed waning immunity over time and differences between groups, rather than only stating that they exist. Prior literature on immune escape, antibody durability, and T-cell response could be cited to contextualize your findings.</w:t>
      </w:r>
    </w:p>
    <w:p w14:paraId="10169EC6" w14:textId="77777777" w:rsidR="00074722" w:rsidRPr="00506D21" w:rsidRDefault="00074722" w:rsidP="00506D21">
      <w:pPr>
        <w:spacing w:line="240" w:lineRule="auto"/>
        <w:rPr>
          <w:rFonts w:ascii="Times New Roman" w:hAnsi="Times New Roman" w:cs="Times New Roman"/>
          <w:sz w:val="22"/>
          <w:szCs w:val="22"/>
        </w:rPr>
      </w:pPr>
    </w:p>
    <w:p w14:paraId="2430E4E7" w14:textId="457386E8" w:rsidR="00506D21" w:rsidRPr="00506D21" w:rsidRDefault="0073220D"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b/>
          <w:bCs/>
          <w:sz w:val="22"/>
          <w:szCs w:val="22"/>
        </w:rPr>
        <w:t>6</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Consider expanding on how these results could inform real-world interventions—such as booster strategies, prioritization of vaccination in previously infected populations, or timing of hybrid immunity optimization.</w:t>
      </w:r>
    </w:p>
    <w:p w14:paraId="3E6F9AE3" w14:textId="1DF2C0B3" w:rsidR="00506D21" w:rsidRPr="00506D21" w:rsidRDefault="00506D21" w:rsidP="00506D21">
      <w:pPr>
        <w:spacing w:line="240" w:lineRule="auto"/>
        <w:rPr>
          <w:rFonts w:ascii="Times New Roman" w:hAnsi="Times New Roman" w:cs="Times New Roman"/>
          <w:sz w:val="22"/>
          <w:szCs w:val="22"/>
        </w:rPr>
      </w:pPr>
      <w:r w:rsidRPr="00506D21">
        <w:rPr>
          <w:rFonts w:ascii="Times New Roman" w:hAnsi="Times New Roman" w:cs="Times New Roman"/>
          <w:sz w:val="22"/>
          <w:szCs w:val="22"/>
        </w:rPr>
        <w:t xml:space="preserve"> </w:t>
      </w:r>
      <w:r w:rsidR="001B3225" w:rsidRPr="00067D65">
        <w:rPr>
          <w:rFonts w:ascii="Times New Roman" w:hAnsi="Times New Roman" w:cs="Times New Roman"/>
          <w:b/>
          <w:bCs/>
          <w:sz w:val="22"/>
          <w:szCs w:val="22"/>
        </w:rPr>
        <w:t>Response:</w:t>
      </w:r>
      <w:r w:rsidR="001B3225">
        <w:rPr>
          <w:rFonts w:ascii="Times New Roman" w:hAnsi="Times New Roman" w:cs="Times New Roman" w:hint="eastAsia"/>
          <w:b/>
          <w:bCs/>
          <w:sz w:val="22"/>
          <w:szCs w:val="22"/>
        </w:rPr>
        <w:t xml:space="preserve"> </w:t>
      </w:r>
      <w:r w:rsidR="001B3225" w:rsidRPr="001B3225">
        <w:rPr>
          <w:rFonts w:ascii="Times New Roman" w:hAnsi="Times New Roman" w:cs="Times New Roman"/>
          <w:sz w:val="22"/>
          <w:szCs w:val="22"/>
        </w:rPr>
        <w:t xml:space="preserve">We added a short paragraph clarifying the public health relevance of our findings, emphasizing how the observed waning patterns inform booster timing and prioritization for previously </w:t>
      </w:r>
      <w:r w:rsidR="001B3225" w:rsidRPr="001B3225">
        <w:rPr>
          <w:rFonts w:ascii="Times New Roman" w:hAnsi="Times New Roman" w:cs="Times New Roman"/>
          <w:sz w:val="22"/>
          <w:szCs w:val="22"/>
        </w:rPr>
        <w:lastRenderedPageBreak/>
        <w:t>infected or high-risk groups. This revision directly addresses the reviewer’s request for clearer practical implications.</w:t>
      </w:r>
    </w:p>
    <w:p w14:paraId="5A95BD59" w14:textId="77777777" w:rsidR="00506D21" w:rsidRPr="00506D21" w:rsidRDefault="00506D21" w:rsidP="00506D21">
      <w:pPr>
        <w:spacing w:line="240" w:lineRule="auto"/>
        <w:rPr>
          <w:rFonts w:ascii="Times New Roman" w:hAnsi="Times New Roman" w:cs="Times New Roman"/>
          <w:sz w:val="22"/>
          <w:szCs w:val="22"/>
        </w:rPr>
      </w:pPr>
      <w:r w:rsidRPr="00506D21">
        <w:rPr>
          <w:rFonts w:ascii="Times New Roman" w:hAnsi="Times New Roman" w:cs="Times New Roman"/>
          <w:sz w:val="22"/>
          <w:szCs w:val="22"/>
        </w:rPr>
        <w:t xml:space="preserve"> </w:t>
      </w:r>
    </w:p>
    <w:p w14:paraId="3D8DD2BA" w14:textId="59A1F99C" w:rsidR="00506D21" w:rsidRPr="00506D21" w:rsidRDefault="003D2B63"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hint="eastAsia"/>
          <w:b/>
          <w:bCs/>
          <w:sz w:val="22"/>
          <w:szCs w:val="22"/>
        </w:rPr>
        <w:t>7</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Review grammar, punctuation, and sentence length throughout to improve readability. Some sentences are overly long and can be divided for clarity.</w:t>
      </w:r>
    </w:p>
    <w:p w14:paraId="04DA09C8" w14:textId="77777777" w:rsidR="00506D21" w:rsidRDefault="00506D21" w:rsidP="00506D21">
      <w:pPr>
        <w:spacing w:line="240" w:lineRule="auto"/>
        <w:rPr>
          <w:rFonts w:ascii="Times New Roman" w:hAnsi="Times New Roman" w:cs="Times New Roman"/>
          <w:sz w:val="22"/>
          <w:szCs w:val="22"/>
        </w:rPr>
      </w:pPr>
      <w:r w:rsidRPr="00506D21">
        <w:rPr>
          <w:rFonts w:ascii="Times New Roman" w:hAnsi="Times New Roman" w:cs="Times New Roman"/>
          <w:sz w:val="22"/>
          <w:szCs w:val="22"/>
        </w:rPr>
        <w:t>Ensure consistent formatting of font, spacing, and statistical notation (e.g., use of p-values, HR, CI).</w:t>
      </w:r>
    </w:p>
    <w:p w14:paraId="39B7E348" w14:textId="5F7026A6" w:rsidR="003D2B63" w:rsidRPr="00506D21" w:rsidRDefault="003D2B63" w:rsidP="00506D21">
      <w:pPr>
        <w:spacing w:line="240" w:lineRule="auto"/>
        <w:rPr>
          <w:rFonts w:ascii="Times New Roman" w:hAnsi="Times New Roman" w:cs="Times New Roman"/>
          <w:sz w:val="22"/>
          <w:szCs w:val="22"/>
        </w:rPr>
      </w:pPr>
      <w:r w:rsidRPr="00067D65">
        <w:rPr>
          <w:rFonts w:ascii="Times New Roman" w:hAnsi="Times New Roman" w:cs="Times New Roman"/>
          <w:b/>
          <w:bCs/>
          <w:sz w:val="22"/>
          <w:szCs w:val="22"/>
        </w:rPr>
        <w:t>Response:</w:t>
      </w:r>
      <w:r w:rsidR="00142042">
        <w:rPr>
          <w:rFonts w:ascii="Times New Roman" w:hAnsi="Times New Roman" w:cs="Times New Roman" w:hint="eastAsia"/>
          <w:b/>
          <w:bCs/>
          <w:sz w:val="22"/>
          <w:szCs w:val="22"/>
        </w:rPr>
        <w:t xml:space="preserve"> </w:t>
      </w:r>
      <w:r w:rsidR="00142042" w:rsidRPr="00142042">
        <w:rPr>
          <w:rFonts w:ascii="Times New Roman" w:hAnsi="Times New Roman" w:cs="Times New Roman"/>
          <w:sz w:val="22"/>
          <w:szCs w:val="22"/>
        </w:rPr>
        <w:t>We reviewed the full manuscript and standardized all statistical notation for clarity and consistency. Hazard ratios are now uniformly written as “HR” (plural “HRs”), confidence intervals as “95% CI,” and p-values as “p”.</w:t>
      </w:r>
    </w:p>
    <w:p w14:paraId="3BB5F9D3" w14:textId="77777777" w:rsidR="00506D21" w:rsidRPr="00506D21" w:rsidRDefault="00506D21" w:rsidP="00506D21">
      <w:pPr>
        <w:spacing w:line="240" w:lineRule="auto"/>
        <w:rPr>
          <w:rFonts w:ascii="Times New Roman" w:hAnsi="Times New Roman" w:cs="Times New Roman"/>
          <w:sz w:val="22"/>
          <w:szCs w:val="22"/>
        </w:rPr>
      </w:pPr>
      <w:r w:rsidRPr="00506D21">
        <w:rPr>
          <w:rFonts w:ascii="Times New Roman" w:hAnsi="Times New Roman" w:cs="Times New Roman"/>
          <w:sz w:val="22"/>
          <w:szCs w:val="22"/>
        </w:rPr>
        <w:t xml:space="preserve"> </w:t>
      </w:r>
    </w:p>
    <w:p w14:paraId="4F3DE805" w14:textId="77777777" w:rsidR="00506D21" w:rsidRPr="00506D21" w:rsidRDefault="00506D21" w:rsidP="00506D21">
      <w:pPr>
        <w:spacing w:line="240" w:lineRule="auto"/>
        <w:rPr>
          <w:rFonts w:ascii="Times New Roman" w:hAnsi="Times New Roman" w:cs="Times New Roman"/>
          <w:sz w:val="22"/>
          <w:szCs w:val="22"/>
        </w:rPr>
      </w:pPr>
      <w:r w:rsidRPr="00506D21">
        <w:rPr>
          <w:rFonts w:ascii="Times New Roman" w:hAnsi="Times New Roman" w:cs="Times New Roman"/>
          <w:sz w:val="22"/>
          <w:szCs w:val="22"/>
        </w:rPr>
        <w:t xml:space="preserve"> </w:t>
      </w:r>
    </w:p>
    <w:p w14:paraId="14FAF5E4" w14:textId="77777777" w:rsidR="00506D21" w:rsidRPr="00506D21" w:rsidRDefault="00506D21" w:rsidP="00506D21">
      <w:pPr>
        <w:spacing w:line="240" w:lineRule="auto"/>
        <w:rPr>
          <w:rFonts w:ascii="Times New Roman" w:hAnsi="Times New Roman" w:cs="Times New Roman"/>
          <w:sz w:val="22"/>
          <w:szCs w:val="22"/>
        </w:rPr>
      </w:pPr>
      <w:r w:rsidRPr="00506D21">
        <w:rPr>
          <w:rFonts w:ascii="Times New Roman" w:hAnsi="Times New Roman" w:cs="Times New Roman"/>
          <w:sz w:val="22"/>
          <w:szCs w:val="22"/>
        </w:rPr>
        <w:t xml:space="preserve"> </w:t>
      </w:r>
    </w:p>
    <w:p w14:paraId="7AB7D8C8" w14:textId="77777777" w:rsidR="00506D21" w:rsidRPr="00506D21" w:rsidRDefault="00506D21" w:rsidP="00506D21">
      <w:pPr>
        <w:spacing w:line="240" w:lineRule="auto"/>
        <w:rPr>
          <w:rFonts w:ascii="Times New Roman" w:hAnsi="Times New Roman" w:cs="Times New Roman"/>
          <w:sz w:val="22"/>
          <w:szCs w:val="22"/>
        </w:rPr>
      </w:pPr>
      <w:r w:rsidRPr="00506D21">
        <w:rPr>
          <w:rFonts w:ascii="Times New Roman" w:hAnsi="Times New Roman" w:cs="Times New Roman"/>
          <w:sz w:val="22"/>
          <w:szCs w:val="22"/>
        </w:rPr>
        <w:t xml:space="preserve"> </w:t>
      </w:r>
    </w:p>
    <w:p w14:paraId="3B2D2976" w14:textId="66CE3F12" w:rsidR="00506D21" w:rsidRPr="00506D21" w:rsidRDefault="00506D21" w:rsidP="00506D21">
      <w:pPr>
        <w:spacing w:line="240" w:lineRule="auto"/>
        <w:rPr>
          <w:rFonts w:ascii="Times New Roman" w:hAnsi="Times New Roman" w:cs="Times New Roman"/>
          <w:sz w:val="22"/>
          <w:szCs w:val="22"/>
        </w:rPr>
      </w:pPr>
      <w:r w:rsidRPr="00506D21">
        <w:rPr>
          <w:rFonts w:ascii="Times New Roman" w:hAnsi="Times New Roman" w:cs="Times New Roman"/>
          <w:sz w:val="22"/>
          <w:szCs w:val="22"/>
        </w:rPr>
        <w:t xml:space="preserve"> </w:t>
      </w:r>
    </w:p>
    <w:p w14:paraId="4E9C641D" w14:textId="77777777" w:rsidR="00506D21" w:rsidRPr="00506D21" w:rsidRDefault="00506D21" w:rsidP="00506D21">
      <w:pPr>
        <w:spacing w:line="240" w:lineRule="auto"/>
        <w:rPr>
          <w:rFonts w:ascii="Times New Roman" w:hAnsi="Times New Roman" w:cs="Times New Roman"/>
          <w:sz w:val="22"/>
          <w:szCs w:val="22"/>
        </w:rPr>
      </w:pPr>
      <w:r w:rsidRPr="00506D21">
        <w:rPr>
          <w:rFonts w:ascii="Times New Roman" w:hAnsi="Times New Roman" w:cs="Times New Roman"/>
          <w:sz w:val="22"/>
          <w:szCs w:val="22"/>
        </w:rPr>
        <w:t xml:space="preserve"> </w:t>
      </w:r>
    </w:p>
    <w:p w14:paraId="60B99AFA" w14:textId="77777777" w:rsidR="00506D21" w:rsidRPr="00506D21" w:rsidRDefault="00506D21" w:rsidP="00506D21">
      <w:pPr>
        <w:spacing w:line="240" w:lineRule="auto"/>
        <w:rPr>
          <w:rFonts w:ascii="Times New Roman" w:hAnsi="Times New Roman" w:cs="Times New Roman"/>
          <w:sz w:val="22"/>
          <w:szCs w:val="22"/>
        </w:rPr>
      </w:pPr>
      <w:r w:rsidRPr="00506D21">
        <w:rPr>
          <w:rFonts w:ascii="Times New Roman" w:hAnsi="Times New Roman" w:cs="Times New Roman"/>
          <w:sz w:val="22"/>
          <w:szCs w:val="22"/>
        </w:rPr>
        <w:t>Reviewer 2: Overall comments:</w:t>
      </w:r>
    </w:p>
    <w:p w14:paraId="76E2033C" w14:textId="546AEBF8" w:rsidR="00506D21" w:rsidRDefault="00550A99"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hint="eastAsia"/>
          <w:b/>
          <w:bCs/>
          <w:sz w:val="22"/>
          <w:szCs w:val="22"/>
        </w:rPr>
        <w:t>8</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 xml:space="preserve">Lines 102-106: The language here is somewhat confusing. What do you mean by infection probabilities? The changes in estimates are also hard to follow. </w:t>
      </w:r>
      <w:r w:rsidR="00506D21" w:rsidRPr="00F15CE9">
        <w:rPr>
          <w:rFonts w:ascii="Times New Roman" w:hAnsi="Times New Roman" w:cs="Times New Roman"/>
          <w:sz w:val="22"/>
          <w:szCs w:val="22"/>
          <w:highlight w:val="yellow"/>
        </w:rPr>
        <w:t>For the infection probabilities, I suggest describing the difference with only the incorporation of serology probabilities mentioned. This could help with readability</w:t>
      </w:r>
      <w:r w:rsidR="00506D21" w:rsidRPr="00506D21">
        <w:rPr>
          <w:rFonts w:ascii="Times New Roman" w:hAnsi="Times New Roman" w:cs="Times New Roman"/>
          <w:sz w:val="22"/>
          <w:szCs w:val="22"/>
        </w:rPr>
        <w:t>. Same comment for the HR's presented after the probabilities.</w:t>
      </w:r>
    </w:p>
    <w:p w14:paraId="121DC1BC" w14:textId="5730D1E8" w:rsidR="00F15CE9" w:rsidRDefault="007E7E84" w:rsidP="00506D21">
      <w:pPr>
        <w:spacing w:line="240" w:lineRule="auto"/>
        <w:rPr>
          <w:rFonts w:ascii="Times New Roman" w:hAnsi="Times New Roman" w:cs="Times New Roman"/>
          <w:sz w:val="22"/>
          <w:szCs w:val="22"/>
        </w:rPr>
      </w:pPr>
      <w:r w:rsidRPr="00067D65">
        <w:rPr>
          <w:rFonts w:ascii="Times New Roman" w:hAnsi="Times New Roman" w:cs="Times New Roman"/>
          <w:b/>
          <w:bCs/>
          <w:sz w:val="22"/>
          <w:szCs w:val="22"/>
        </w:rPr>
        <w:t>Response:</w:t>
      </w:r>
      <w:r>
        <w:rPr>
          <w:rFonts w:ascii="Times New Roman" w:hAnsi="Times New Roman" w:cs="Times New Roman" w:hint="eastAsia"/>
          <w:b/>
          <w:bCs/>
          <w:sz w:val="22"/>
          <w:szCs w:val="22"/>
        </w:rPr>
        <w:t xml:space="preserve"> </w:t>
      </w:r>
      <w:r w:rsidRPr="007E7E84">
        <w:rPr>
          <w:rFonts w:ascii="Times New Roman" w:hAnsi="Times New Roman" w:cs="Times New Roman"/>
          <w:sz w:val="22"/>
          <w:szCs w:val="22"/>
        </w:rPr>
        <w:t>We revised the description of infection probabilities to improve clarity.</w:t>
      </w:r>
    </w:p>
    <w:p w14:paraId="3CBD09A9" w14:textId="4B8D2533" w:rsidR="00F15CE9" w:rsidRPr="0050145B" w:rsidRDefault="0050145B" w:rsidP="00506D21">
      <w:pPr>
        <w:spacing w:line="240" w:lineRule="auto"/>
        <w:rPr>
          <w:rFonts w:ascii="Times New Roman" w:eastAsia="Malgun Gothic" w:hAnsi="Times New Roman" w:cs="Times New Roman"/>
          <w:sz w:val="22"/>
          <w:szCs w:val="22"/>
          <w:lang w:eastAsia="ko-KR"/>
        </w:rPr>
      </w:pPr>
      <w:r>
        <w:rPr>
          <w:rFonts w:ascii="Times New Roman" w:eastAsia="Malgun Gothic" w:hAnsi="Times New Roman" w:cs="Times New Roman"/>
          <w:sz w:val="22"/>
          <w:szCs w:val="22"/>
          <w:lang w:eastAsia="ko-KR"/>
        </w:rPr>
        <w:t>“</w:t>
      </w:r>
      <w:r w:rsidRPr="005D4E81">
        <w:t>Incorporating serology substantially increased the estimated four-month cumulative infection risk compared with using confirmed cases alone. The hybrid group rose from 2% to 20%, the infection-only group from 4% to 24%, and the vaccine-only group from 30% to 40%. With these additional infections included, the relative advantage of hybrid immunity narrowed. Under the conservative definition, log-HRs comparing hybrid to vaccine-only decreased from 4.10 to 2.34, and hybrid to infection-only decreased from 1.56 to 0.31. Under the inclusive definition, the vaccine-only log-HR declined from 3.44 to 0.13, and the infection-only log-HR shifted from 3.31 to –0.56, indicating greater protection in the infection-only group by month four.</w:t>
      </w:r>
      <w:r>
        <w:rPr>
          <w:rFonts w:eastAsia="Malgun Gothic"/>
          <w:lang w:eastAsia="ko-KR"/>
        </w:rPr>
        <w:t>”</w:t>
      </w:r>
    </w:p>
    <w:p w14:paraId="1B2C405B" w14:textId="77777777" w:rsidR="00550A99" w:rsidRPr="00506D21" w:rsidRDefault="00550A99" w:rsidP="00506D21">
      <w:pPr>
        <w:spacing w:line="240" w:lineRule="auto"/>
        <w:rPr>
          <w:rFonts w:ascii="Times New Roman" w:hAnsi="Times New Roman" w:cs="Times New Roman"/>
          <w:sz w:val="22"/>
          <w:szCs w:val="22"/>
        </w:rPr>
      </w:pPr>
    </w:p>
    <w:p w14:paraId="57A2FD8C" w14:textId="133EBDE2" w:rsidR="00506D21" w:rsidRPr="00506D21" w:rsidRDefault="00A56612"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hint="eastAsia"/>
          <w:b/>
          <w:bCs/>
          <w:sz w:val="22"/>
          <w:szCs w:val="22"/>
        </w:rPr>
        <w:t>9</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Introduction:</w:t>
      </w:r>
    </w:p>
    <w:p w14:paraId="22E5BB27" w14:textId="77777777" w:rsidR="00506D21" w:rsidRDefault="00506D21" w:rsidP="00506D21">
      <w:pPr>
        <w:spacing w:line="240" w:lineRule="auto"/>
        <w:rPr>
          <w:rFonts w:ascii="Times New Roman" w:eastAsia="Malgun Gothic" w:hAnsi="Times New Roman" w:cs="Times New Roman"/>
          <w:sz w:val="22"/>
          <w:szCs w:val="22"/>
          <w:lang w:eastAsia="ko-KR"/>
        </w:rPr>
      </w:pPr>
      <w:r w:rsidRPr="00506D21">
        <w:rPr>
          <w:rFonts w:ascii="Times New Roman" w:hAnsi="Times New Roman" w:cs="Times New Roman"/>
          <w:sz w:val="22"/>
          <w:szCs w:val="22"/>
        </w:rPr>
        <w:t xml:space="preserve">First two paragraphs: These need reorganization. </w:t>
      </w:r>
      <w:r w:rsidRPr="001126FB">
        <w:rPr>
          <w:rFonts w:ascii="Times New Roman" w:hAnsi="Times New Roman" w:cs="Times New Roman"/>
          <w:sz w:val="22"/>
          <w:szCs w:val="22"/>
          <w:highlight w:val="yellow"/>
        </w:rPr>
        <w:t>In the first paragraph you discuss hybrid immunity providing higher more durable responses but then move right into waning. I suggest talking about hybrid immunity providing higher protection first (using info from the second paragraph) and make your second paragraph about waning.</w:t>
      </w:r>
      <w:r w:rsidRPr="00506D21">
        <w:rPr>
          <w:rFonts w:ascii="Times New Roman" w:hAnsi="Times New Roman" w:cs="Times New Roman"/>
          <w:sz w:val="22"/>
          <w:szCs w:val="22"/>
        </w:rPr>
        <w:t xml:space="preserve"> Right </w:t>
      </w:r>
      <w:proofErr w:type="gramStart"/>
      <w:r w:rsidRPr="00506D21">
        <w:rPr>
          <w:rFonts w:ascii="Times New Roman" w:hAnsi="Times New Roman" w:cs="Times New Roman"/>
          <w:sz w:val="22"/>
          <w:szCs w:val="22"/>
        </w:rPr>
        <w:t>now</w:t>
      </w:r>
      <w:proofErr w:type="gramEnd"/>
      <w:r w:rsidRPr="00506D21">
        <w:rPr>
          <w:rFonts w:ascii="Times New Roman" w:hAnsi="Times New Roman" w:cs="Times New Roman"/>
          <w:sz w:val="22"/>
          <w:szCs w:val="22"/>
        </w:rPr>
        <w:t xml:space="preserve"> the information is getting lost because the points are mixed.</w:t>
      </w:r>
    </w:p>
    <w:p w14:paraId="445717F6" w14:textId="677C375F" w:rsidR="00FB7170" w:rsidRDefault="00FB7170" w:rsidP="00506D21">
      <w:pPr>
        <w:spacing w:line="240" w:lineRule="auto"/>
        <w:rPr>
          <w:rFonts w:ascii="Times New Roman" w:eastAsia="Malgun Gothic" w:hAnsi="Times New Roman" w:cs="Times New Roman"/>
          <w:sz w:val="22"/>
          <w:szCs w:val="22"/>
          <w:lang w:eastAsia="ko-KR"/>
        </w:rPr>
      </w:pPr>
    </w:p>
    <w:p w14:paraId="7AEC721C" w14:textId="5E3431A7" w:rsidR="00FB7170" w:rsidRPr="00FB7170" w:rsidRDefault="00FB7170" w:rsidP="00506D21">
      <w:pPr>
        <w:spacing w:line="240" w:lineRule="auto"/>
        <w:rPr>
          <w:rFonts w:ascii="Times New Roman" w:eastAsia="Malgun Gothic" w:hAnsi="Times New Roman" w:cs="Times New Roman"/>
          <w:sz w:val="22"/>
          <w:szCs w:val="22"/>
          <w:lang w:eastAsia="ko-KR"/>
        </w:rPr>
      </w:pPr>
      <w:r w:rsidRPr="00FB7170">
        <w:rPr>
          <w:rFonts w:ascii="Times New Roman" w:eastAsia="Malgun Gothic" w:hAnsi="Times New Roman" w:cs="Times New Roman" w:hint="eastAsia"/>
          <w:b/>
          <w:bCs/>
          <w:sz w:val="22"/>
          <w:szCs w:val="22"/>
          <w:lang w:eastAsia="ko-KR"/>
        </w:rPr>
        <w:lastRenderedPageBreak/>
        <w:t>Response:</w:t>
      </w:r>
      <w:r>
        <w:rPr>
          <w:rFonts w:ascii="Times New Roman" w:eastAsia="Malgun Gothic" w:hAnsi="Times New Roman" w:cs="Times New Roman" w:hint="eastAsia"/>
          <w:sz w:val="22"/>
          <w:szCs w:val="22"/>
          <w:lang w:eastAsia="ko-KR"/>
        </w:rPr>
        <w:t xml:space="preserve"> Thank you. We revised the flow 116-143. </w:t>
      </w:r>
    </w:p>
    <w:p w14:paraId="0EC499E6" w14:textId="77777777" w:rsidR="0090254C" w:rsidRDefault="0090254C" w:rsidP="00506D21">
      <w:pPr>
        <w:spacing w:line="240" w:lineRule="auto"/>
        <w:rPr>
          <w:rFonts w:ascii="Times New Roman" w:hAnsi="Times New Roman" w:cs="Times New Roman"/>
          <w:sz w:val="22"/>
          <w:szCs w:val="22"/>
        </w:rPr>
      </w:pPr>
    </w:p>
    <w:p w14:paraId="63113FFA" w14:textId="77777777" w:rsidR="0090254C" w:rsidRPr="00506D21" w:rsidRDefault="0090254C" w:rsidP="00506D21">
      <w:pPr>
        <w:spacing w:line="240" w:lineRule="auto"/>
        <w:rPr>
          <w:rFonts w:ascii="Times New Roman" w:hAnsi="Times New Roman" w:cs="Times New Roman"/>
          <w:sz w:val="22"/>
          <w:szCs w:val="22"/>
        </w:rPr>
      </w:pPr>
    </w:p>
    <w:p w14:paraId="62499218" w14:textId="2116ABA6" w:rsid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113: "Shape" and "play" appear as verbs in the same place. Choose one and delete the other.</w:t>
      </w:r>
    </w:p>
    <w:p w14:paraId="2ADD1EDA" w14:textId="3A50BA5C" w:rsidR="00800D49" w:rsidRDefault="006D17E7" w:rsidP="00506D21">
      <w:pPr>
        <w:spacing w:line="240" w:lineRule="auto"/>
        <w:rPr>
          <w:rFonts w:ascii="Times New Roman" w:hAnsi="Times New Roman" w:cs="Times New Roman"/>
          <w:sz w:val="22"/>
          <w:szCs w:val="22"/>
        </w:rPr>
      </w:pPr>
      <w:r w:rsidRPr="00067D65">
        <w:rPr>
          <w:rFonts w:ascii="Times New Roman" w:hAnsi="Times New Roman" w:cs="Times New Roman"/>
          <w:b/>
          <w:bCs/>
          <w:sz w:val="22"/>
          <w:szCs w:val="22"/>
        </w:rPr>
        <w:t>Response:</w:t>
      </w:r>
      <w:r>
        <w:rPr>
          <w:rFonts w:ascii="Times New Roman" w:hAnsi="Times New Roman" w:cs="Times New Roman"/>
          <w:b/>
          <w:bCs/>
          <w:sz w:val="22"/>
          <w:szCs w:val="22"/>
        </w:rPr>
        <w:t xml:space="preserve"> </w:t>
      </w:r>
      <w:r w:rsidRPr="003008F2">
        <w:rPr>
          <w:rFonts w:ascii="Times New Roman" w:hAnsi="Times New Roman" w:cs="Times New Roman"/>
          <w:sz w:val="22"/>
          <w:szCs w:val="22"/>
        </w:rPr>
        <w:t xml:space="preserve">now corrected. </w:t>
      </w:r>
    </w:p>
    <w:p w14:paraId="66077C27" w14:textId="77777777" w:rsidR="00E15685" w:rsidRPr="003008F2" w:rsidRDefault="00E15685" w:rsidP="00506D21">
      <w:pPr>
        <w:spacing w:line="240" w:lineRule="auto"/>
        <w:rPr>
          <w:rFonts w:ascii="Times New Roman" w:hAnsi="Times New Roman" w:cs="Times New Roman"/>
          <w:sz w:val="22"/>
          <w:szCs w:val="22"/>
        </w:rPr>
      </w:pPr>
    </w:p>
    <w:p w14:paraId="3B769523" w14:textId="4E4F52AB" w:rsid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116-119: This sentence is incredibly long. I would suggest breaking it into two sentences. The message is accurate and important but gets lost in the length of the sentence.</w:t>
      </w:r>
    </w:p>
    <w:p w14:paraId="099B3ED9" w14:textId="77777777" w:rsidR="00D66F09" w:rsidRDefault="00C02BF6" w:rsidP="00506D21">
      <w:pPr>
        <w:spacing w:line="240" w:lineRule="auto"/>
        <w:rPr>
          <w:rFonts w:ascii="Times New Roman" w:hAnsi="Times New Roman" w:cs="Times New Roman"/>
          <w:sz w:val="22"/>
          <w:szCs w:val="22"/>
          <w:shd w:val="pct15" w:color="auto" w:fill="FFFFFF"/>
        </w:rPr>
      </w:pPr>
      <w:r w:rsidRPr="00067D65">
        <w:rPr>
          <w:rFonts w:ascii="Times New Roman" w:hAnsi="Times New Roman" w:cs="Times New Roman"/>
          <w:b/>
          <w:bCs/>
          <w:sz w:val="22"/>
          <w:szCs w:val="22"/>
        </w:rPr>
        <w:t>Response</w:t>
      </w:r>
      <w:r w:rsidRPr="00D66F09">
        <w:rPr>
          <w:rFonts w:ascii="Times New Roman" w:hAnsi="Times New Roman" w:cs="Times New Roman"/>
          <w:b/>
          <w:bCs/>
          <w:sz w:val="22"/>
          <w:szCs w:val="22"/>
        </w:rPr>
        <w:t xml:space="preserve">: </w:t>
      </w:r>
      <w:r w:rsidRPr="00D66F09">
        <w:rPr>
          <w:rFonts w:ascii="Times New Roman" w:hAnsi="Times New Roman" w:cs="Times New Roman"/>
          <w:sz w:val="22"/>
          <w:szCs w:val="22"/>
        </w:rPr>
        <w:t>“Several epidemiological studies show that hybrid immunity (a result of both infection and vaccination) had the highest magnitude and durability of protection against all outcomes, emphasizing the importance of providing vaccination to previously infected individuals as infection-induced protection against reinfection wanes rapidly, but vaccination further increases durability.”</w:t>
      </w:r>
      <w:r w:rsidRPr="00D66F09">
        <w:rPr>
          <w:rFonts w:ascii="Times New Roman" w:hAnsi="Times New Roman" w:cs="Times New Roman"/>
          <w:sz w:val="22"/>
          <w:szCs w:val="22"/>
          <w:shd w:val="pct15" w:color="auto" w:fill="FFFFFF"/>
        </w:rPr>
        <w:t xml:space="preserve"> </w:t>
      </w:r>
    </w:p>
    <w:p w14:paraId="1A06F3CE" w14:textId="36F834E3" w:rsidR="00D66F09" w:rsidRDefault="00D66F09" w:rsidP="00506D21">
      <w:pPr>
        <w:spacing w:line="240" w:lineRule="auto"/>
        <w:rPr>
          <w:rFonts w:ascii="Times New Roman" w:hAnsi="Times New Roman" w:cs="Times New Roman"/>
          <w:sz w:val="22"/>
          <w:szCs w:val="22"/>
        </w:rPr>
      </w:pPr>
      <w:r>
        <w:rPr>
          <w:rFonts w:ascii="Times New Roman" w:hAnsi="Times New Roman" w:cs="Times New Roman"/>
          <w:sz w:val="22"/>
          <w:szCs w:val="22"/>
        </w:rPr>
        <w:t>becomes</w:t>
      </w:r>
    </w:p>
    <w:p w14:paraId="0EBBB342" w14:textId="23C6BB2A" w:rsidR="006D17E7" w:rsidRDefault="00A9464F" w:rsidP="00506D21">
      <w:pPr>
        <w:spacing w:line="240" w:lineRule="auto"/>
        <w:rPr>
          <w:rFonts w:ascii="Times New Roman" w:eastAsia="Malgun Gothic" w:hAnsi="Times New Roman" w:cs="Times New Roman"/>
          <w:sz w:val="22"/>
          <w:szCs w:val="22"/>
          <w:lang w:eastAsia="ko-KR"/>
        </w:rPr>
      </w:pPr>
      <w:r w:rsidRPr="00D66F09">
        <w:rPr>
          <w:rFonts w:ascii="Times New Roman" w:hAnsi="Times New Roman" w:cs="Times New Roman"/>
          <w:sz w:val="22"/>
          <w:szCs w:val="22"/>
        </w:rPr>
        <w:t>“</w:t>
      </w:r>
      <w:r w:rsidR="00D66F09" w:rsidRPr="00D66F09">
        <w:rPr>
          <w:rFonts w:ascii="Times New Roman" w:hAnsi="Times New Roman" w:cs="Times New Roman"/>
          <w:sz w:val="22"/>
          <w:szCs w:val="22"/>
        </w:rPr>
        <w:t>Several epidemiological studies show that hybrid immunity—acquired through both infection and vaccination—provides the highest magnitude and durability of protection across outcomes. This evidence underscores the importance of vaccinating previously infected individuals, as infection-induced protection against reinfection wanes rapidly while vaccination further strengthens and prolongs immunity</w:t>
      </w:r>
      <w:r w:rsidRPr="00D66F09">
        <w:rPr>
          <w:rFonts w:ascii="Times New Roman" w:hAnsi="Times New Roman" w:cs="Times New Roman"/>
          <w:sz w:val="22"/>
          <w:szCs w:val="22"/>
        </w:rPr>
        <w:t>.”</w:t>
      </w:r>
    </w:p>
    <w:p w14:paraId="71322FB9" w14:textId="77777777" w:rsidR="009C3276" w:rsidRDefault="009C3276" w:rsidP="00506D21">
      <w:pPr>
        <w:spacing w:line="240" w:lineRule="auto"/>
        <w:rPr>
          <w:rFonts w:ascii="Times New Roman" w:eastAsia="Malgun Gothic" w:hAnsi="Times New Roman" w:cs="Times New Roman"/>
          <w:sz w:val="22"/>
          <w:szCs w:val="22"/>
          <w:lang w:eastAsia="ko-KR"/>
        </w:rPr>
      </w:pPr>
    </w:p>
    <w:p w14:paraId="1A58704E" w14:textId="77777777" w:rsidR="00A9464F" w:rsidRPr="00506D21" w:rsidRDefault="00A9464F" w:rsidP="00506D21">
      <w:pPr>
        <w:spacing w:line="240" w:lineRule="auto"/>
        <w:rPr>
          <w:rFonts w:ascii="Times New Roman" w:hAnsi="Times New Roman" w:cs="Times New Roman"/>
          <w:sz w:val="22"/>
          <w:szCs w:val="22"/>
        </w:rPr>
      </w:pPr>
    </w:p>
    <w:p w14:paraId="4F442134" w14:textId="4832CBB8" w:rsid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123: Rephrase this sentence to remove the repeated "and" between "types and number of doses, and evolving variants". This will increase readability.</w:t>
      </w:r>
    </w:p>
    <w:p w14:paraId="100EB5D8" w14:textId="3E0892B5" w:rsidR="00DC3244" w:rsidRPr="00E15685" w:rsidRDefault="00D66F09" w:rsidP="00506D21">
      <w:pPr>
        <w:spacing w:line="240" w:lineRule="auto"/>
        <w:rPr>
          <w:rFonts w:ascii="Times New Roman" w:hAnsi="Times New Roman" w:cs="Times New Roman"/>
          <w:b/>
          <w:bCs/>
          <w:sz w:val="22"/>
          <w:szCs w:val="22"/>
        </w:rPr>
      </w:pPr>
      <w:r w:rsidRPr="00067D65">
        <w:rPr>
          <w:rFonts w:ascii="Times New Roman" w:hAnsi="Times New Roman" w:cs="Times New Roman"/>
          <w:b/>
          <w:bCs/>
          <w:sz w:val="22"/>
          <w:szCs w:val="22"/>
        </w:rPr>
        <w:t>Response</w:t>
      </w:r>
      <w:r w:rsidRPr="00D66F09">
        <w:rPr>
          <w:rFonts w:ascii="Times New Roman" w:hAnsi="Times New Roman" w:cs="Times New Roman"/>
          <w:b/>
          <w:bCs/>
          <w:sz w:val="22"/>
          <w:szCs w:val="22"/>
        </w:rPr>
        <w:t>:</w:t>
      </w:r>
      <w:r w:rsidR="00E15685">
        <w:rPr>
          <w:rFonts w:ascii="Times New Roman" w:hAnsi="Times New Roman" w:cs="Times New Roman"/>
          <w:b/>
          <w:bCs/>
          <w:sz w:val="22"/>
          <w:szCs w:val="22"/>
        </w:rPr>
        <w:t xml:space="preserve"> </w:t>
      </w:r>
      <w:r w:rsidR="00DC3244" w:rsidRPr="002E3252">
        <w:rPr>
          <w:rFonts w:ascii="Times New Roman" w:hAnsi="Times New Roman" w:cs="Times New Roman"/>
          <w:sz w:val="22"/>
          <w:szCs w:val="22"/>
        </w:rPr>
        <w:t>“</w:t>
      </w:r>
      <w:r w:rsidR="002E3252" w:rsidRPr="002E3252">
        <w:rPr>
          <w:rFonts w:ascii="Times New Roman" w:hAnsi="Times New Roman" w:cs="Times New Roman"/>
          <w:sz w:val="22"/>
          <w:szCs w:val="22"/>
        </w:rPr>
        <w:t>Disparate rates and timings of past infections, variations in vaccine types and number of doses, and evolving variants of concern capable of evading existing immunity present additional challenges in estimating the overall magnitude and durability of this protection</w:t>
      </w:r>
      <w:r w:rsidR="00DC3244" w:rsidRPr="002E3252">
        <w:rPr>
          <w:rFonts w:ascii="Times New Roman" w:hAnsi="Times New Roman" w:cs="Times New Roman"/>
          <w:sz w:val="22"/>
          <w:szCs w:val="22"/>
        </w:rPr>
        <w:t>”</w:t>
      </w:r>
    </w:p>
    <w:p w14:paraId="0203FEF6" w14:textId="0E4ECDE0" w:rsidR="002E3252" w:rsidRPr="002E3252" w:rsidRDefault="002E3252" w:rsidP="00506D21">
      <w:pPr>
        <w:spacing w:line="240" w:lineRule="auto"/>
        <w:rPr>
          <w:rFonts w:ascii="Times New Roman" w:hAnsi="Times New Roman" w:cs="Times New Roman"/>
          <w:sz w:val="22"/>
          <w:szCs w:val="22"/>
        </w:rPr>
      </w:pPr>
      <w:r w:rsidRPr="002E3252">
        <w:rPr>
          <w:rFonts w:ascii="Times New Roman" w:hAnsi="Times New Roman" w:cs="Times New Roman"/>
          <w:sz w:val="22"/>
          <w:szCs w:val="22"/>
        </w:rPr>
        <w:t>becomes</w:t>
      </w:r>
    </w:p>
    <w:p w14:paraId="5798E823" w14:textId="2E55FA84" w:rsidR="00952917" w:rsidRPr="002E3252" w:rsidRDefault="00952917" w:rsidP="00506D21">
      <w:pPr>
        <w:spacing w:line="240" w:lineRule="auto"/>
        <w:rPr>
          <w:rFonts w:ascii="Times New Roman" w:hAnsi="Times New Roman" w:cs="Times New Roman"/>
          <w:sz w:val="22"/>
          <w:szCs w:val="22"/>
        </w:rPr>
      </w:pPr>
      <w:r w:rsidRPr="002E3252">
        <w:rPr>
          <w:rFonts w:ascii="Times New Roman" w:hAnsi="Times New Roman" w:cs="Times New Roman"/>
          <w:sz w:val="22"/>
          <w:szCs w:val="22"/>
        </w:rPr>
        <w:t>“Disparate rates and timings of past infections, variation in vaccine types and dose numbers, as well as the continued emergence of immune-evasive variants, present additional challenges in estimating the overall magnitude and durability of this protection.”</w:t>
      </w:r>
    </w:p>
    <w:p w14:paraId="15A17BB1" w14:textId="77777777" w:rsidR="00D66F09" w:rsidRPr="00506D21" w:rsidRDefault="00D66F09" w:rsidP="00506D21">
      <w:pPr>
        <w:spacing w:line="240" w:lineRule="auto"/>
        <w:rPr>
          <w:rFonts w:ascii="Times New Roman" w:hAnsi="Times New Roman" w:cs="Times New Roman"/>
          <w:sz w:val="22"/>
          <w:szCs w:val="22"/>
        </w:rPr>
      </w:pPr>
    </w:p>
    <w:p w14:paraId="03BA984B" w14:textId="69F0FE7F" w:rsidR="00506D21" w:rsidRDefault="00E15685" w:rsidP="00506D21">
      <w:pPr>
        <w:spacing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7B593F">
        <w:rPr>
          <w:rFonts w:ascii="Times New Roman" w:hAnsi="Times New Roman" w:cs="Times New Roman"/>
          <w:sz w:val="22"/>
          <w:szCs w:val="22"/>
          <w:highlight w:val="yellow"/>
        </w:rPr>
        <w:t>Lines 126-133: This section reads like a discussion. I would revise to remove one of the publications or parse it down significantly. Talk more about the overall concepts (hybrid immunity provides stronger protection compared to vaccination) with those publications as support.</w:t>
      </w:r>
    </w:p>
    <w:p w14:paraId="10284C4A" w14:textId="77777777" w:rsidR="005748DD" w:rsidRDefault="005748DD" w:rsidP="00506D21">
      <w:pPr>
        <w:spacing w:line="240" w:lineRule="auto"/>
        <w:rPr>
          <w:rFonts w:ascii="Times New Roman" w:eastAsia="Malgun Gothic" w:hAnsi="Times New Roman" w:cs="Times New Roman"/>
          <w:sz w:val="22"/>
          <w:szCs w:val="22"/>
          <w:lang w:eastAsia="ko-KR"/>
        </w:rPr>
      </w:pPr>
    </w:p>
    <w:p w14:paraId="1D66B583" w14:textId="07B82A48" w:rsidR="005748DD" w:rsidRPr="005748DD" w:rsidRDefault="005748DD" w:rsidP="00506D21">
      <w:pPr>
        <w:spacing w:line="240" w:lineRule="auto"/>
        <w:rPr>
          <w:rFonts w:ascii="Times New Roman" w:eastAsia="Malgun Gothic" w:hAnsi="Times New Roman" w:cs="Times New Roman"/>
          <w:sz w:val="22"/>
          <w:szCs w:val="22"/>
          <w:lang w:eastAsia="ko-KR"/>
        </w:rPr>
      </w:pPr>
      <w:r>
        <w:rPr>
          <w:rFonts w:ascii="Times New Roman" w:eastAsia="Malgun Gothic" w:hAnsi="Times New Roman" w:cs="Times New Roman" w:hint="eastAsia"/>
          <w:sz w:val="22"/>
          <w:szCs w:val="22"/>
          <w:lang w:eastAsia="ko-KR"/>
        </w:rPr>
        <w:t xml:space="preserve">Response: We revised the paragraph. </w:t>
      </w:r>
    </w:p>
    <w:p w14:paraId="37A7CAB6" w14:textId="77777777" w:rsidR="002E3252" w:rsidRPr="00506D21" w:rsidRDefault="002E3252" w:rsidP="00506D21">
      <w:pPr>
        <w:spacing w:line="240" w:lineRule="auto"/>
        <w:rPr>
          <w:rFonts w:ascii="Times New Roman" w:hAnsi="Times New Roman" w:cs="Times New Roman"/>
          <w:sz w:val="22"/>
          <w:szCs w:val="22"/>
        </w:rPr>
      </w:pPr>
    </w:p>
    <w:p w14:paraId="287124E7" w14:textId="5D6038AF" w:rsid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lastRenderedPageBreak/>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135: Please keep citations consistent. This one appears in the middle of a sentence which is fine, but it needs to match the rest of the document. Either move this reference to the end of the sentence or check other in-text citations to see if they should be moved.</w:t>
      </w:r>
    </w:p>
    <w:p w14:paraId="07A5E8A2" w14:textId="49555D71" w:rsidR="00BD2287" w:rsidRDefault="00ED1550" w:rsidP="00506D21">
      <w:pPr>
        <w:spacing w:line="240" w:lineRule="auto"/>
        <w:rPr>
          <w:rFonts w:ascii="Times New Roman" w:hAnsi="Times New Roman" w:cs="Times New Roman"/>
          <w:sz w:val="22"/>
          <w:szCs w:val="22"/>
        </w:rPr>
      </w:pPr>
      <w:r w:rsidRPr="00067D65">
        <w:rPr>
          <w:rFonts w:ascii="Times New Roman" w:hAnsi="Times New Roman" w:cs="Times New Roman"/>
          <w:b/>
          <w:bCs/>
          <w:sz w:val="22"/>
          <w:szCs w:val="22"/>
        </w:rPr>
        <w:t>Response:</w:t>
      </w:r>
      <w:r>
        <w:rPr>
          <w:rFonts w:ascii="Times New Roman" w:hAnsi="Times New Roman" w:cs="Times New Roman"/>
          <w:b/>
          <w:bCs/>
          <w:sz w:val="22"/>
          <w:szCs w:val="22"/>
        </w:rPr>
        <w:t xml:space="preserve"> </w:t>
      </w:r>
      <w:r w:rsidRPr="003008F2">
        <w:rPr>
          <w:rFonts w:ascii="Times New Roman" w:hAnsi="Times New Roman" w:cs="Times New Roman"/>
          <w:sz w:val="22"/>
          <w:szCs w:val="22"/>
        </w:rPr>
        <w:t xml:space="preserve">now corrected. </w:t>
      </w:r>
    </w:p>
    <w:p w14:paraId="090FEF20" w14:textId="77777777" w:rsidR="00BD2287" w:rsidRPr="00506D21" w:rsidRDefault="00BD2287" w:rsidP="00506D21">
      <w:pPr>
        <w:spacing w:line="240" w:lineRule="auto"/>
        <w:rPr>
          <w:rFonts w:ascii="Times New Roman" w:hAnsi="Times New Roman" w:cs="Times New Roman"/>
          <w:sz w:val="22"/>
          <w:szCs w:val="22"/>
        </w:rPr>
      </w:pPr>
    </w:p>
    <w:p w14:paraId="17A1797A" w14:textId="4F6B76A7" w:rsid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AE5120">
        <w:rPr>
          <w:rFonts w:ascii="Times New Roman" w:hAnsi="Times New Roman" w:cs="Times New Roman"/>
          <w:sz w:val="22"/>
          <w:szCs w:val="22"/>
          <w:highlight w:val="yellow"/>
        </w:rPr>
        <w:t xml:space="preserve">Line 135-136: I don't agree with the statement "leaving the magnitude and durability of immune protection in the general population less thoroughly explored." This isn't quite true. Magnitude and durability of immune protection in the general population is </w:t>
      </w:r>
      <w:proofErr w:type="gramStart"/>
      <w:r w:rsidR="00506D21" w:rsidRPr="00AE5120">
        <w:rPr>
          <w:rFonts w:ascii="Times New Roman" w:hAnsi="Times New Roman" w:cs="Times New Roman"/>
          <w:sz w:val="22"/>
          <w:szCs w:val="22"/>
          <w:highlight w:val="yellow"/>
        </w:rPr>
        <w:t>actually very</w:t>
      </w:r>
      <w:proofErr w:type="gramEnd"/>
      <w:r w:rsidR="00506D21" w:rsidRPr="00AE5120">
        <w:rPr>
          <w:rFonts w:ascii="Times New Roman" w:hAnsi="Times New Roman" w:cs="Times New Roman"/>
          <w:sz w:val="22"/>
          <w:szCs w:val="22"/>
          <w:highlight w:val="yellow"/>
        </w:rPr>
        <w:t xml:space="preserve"> well described. This sentence needs to be more specific or removed. Trying to say that immunity is understudied in any healthy adult population is hard to support and justify. You may want to remove this point all together.</w:t>
      </w:r>
    </w:p>
    <w:p w14:paraId="6E5BEB66" w14:textId="561751BD" w:rsidR="007A41F2" w:rsidRPr="009A4234" w:rsidRDefault="009A4234" w:rsidP="00506D21">
      <w:pPr>
        <w:spacing w:line="240" w:lineRule="auto"/>
        <w:rPr>
          <w:rFonts w:ascii="Times New Roman" w:eastAsia="Malgun Gothic" w:hAnsi="Times New Roman" w:cs="Times New Roman"/>
          <w:sz w:val="22"/>
          <w:szCs w:val="22"/>
          <w:lang w:eastAsia="ko-KR"/>
        </w:rPr>
      </w:pPr>
      <w:r w:rsidRPr="009A4234">
        <w:rPr>
          <w:rFonts w:ascii="Times New Roman" w:eastAsia="Malgun Gothic" w:hAnsi="Times New Roman" w:cs="Times New Roman" w:hint="eastAsia"/>
          <w:b/>
          <w:bCs/>
          <w:sz w:val="22"/>
          <w:szCs w:val="22"/>
          <w:lang w:eastAsia="ko-KR"/>
        </w:rPr>
        <w:t>Response:</w:t>
      </w:r>
      <w:r>
        <w:rPr>
          <w:rFonts w:ascii="Times New Roman" w:eastAsia="Malgun Gothic" w:hAnsi="Times New Roman" w:cs="Times New Roman" w:hint="eastAsia"/>
          <w:sz w:val="22"/>
          <w:szCs w:val="22"/>
          <w:lang w:eastAsia="ko-KR"/>
        </w:rPr>
        <w:t xml:space="preserve"> We removed. </w:t>
      </w:r>
    </w:p>
    <w:p w14:paraId="7B65859B" w14:textId="77777777" w:rsidR="007A41F2" w:rsidRPr="00506D21" w:rsidRDefault="007A41F2" w:rsidP="00506D21">
      <w:pPr>
        <w:spacing w:line="240" w:lineRule="auto"/>
        <w:rPr>
          <w:rFonts w:ascii="Times New Roman" w:hAnsi="Times New Roman" w:cs="Times New Roman"/>
          <w:sz w:val="22"/>
          <w:szCs w:val="22"/>
        </w:rPr>
      </w:pPr>
    </w:p>
    <w:p w14:paraId="28BE02B5" w14:textId="68B3BFC7" w:rsid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 138-140: I recommend using less definitive language in this sentence. Do we have absolute proof that hybrid immunity "provides" the strongest protection against severe outcomes during the Omicron era? Also, your point about "continuous surveillance" at the end of this sentence seems like it comes out of nowhere. I would introduce this point earlier so you can emphasize its importance in this last sentence.</w:t>
      </w:r>
    </w:p>
    <w:p w14:paraId="0D71CC6D" w14:textId="66AC20A8" w:rsidR="00FB3FC2" w:rsidRDefault="0041082D" w:rsidP="00506D21">
      <w:pPr>
        <w:spacing w:line="240" w:lineRule="auto"/>
        <w:rPr>
          <w:rFonts w:ascii="Times New Roman" w:hAnsi="Times New Roman" w:cs="Times New Roman"/>
          <w:sz w:val="22"/>
          <w:szCs w:val="22"/>
        </w:rPr>
      </w:pPr>
      <w:r w:rsidRPr="00067D65">
        <w:rPr>
          <w:rFonts w:ascii="Times New Roman" w:hAnsi="Times New Roman" w:cs="Times New Roman"/>
          <w:b/>
          <w:bCs/>
          <w:sz w:val="22"/>
          <w:szCs w:val="22"/>
        </w:rPr>
        <w:t>Response:</w:t>
      </w:r>
      <w:r>
        <w:rPr>
          <w:rFonts w:ascii="Times New Roman" w:hAnsi="Times New Roman" w:cs="Times New Roman"/>
          <w:b/>
          <w:bCs/>
          <w:sz w:val="22"/>
          <w:szCs w:val="22"/>
        </w:rPr>
        <w:t xml:space="preserve"> </w:t>
      </w:r>
      <w:r w:rsidR="005902B8">
        <w:rPr>
          <w:rFonts w:ascii="Times New Roman" w:hAnsi="Times New Roman" w:cs="Times New Roman"/>
          <w:sz w:val="22"/>
          <w:szCs w:val="22"/>
        </w:rPr>
        <w:t>“</w:t>
      </w:r>
      <w:r w:rsidRPr="0041082D">
        <w:rPr>
          <w:rFonts w:ascii="Times New Roman" w:hAnsi="Times New Roman" w:cs="Times New Roman"/>
          <w:sz w:val="22"/>
          <w:szCs w:val="22"/>
        </w:rPr>
        <w:t>These findings highlight that while hybrid immunity provides the strongest protection against severe outcomes during the Omicron era, continuous surveillance remains essential as new immune-evasive variants emerge and population immunity profiles evolve</w:t>
      </w:r>
      <w:proofErr w:type="gramStart"/>
      <w:r>
        <w:rPr>
          <w:rFonts w:ascii="Times New Roman" w:hAnsi="Times New Roman" w:cs="Times New Roman"/>
          <w:sz w:val="22"/>
          <w:szCs w:val="22"/>
        </w:rPr>
        <w:t xml:space="preserve">. </w:t>
      </w:r>
      <w:r w:rsidR="005902B8">
        <w:rPr>
          <w:rFonts w:ascii="Times New Roman" w:hAnsi="Times New Roman" w:cs="Times New Roman"/>
          <w:sz w:val="22"/>
          <w:szCs w:val="22"/>
        </w:rPr>
        <w:t>”</w:t>
      </w:r>
      <w:proofErr w:type="gramEnd"/>
    </w:p>
    <w:p w14:paraId="4D930BCF" w14:textId="0FB5AB6F" w:rsidR="0041082D" w:rsidRDefault="0041082D" w:rsidP="00506D21">
      <w:pPr>
        <w:spacing w:line="240" w:lineRule="auto"/>
        <w:rPr>
          <w:rFonts w:ascii="Times New Roman" w:hAnsi="Times New Roman" w:cs="Times New Roman"/>
          <w:sz w:val="22"/>
          <w:szCs w:val="22"/>
        </w:rPr>
      </w:pPr>
      <w:r>
        <w:rPr>
          <w:rFonts w:ascii="Times New Roman" w:hAnsi="Times New Roman" w:cs="Times New Roman"/>
          <w:sz w:val="22"/>
          <w:szCs w:val="22"/>
        </w:rPr>
        <w:t xml:space="preserve">to </w:t>
      </w:r>
    </w:p>
    <w:p w14:paraId="0851CDD0" w14:textId="05EF0CFA" w:rsidR="00FB3FC2" w:rsidRDefault="00FB3FC2" w:rsidP="00506D21">
      <w:pPr>
        <w:spacing w:line="240" w:lineRule="auto"/>
        <w:rPr>
          <w:rFonts w:ascii="Times New Roman" w:hAnsi="Times New Roman" w:cs="Times New Roman"/>
          <w:sz w:val="22"/>
          <w:szCs w:val="22"/>
        </w:rPr>
      </w:pPr>
      <w:r>
        <w:rPr>
          <w:rFonts w:ascii="Times New Roman" w:hAnsi="Times New Roman" w:cs="Times New Roman"/>
          <w:sz w:val="22"/>
          <w:szCs w:val="22"/>
        </w:rPr>
        <w:t>“</w:t>
      </w:r>
      <w:r w:rsidR="005902B8" w:rsidRPr="005902B8">
        <w:rPr>
          <w:rFonts w:ascii="Times New Roman" w:hAnsi="Times New Roman" w:cs="Times New Roman"/>
          <w:sz w:val="22"/>
          <w:szCs w:val="22"/>
        </w:rPr>
        <w:t xml:space="preserve">These findings suggest that hybrid immunity generally offers strong protection during the Omicron period; however, its durability varies across studies and populations. </w:t>
      </w:r>
      <w:r w:rsidR="00D50EEB" w:rsidRPr="00D50EEB">
        <w:rPr>
          <w:rFonts w:ascii="Times New Roman" w:hAnsi="Times New Roman" w:cs="Times New Roman"/>
          <w:sz w:val="22"/>
          <w:szCs w:val="22"/>
        </w:rPr>
        <w:t>As new variants emerge and population immunity shifts, continued surveillance is needed to monitor how long this protection persists</w:t>
      </w:r>
      <w:r w:rsidR="005902B8" w:rsidRPr="005902B8">
        <w:rPr>
          <w:rFonts w:ascii="Times New Roman" w:hAnsi="Times New Roman" w:cs="Times New Roman"/>
          <w:sz w:val="22"/>
          <w:szCs w:val="22"/>
        </w:rPr>
        <w:t>.</w:t>
      </w:r>
      <w:r>
        <w:rPr>
          <w:rFonts w:ascii="Times New Roman" w:hAnsi="Times New Roman" w:cs="Times New Roman"/>
          <w:sz w:val="22"/>
          <w:szCs w:val="22"/>
        </w:rPr>
        <w:t>”</w:t>
      </w:r>
    </w:p>
    <w:p w14:paraId="5D71A061" w14:textId="77777777" w:rsidR="00FB3FC2" w:rsidRPr="00506D21" w:rsidRDefault="00FB3FC2" w:rsidP="00506D21">
      <w:pPr>
        <w:spacing w:line="240" w:lineRule="auto"/>
        <w:rPr>
          <w:rFonts w:ascii="Times New Roman" w:hAnsi="Times New Roman" w:cs="Times New Roman"/>
          <w:sz w:val="22"/>
          <w:szCs w:val="22"/>
        </w:rPr>
      </w:pPr>
    </w:p>
    <w:p w14:paraId="1C7A94E0" w14:textId="6729DD02" w:rsidR="00506D21" w:rsidRPr="007E3722" w:rsidRDefault="00E15685" w:rsidP="00506D21">
      <w:pPr>
        <w:spacing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Lines144-145: How did you define an undetected case? You could expand on your baseline findings slightly here.</w:t>
      </w:r>
      <w:r w:rsidR="007E3722">
        <w:rPr>
          <w:rFonts w:ascii="Times New Roman" w:eastAsia="Malgun Gothic" w:hAnsi="Times New Roman" w:cs="Times New Roman" w:hint="eastAsia"/>
          <w:sz w:val="22"/>
          <w:szCs w:val="22"/>
          <w:lang w:eastAsia="ko-KR"/>
        </w:rPr>
        <w:t xml:space="preserve"> </w:t>
      </w:r>
    </w:p>
    <w:p w14:paraId="00940F16" w14:textId="207D4456" w:rsidR="00B115E6" w:rsidRPr="007E3722" w:rsidRDefault="00B115E6" w:rsidP="00506D21">
      <w:pPr>
        <w:spacing w:line="240" w:lineRule="auto"/>
        <w:rPr>
          <w:rFonts w:ascii="Times New Roman" w:eastAsia="Malgun Gothic" w:hAnsi="Times New Roman" w:cs="Times New Roman"/>
          <w:sz w:val="22"/>
          <w:szCs w:val="22"/>
          <w:lang w:eastAsia="ko-KR"/>
        </w:rPr>
      </w:pPr>
      <w:r w:rsidRPr="00067D65">
        <w:rPr>
          <w:rFonts w:ascii="Times New Roman" w:hAnsi="Times New Roman" w:cs="Times New Roman"/>
          <w:b/>
          <w:bCs/>
          <w:sz w:val="22"/>
          <w:szCs w:val="22"/>
        </w:rPr>
        <w:t>Response:</w:t>
      </w:r>
      <w:r>
        <w:rPr>
          <w:rFonts w:ascii="Times New Roman" w:hAnsi="Times New Roman" w:cs="Times New Roman"/>
          <w:b/>
          <w:bCs/>
          <w:sz w:val="22"/>
          <w:szCs w:val="22"/>
        </w:rPr>
        <w:t xml:space="preserve"> </w:t>
      </w:r>
      <w:r>
        <w:rPr>
          <w:rFonts w:ascii="Times New Roman" w:hAnsi="Times New Roman" w:cs="Times New Roman"/>
          <w:sz w:val="22"/>
          <w:szCs w:val="22"/>
        </w:rPr>
        <w:t>“…</w:t>
      </w:r>
      <w:r w:rsidRPr="00B115E6">
        <w:rPr>
          <w:rFonts w:ascii="Times New Roman" w:hAnsi="Times New Roman" w:cs="Times New Roman"/>
          <w:sz w:val="22"/>
          <w:szCs w:val="22"/>
        </w:rPr>
        <w:t>including unconfirmed cases detected by anti-N serology</w:t>
      </w:r>
      <w:r>
        <w:rPr>
          <w:rFonts w:ascii="Times New Roman" w:hAnsi="Times New Roman" w:cs="Times New Roman"/>
          <w:sz w:val="22"/>
          <w:szCs w:val="22"/>
        </w:rPr>
        <w:t>”</w:t>
      </w:r>
      <w:r w:rsidR="007E3722">
        <w:rPr>
          <w:rFonts w:ascii="Times New Roman" w:eastAsia="Malgun Gothic" w:hAnsi="Times New Roman" w:cs="Times New Roman" w:hint="eastAsia"/>
          <w:sz w:val="22"/>
          <w:szCs w:val="22"/>
          <w:lang w:eastAsia="ko-KR"/>
        </w:rPr>
        <w:t xml:space="preserve"> (Line 140)</w:t>
      </w:r>
    </w:p>
    <w:p w14:paraId="46379EF4" w14:textId="77777777" w:rsidR="00B115E6" w:rsidRPr="00506D21" w:rsidRDefault="00B115E6" w:rsidP="00506D21">
      <w:pPr>
        <w:spacing w:line="240" w:lineRule="auto"/>
        <w:rPr>
          <w:rFonts w:ascii="Times New Roman" w:hAnsi="Times New Roman" w:cs="Times New Roman"/>
          <w:sz w:val="22"/>
          <w:szCs w:val="22"/>
        </w:rPr>
      </w:pPr>
    </w:p>
    <w:p w14:paraId="25AE14EB" w14:textId="77777777" w:rsidR="00506D21" w:rsidRPr="00506D21" w:rsidRDefault="00506D21" w:rsidP="00506D21">
      <w:pPr>
        <w:spacing w:line="240" w:lineRule="auto"/>
        <w:rPr>
          <w:rFonts w:ascii="Times New Roman" w:hAnsi="Times New Roman" w:cs="Times New Roman"/>
          <w:sz w:val="22"/>
          <w:szCs w:val="22"/>
        </w:rPr>
      </w:pPr>
      <w:r w:rsidRPr="00506D21">
        <w:rPr>
          <w:rFonts w:ascii="Times New Roman" w:hAnsi="Times New Roman" w:cs="Times New Roman"/>
          <w:sz w:val="22"/>
          <w:szCs w:val="22"/>
        </w:rPr>
        <w:t>Methods:</w:t>
      </w:r>
    </w:p>
    <w:p w14:paraId="2265300C" w14:textId="3E462316" w:rsid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 xml:space="preserve">Lines 156-157: </w:t>
      </w:r>
      <w:r w:rsidR="00506D21" w:rsidRPr="00FE677A">
        <w:rPr>
          <w:rFonts w:ascii="Times New Roman" w:hAnsi="Times New Roman" w:cs="Times New Roman"/>
          <w:sz w:val="22"/>
          <w:szCs w:val="22"/>
          <w:highlight w:val="yellow"/>
        </w:rPr>
        <w:t>How were individuals enrolled? How did you recruit for the cohort?</w:t>
      </w:r>
    </w:p>
    <w:p w14:paraId="3BFB8F91" w14:textId="0C3E14AF" w:rsidR="000628B5" w:rsidRDefault="007E2A74" w:rsidP="00506D21">
      <w:pPr>
        <w:spacing w:line="240" w:lineRule="auto"/>
        <w:rPr>
          <w:rFonts w:ascii="Times New Roman" w:hAnsi="Times New Roman" w:cs="Times New Roman"/>
          <w:sz w:val="22"/>
          <w:szCs w:val="22"/>
        </w:rPr>
      </w:pPr>
      <w:r w:rsidRPr="00067D65">
        <w:rPr>
          <w:rFonts w:ascii="Times New Roman" w:hAnsi="Times New Roman" w:cs="Times New Roman"/>
          <w:b/>
          <w:bCs/>
          <w:sz w:val="22"/>
          <w:szCs w:val="22"/>
        </w:rPr>
        <w:t>Response:</w:t>
      </w:r>
      <w:r>
        <w:rPr>
          <w:rFonts w:ascii="Times New Roman" w:hAnsi="Times New Roman" w:cs="Times New Roman"/>
          <w:b/>
          <w:bCs/>
          <w:sz w:val="22"/>
          <w:szCs w:val="22"/>
        </w:rPr>
        <w:t xml:space="preserve"> </w:t>
      </w:r>
      <w:r w:rsidR="000628B5">
        <w:rPr>
          <w:rFonts w:ascii="Times New Roman" w:hAnsi="Times New Roman" w:cs="Times New Roman" w:hint="eastAsia"/>
          <w:sz w:val="22"/>
          <w:szCs w:val="22"/>
        </w:rPr>
        <w:t>C</w:t>
      </w:r>
      <w:r w:rsidR="000628B5">
        <w:rPr>
          <w:rFonts w:ascii="Times New Roman" w:hAnsi="Times New Roman" w:cs="Times New Roman"/>
          <w:sz w:val="22"/>
          <w:szCs w:val="22"/>
        </w:rPr>
        <w:t>hange to “</w:t>
      </w:r>
      <w:r w:rsidRPr="007E2A74">
        <w:rPr>
          <w:rFonts w:ascii="Times New Roman" w:hAnsi="Times New Roman" w:cs="Times New Roman"/>
          <w:sz w:val="22"/>
          <w:szCs w:val="22"/>
        </w:rPr>
        <w:t xml:space="preserve">K-SEROSMART Wave 1 fieldwork, conducted from August 12 to September 5, 2022, enrolled 9,945 individuals from 5,041 households in 258 communities across South Korea using a stratified, </w:t>
      </w:r>
      <w:r w:rsidRPr="002D208D">
        <w:rPr>
          <w:rFonts w:ascii="Times New Roman" w:hAnsi="Times New Roman" w:cs="Times New Roman"/>
          <w:sz w:val="22"/>
          <w:szCs w:val="22"/>
          <w:shd w:val="pct15" w:color="auto" w:fill="FFFFFF"/>
        </w:rPr>
        <w:t>community-based sampling design in which trained field staff conducted door-to-door recruitment.</w:t>
      </w:r>
      <w:r w:rsidR="000628B5" w:rsidRPr="002D208D">
        <w:rPr>
          <w:rFonts w:ascii="Times New Roman" w:hAnsi="Times New Roman" w:cs="Times New Roman"/>
          <w:sz w:val="22"/>
          <w:szCs w:val="22"/>
          <w:shd w:val="pct15" w:color="auto" w:fill="FFFFFF"/>
        </w:rPr>
        <w:t>”</w:t>
      </w:r>
    </w:p>
    <w:p w14:paraId="1C8A8FEF" w14:textId="77777777" w:rsidR="000628B5" w:rsidRPr="00506D21" w:rsidRDefault="000628B5" w:rsidP="00506D21">
      <w:pPr>
        <w:spacing w:line="240" w:lineRule="auto"/>
        <w:rPr>
          <w:rFonts w:ascii="Times New Roman" w:hAnsi="Times New Roman" w:cs="Times New Roman"/>
          <w:sz w:val="22"/>
          <w:szCs w:val="22"/>
        </w:rPr>
      </w:pPr>
    </w:p>
    <w:p w14:paraId="1EF10A70" w14:textId="23BCD797" w:rsid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 158-159: "During household interviews" mentioned twice. I would remove the second mention.</w:t>
      </w:r>
    </w:p>
    <w:p w14:paraId="1FE79F90" w14:textId="07304C8E" w:rsidR="00C934B9" w:rsidRDefault="00C934B9" w:rsidP="00506D21">
      <w:pPr>
        <w:spacing w:line="240" w:lineRule="auto"/>
        <w:rPr>
          <w:rFonts w:ascii="Times New Roman" w:hAnsi="Times New Roman" w:cs="Times New Roman"/>
          <w:sz w:val="22"/>
          <w:szCs w:val="22"/>
        </w:rPr>
      </w:pPr>
      <w:r w:rsidRPr="00067D65">
        <w:rPr>
          <w:rFonts w:ascii="Times New Roman" w:hAnsi="Times New Roman" w:cs="Times New Roman"/>
          <w:b/>
          <w:bCs/>
          <w:sz w:val="22"/>
          <w:szCs w:val="22"/>
        </w:rPr>
        <w:lastRenderedPageBreak/>
        <w:t>Response:</w:t>
      </w:r>
      <w:r>
        <w:rPr>
          <w:rFonts w:ascii="Times New Roman" w:hAnsi="Times New Roman" w:cs="Times New Roman"/>
          <w:b/>
          <w:bCs/>
          <w:sz w:val="22"/>
          <w:szCs w:val="22"/>
        </w:rPr>
        <w:t xml:space="preserve"> </w:t>
      </w:r>
      <w:r>
        <w:rPr>
          <w:rFonts w:ascii="Times New Roman" w:hAnsi="Times New Roman" w:cs="Times New Roman"/>
          <w:sz w:val="22"/>
          <w:szCs w:val="22"/>
        </w:rPr>
        <w:t xml:space="preserve">Now delete the second one. </w:t>
      </w:r>
    </w:p>
    <w:p w14:paraId="3D5622D0" w14:textId="77777777" w:rsidR="00C934B9" w:rsidRPr="00506D21" w:rsidRDefault="00C934B9" w:rsidP="00506D21">
      <w:pPr>
        <w:spacing w:line="240" w:lineRule="auto"/>
        <w:rPr>
          <w:rFonts w:ascii="Times New Roman" w:hAnsi="Times New Roman" w:cs="Times New Roman"/>
          <w:sz w:val="22"/>
          <w:szCs w:val="22"/>
        </w:rPr>
      </w:pPr>
    </w:p>
    <w:p w14:paraId="202A2881" w14:textId="1EA7721B" w:rsid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164: It is acceptable for you to reference sampling and laboratory protocols elsewhere, but they should be mentioned in the text and then refer to your reference.</w:t>
      </w:r>
    </w:p>
    <w:p w14:paraId="026EF577" w14:textId="2FBFE4B9" w:rsidR="00C934B9" w:rsidRDefault="007F77FA" w:rsidP="00506D21">
      <w:pPr>
        <w:spacing w:line="240" w:lineRule="auto"/>
        <w:rPr>
          <w:rFonts w:ascii="Times New Roman" w:hAnsi="Times New Roman" w:cs="Times New Roman"/>
          <w:sz w:val="22"/>
          <w:szCs w:val="22"/>
        </w:rPr>
      </w:pPr>
      <w:r w:rsidRPr="00067D65">
        <w:rPr>
          <w:rFonts w:ascii="Times New Roman" w:hAnsi="Times New Roman" w:cs="Times New Roman"/>
          <w:b/>
          <w:bCs/>
          <w:sz w:val="22"/>
          <w:szCs w:val="22"/>
        </w:rPr>
        <w:t>Response:</w:t>
      </w:r>
      <w:r>
        <w:rPr>
          <w:rFonts w:ascii="Times New Roman" w:hAnsi="Times New Roman" w:cs="Times New Roman"/>
          <w:b/>
          <w:bCs/>
          <w:sz w:val="22"/>
          <w:szCs w:val="22"/>
        </w:rPr>
        <w:t xml:space="preserve"> </w:t>
      </w:r>
      <w:r>
        <w:rPr>
          <w:rFonts w:ascii="Times New Roman" w:hAnsi="Times New Roman" w:cs="Times New Roman"/>
          <w:sz w:val="22"/>
          <w:szCs w:val="22"/>
        </w:rPr>
        <w:t>Now corrected “</w:t>
      </w:r>
      <w:r w:rsidRPr="007F77FA">
        <w:rPr>
          <w:rFonts w:ascii="Times New Roman" w:hAnsi="Times New Roman" w:cs="Times New Roman"/>
          <w:sz w:val="22"/>
          <w:szCs w:val="22"/>
        </w:rPr>
        <w:t xml:space="preserve">Sampling procedures and laboratory testing protocols for the serological assays used in this study are described in detail in a prior </w:t>
      </w:r>
      <w:r w:rsidR="000D7A66" w:rsidRPr="007F77FA">
        <w:rPr>
          <w:rFonts w:ascii="Times New Roman" w:hAnsi="Times New Roman" w:cs="Times New Roman"/>
          <w:sz w:val="22"/>
          <w:szCs w:val="22"/>
        </w:rPr>
        <w:t>publication”</w:t>
      </w:r>
    </w:p>
    <w:p w14:paraId="19527A41" w14:textId="77777777" w:rsidR="00C934B9" w:rsidRPr="00506D21" w:rsidRDefault="00C934B9" w:rsidP="00506D21">
      <w:pPr>
        <w:spacing w:line="240" w:lineRule="auto"/>
        <w:rPr>
          <w:rFonts w:ascii="Times New Roman" w:hAnsi="Times New Roman" w:cs="Times New Roman"/>
          <w:sz w:val="22"/>
          <w:szCs w:val="22"/>
        </w:rPr>
      </w:pPr>
    </w:p>
    <w:p w14:paraId="0C60B116" w14:textId="18D13CC5" w:rsidR="00506D21" w:rsidRP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632DB8">
        <w:rPr>
          <w:rFonts w:ascii="Times New Roman" w:hAnsi="Times New Roman" w:cs="Times New Roman"/>
          <w:sz w:val="22"/>
          <w:szCs w:val="22"/>
          <w:highlight w:val="yellow"/>
        </w:rPr>
        <w:t xml:space="preserve">Lines 171-173: Be specific regarding what the </w:t>
      </w:r>
      <w:proofErr w:type="spellStart"/>
      <w:r w:rsidR="00506D21" w:rsidRPr="00632DB8">
        <w:rPr>
          <w:rFonts w:ascii="Times New Roman" w:hAnsi="Times New Roman" w:cs="Times New Roman"/>
          <w:sz w:val="22"/>
          <w:szCs w:val="22"/>
          <w:highlight w:val="yellow"/>
        </w:rPr>
        <w:t>Elecsys</w:t>
      </w:r>
      <w:proofErr w:type="spellEnd"/>
      <w:r w:rsidR="00506D21" w:rsidRPr="00632DB8">
        <w:rPr>
          <w:rFonts w:ascii="Times New Roman" w:hAnsi="Times New Roman" w:cs="Times New Roman"/>
          <w:sz w:val="22"/>
          <w:szCs w:val="22"/>
          <w:highlight w:val="yellow"/>
        </w:rPr>
        <w:t xml:space="preserve"> is measuring, at this point in the document it's still unclear to me why this was used. Are you sure "blood samples" were used for your ECL assay? I don't recall a protocol that uses whole blood. After reading the full document I am still unsure what tests were used for which results. Be very clear what </w:t>
      </w:r>
      <w:proofErr w:type="spellStart"/>
      <w:r w:rsidR="00506D21" w:rsidRPr="00632DB8">
        <w:rPr>
          <w:rFonts w:ascii="Times New Roman" w:hAnsi="Times New Roman" w:cs="Times New Roman"/>
          <w:sz w:val="22"/>
          <w:szCs w:val="22"/>
          <w:highlight w:val="yellow"/>
        </w:rPr>
        <w:t>Elecsys</w:t>
      </w:r>
      <w:proofErr w:type="spellEnd"/>
      <w:r w:rsidR="00506D21" w:rsidRPr="00632DB8">
        <w:rPr>
          <w:rFonts w:ascii="Times New Roman" w:hAnsi="Times New Roman" w:cs="Times New Roman"/>
          <w:sz w:val="22"/>
          <w:szCs w:val="22"/>
          <w:highlight w:val="yellow"/>
        </w:rPr>
        <w:t xml:space="preserve"> was used for and what ECL was used for.</w:t>
      </w:r>
    </w:p>
    <w:p w14:paraId="0F9EA5C4" w14:textId="0C611FFB" w:rsidR="00632DB8" w:rsidRDefault="00CB7F6F" w:rsidP="00506D21">
      <w:pPr>
        <w:spacing w:line="240" w:lineRule="auto"/>
        <w:rPr>
          <w:rFonts w:eastAsia="Malgun Gothic"/>
          <w:lang w:eastAsia="ko-KR"/>
        </w:rPr>
      </w:pPr>
      <w:r>
        <w:rPr>
          <w:rFonts w:ascii="Times New Roman" w:eastAsia="Malgun Gothic" w:hAnsi="Times New Roman" w:cs="Times New Roman" w:hint="eastAsia"/>
          <w:b/>
          <w:bCs/>
          <w:sz w:val="22"/>
          <w:szCs w:val="22"/>
          <w:lang w:eastAsia="ko-KR"/>
        </w:rPr>
        <w:t xml:space="preserve">Response: </w:t>
      </w:r>
      <w:r>
        <w:t xml:space="preserve">Thank you for this important clarification. We have revised the Methods section to be precise. Whole blood was collected from participants, but it was centrifuged to obtain </w:t>
      </w:r>
      <w:r>
        <w:rPr>
          <w:b/>
          <w:bCs/>
        </w:rPr>
        <w:t>serum</w:t>
      </w:r>
      <w:r>
        <w:t xml:space="preserve">, which was the specific matrix used for the assay. Regarding the terminology, we used the </w:t>
      </w:r>
      <w:r>
        <w:rPr>
          <w:b/>
          <w:bCs/>
        </w:rPr>
        <w:t xml:space="preserve">Roche </w:t>
      </w:r>
      <w:proofErr w:type="spellStart"/>
      <w:r>
        <w:rPr>
          <w:b/>
          <w:bCs/>
        </w:rPr>
        <w:t>Elecsys</w:t>
      </w:r>
      <w:proofErr w:type="spellEnd"/>
      <w:r>
        <w:rPr>
          <w:b/>
          <w:bCs/>
        </w:rPr>
        <w:t xml:space="preserve"> Anti-SARS-CoV-2</w:t>
      </w:r>
      <w:r>
        <w:t xml:space="preserve"> assays (both Anti-S and Anti-N). </w:t>
      </w:r>
      <w:r>
        <w:rPr>
          <w:b/>
          <w:bCs/>
        </w:rPr>
        <w:t>Electrochemiluminescence immunoassay (ECLIA)</w:t>
      </w:r>
      <w:r>
        <w:t xml:space="preserve"> is the detection technology employed by the </w:t>
      </w:r>
      <w:proofErr w:type="spellStart"/>
      <w:r>
        <w:t>Elecsys</w:t>
      </w:r>
      <w:proofErr w:type="spellEnd"/>
      <w:r>
        <w:t xml:space="preserve"> platform, not a separate test. We have clarified that the </w:t>
      </w:r>
      <w:proofErr w:type="spellStart"/>
      <w:r>
        <w:t>Elecsys</w:t>
      </w:r>
      <w:proofErr w:type="spellEnd"/>
      <w:r>
        <w:t xml:space="preserve"> ECLIA platform was used to measure both anti-S and anti-N antibody titers in the serum samples.</w:t>
      </w:r>
    </w:p>
    <w:p w14:paraId="747652C2" w14:textId="334F989E" w:rsidR="00506D21" w:rsidRDefault="00E15685" w:rsidP="00506D21">
      <w:pPr>
        <w:spacing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D651A7">
        <w:rPr>
          <w:rFonts w:ascii="Times New Roman" w:hAnsi="Times New Roman" w:cs="Times New Roman"/>
          <w:sz w:val="22"/>
          <w:szCs w:val="22"/>
          <w:highlight w:val="yellow"/>
        </w:rPr>
        <w:t>Lines 173-175: Explain the rationale behind these cutoffs. These need to be well-supported. Also, verify that your reference (#18) for this information is correct. This is a reference for a nanotechnology article.</w:t>
      </w:r>
    </w:p>
    <w:p w14:paraId="5131C9F6" w14:textId="77777777" w:rsidR="009A091C" w:rsidRPr="009A091C" w:rsidRDefault="009A091C" w:rsidP="009A091C">
      <w:pPr>
        <w:spacing w:after="0" w:line="240" w:lineRule="auto"/>
        <w:rPr>
          <w:rFonts w:ascii="Times New Roman" w:eastAsia="Times New Roman" w:hAnsi="Times New Roman" w:cs="Times New Roman"/>
          <w:kern w:val="0"/>
          <w:lang w:eastAsia="ko-KR"/>
          <w14:ligatures w14:val="none"/>
        </w:rPr>
      </w:pPr>
      <w:r w:rsidRPr="009A091C">
        <w:rPr>
          <w:rFonts w:ascii="Times New Roman" w:eastAsia="Times New Roman" w:hAnsi="Times New Roman" w:cs="Times New Roman"/>
          <w:kern w:val="0"/>
          <w:lang w:eastAsia="ko-KR"/>
          <w14:ligatures w14:val="none"/>
        </w:rPr>
        <w:t xml:space="preserve">Anti-S results were numerical and classified as positive (reactive) if the titer was </w:t>
      </w:r>
      <w:r w:rsidRPr="009A091C">
        <w:rPr>
          <w:rFonts w:ascii="Arial" w:eastAsia="Times New Roman" w:hAnsi="Arial" w:cs="Arial"/>
          <w:kern w:val="0"/>
          <w:lang w:eastAsia="ko-KR"/>
          <w14:ligatures w14:val="none"/>
        </w:rPr>
        <w:t>$\</w:t>
      </w:r>
      <w:proofErr w:type="spellStart"/>
      <w:r w:rsidRPr="009A091C">
        <w:rPr>
          <w:rFonts w:ascii="Arial" w:eastAsia="Times New Roman" w:hAnsi="Arial" w:cs="Arial"/>
          <w:kern w:val="0"/>
          <w:lang w:eastAsia="ko-KR"/>
          <w14:ligatures w14:val="none"/>
        </w:rPr>
        <w:t>ge</w:t>
      </w:r>
      <w:proofErr w:type="spellEnd"/>
      <w:r w:rsidRPr="009A091C">
        <w:rPr>
          <w:rFonts w:ascii="Arial" w:eastAsia="Times New Roman" w:hAnsi="Arial" w:cs="Arial"/>
          <w:kern w:val="0"/>
          <w:lang w:eastAsia="ko-KR"/>
          <w14:ligatures w14:val="none"/>
        </w:rPr>
        <w:t xml:space="preserve"> 0.80$</w:t>
      </w:r>
      <w:r w:rsidRPr="009A091C">
        <w:rPr>
          <w:rFonts w:ascii="Times New Roman" w:eastAsia="Times New Roman" w:hAnsi="Times New Roman" w:cs="Times New Roman"/>
          <w:kern w:val="0"/>
          <w:lang w:eastAsia="ko-KR"/>
          <w14:ligatures w14:val="none"/>
        </w:rPr>
        <w:t xml:space="preserve"> U/mL, </w:t>
      </w:r>
      <w:r w:rsidRPr="009A091C">
        <w:rPr>
          <w:rFonts w:ascii="Arial" w:eastAsia="Times New Roman" w:hAnsi="Arial" w:cs="Arial"/>
          <w:b/>
          <w:bCs/>
          <w:kern w:val="0"/>
          <w:lang w:eastAsia="ko-KR"/>
          <w14:ligatures w14:val="none"/>
        </w:rPr>
        <w:t xml:space="preserve">in accordance with the manufacturer's instructions for the Roche </w:t>
      </w:r>
      <w:proofErr w:type="spellStart"/>
      <w:r w:rsidRPr="009A091C">
        <w:rPr>
          <w:rFonts w:ascii="Arial" w:eastAsia="Times New Roman" w:hAnsi="Arial" w:cs="Arial"/>
          <w:b/>
          <w:bCs/>
          <w:kern w:val="0"/>
          <w:lang w:eastAsia="ko-KR"/>
          <w14:ligatures w14:val="none"/>
        </w:rPr>
        <w:t>Elecsys</w:t>
      </w:r>
      <w:proofErr w:type="spellEnd"/>
      <w:r w:rsidRPr="009A091C">
        <w:rPr>
          <w:rFonts w:ascii="Arial" w:eastAsia="Times New Roman" w:hAnsi="Arial" w:cs="Arial"/>
          <w:b/>
          <w:bCs/>
          <w:kern w:val="0"/>
          <w:lang w:eastAsia="ko-KR"/>
          <w14:ligatures w14:val="none"/>
        </w:rPr>
        <w:t xml:space="preserve"> Anti-SARS-CoV-2 S assay</w:t>
      </w:r>
      <w:r w:rsidRPr="009A091C">
        <w:rPr>
          <w:rFonts w:ascii="Times New Roman" w:eastAsia="Times New Roman" w:hAnsi="Times New Roman" w:cs="Times New Roman"/>
          <w:kern w:val="0"/>
          <w:lang w:eastAsia="ko-KR"/>
          <w14:ligatures w14:val="none"/>
        </w:rPr>
        <w:t xml:space="preserve"> [Ref: Roche Package Insert]. This cutoff is established to differentiate true antibody presence from background noise with high specificity.</w:t>
      </w:r>
    </w:p>
    <w:p w14:paraId="3D77CABC" w14:textId="77777777" w:rsidR="009A091C" w:rsidRPr="009A091C" w:rsidRDefault="009A091C" w:rsidP="00506D21">
      <w:pPr>
        <w:spacing w:line="240" w:lineRule="auto"/>
        <w:rPr>
          <w:rFonts w:ascii="Times New Roman" w:eastAsia="Malgun Gothic" w:hAnsi="Times New Roman" w:cs="Times New Roman"/>
          <w:sz w:val="22"/>
          <w:szCs w:val="22"/>
          <w:lang w:eastAsia="ko-KR"/>
        </w:rPr>
      </w:pPr>
    </w:p>
    <w:p w14:paraId="7A51DE66" w14:textId="769412D0" w:rsid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1673B1">
        <w:rPr>
          <w:rFonts w:ascii="Times New Roman" w:hAnsi="Times New Roman" w:cs="Times New Roman"/>
          <w:sz w:val="22"/>
          <w:szCs w:val="22"/>
          <w:highlight w:val="yellow"/>
        </w:rPr>
        <w:t>Line 186: Using reactivity for an indicator of infection status leads to potential misclassification of the outcome. What if an individual was already reactive but still gets infected again (still reactive at wave 2)? That infection occurring after wave 1 wouldn't be captured. Please address this in the limitations.</w:t>
      </w:r>
    </w:p>
    <w:p w14:paraId="245B7D15" w14:textId="2AECE085" w:rsidR="00AB50A1" w:rsidRDefault="001F3AF8" w:rsidP="00506D21">
      <w:pPr>
        <w:spacing w:line="240" w:lineRule="auto"/>
        <w:rPr>
          <w:rFonts w:ascii="Times New Roman" w:eastAsia="Malgun Gothic" w:hAnsi="Times New Roman" w:cs="Times New Roman"/>
          <w:sz w:val="22"/>
          <w:szCs w:val="22"/>
          <w:lang w:eastAsia="ko-KR"/>
        </w:rPr>
      </w:pPr>
      <w:r>
        <w:rPr>
          <w:rFonts w:ascii="Times New Roman" w:eastAsia="Malgun Gothic" w:hAnsi="Times New Roman" w:cs="Times New Roman" w:hint="eastAsia"/>
          <w:sz w:val="22"/>
          <w:szCs w:val="22"/>
          <w:lang w:eastAsia="ko-KR"/>
        </w:rPr>
        <w:t xml:space="preserve">Yes, for the hybrid group (who were reactive in </w:t>
      </w:r>
      <w:r w:rsidR="00872ABD">
        <w:rPr>
          <w:rFonts w:ascii="Times New Roman" w:eastAsia="Malgun Gothic" w:hAnsi="Times New Roman" w:cs="Times New Roman"/>
          <w:sz w:val="22"/>
          <w:szCs w:val="22"/>
          <w:lang w:eastAsia="ko-KR"/>
        </w:rPr>
        <w:t>Wave 1), the infection was defined by the increase in N titers</w:t>
      </w:r>
      <w:r w:rsidR="0038671A">
        <w:rPr>
          <w:rFonts w:ascii="Times New Roman" w:eastAsia="Malgun Gothic" w:hAnsi="Times New Roman" w:cs="Times New Roman" w:hint="eastAsia"/>
          <w:sz w:val="22"/>
          <w:szCs w:val="22"/>
          <w:lang w:eastAsia="ko-KR"/>
        </w:rPr>
        <w:t xml:space="preserve"> between Wave 1 (reactive) and Wave 2 (reactive). We also conducted </w:t>
      </w:r>
      <w:r w:rsidR="00872ABD">
        <w:rPr>
          <w:rFonts w:ascii="Times New Roman" w:eastAsia="Malgun Gothic" w:hAnsi="Times New Roman" w:cs="Times New Roman"/>
          <w:sz w:val="22"/>
          <w:szCs w:val="22"/>
          <w:lang w:eastAsia="ko-KR"/>
        </w:rPr>
        <w:t xml:space="preserve">a sensitivity analysis to determine </w:t>
      </w:r>
      <w:r w:rsidR="0038671A">
        <w:rPr>
          <w:rFonts w:ascii="Times New Roman" w:eastAsia="Malgun Gothic" w:hAnsi="Times New Roman" w:cs="Times New Roman" w:hint="eastAsia"/>
          <w:sz w:val="22"/>
          <w:szCs w:val="22"/>
          <w:lang w:eastAsia="ko-KR"/>
        </w:rPr>
        <w:t xml:space="preserve">if </w:t>
      </w:r>
      <w:r w:rsidR="00AB50A1">
        <w:rPr>
          <w:rFonts w:ascii="Times New Roman" w:eastAsia="Malgun Gothic" w:hAnsi="Times New Roman" w:cs="Times New Roman" w:hint="eastAsia"/>
          <w:sz w:val="22"/>
          <w:szCs w:val="22"/>
          <w:lang w:eastAsia="ko-KR"/>
        </w:rPr>
        <w:t xml:space="preserve">this definition is robust. </w:t>
      </w:r>
    </w:p>
    <w:p w14:paraId="6D2F8D46" w14:textId="2C6B1D9B" w:rsidR="00692576" w:rsidRPr="00692576" w:rsidRDefault="00AB50A1" w:rsidP="00506D21">
      <w:pPr>
        <w:spacing w:line="240" w:lineRule="auto"/>
        <w:rPr>
          <w:rFonts w:ascii="Times New Roman" w:eastAsia="Malgun Gothic" w:hAnsi="Times New Roman" w:cs="Times New Roman"/>
          <w:sz w:val="22"/>
          <w:szCs w:val="22"/>
          <w:lang w:eastAsia="ko-KR"/>
        </w:rPr>
      </w:pPr>
      <w:r>
        <w:rPr>
          <w:rFonts w:ascii="Times New Roman" w:eastAsia="Malgun Gothic" w:hAnsi="Times New Roman" w:cs="Times New Roman" w:hint="eastAsia"/>
          <w:sz w:val="22"/>
          <w:szCs w:val="22"/>
          <w:lang w:eastAsia="ko-KR"/>
        </w:rPr>
        <w:t xml:space="preserve"> </w:t>
      </w:r>
    </w:p>
    <w:p w14:paraId="31CDEDE9" w14:textId="073086C0" w:rsidR="00506D21" w:rsidRDefault="00E15685" w:rsidP="00506D21">
      <w:pPr>
        <w:spacing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EC74FE">
        <w:rPr>
          <w:rFonts w:ascii="Times New Roman" w:hAnsi="Times New Roman" w:cs="Times New Roman"/>
          <w:sz w:val="22"/>
          <w:szCs w:val="22"/>
          <w:highlight w:val="yellow"/>
        </w:rPr>
        <w:t>Line 187: Defining infection status based on a significantly significant increase in antibody does not account for the antibody ceiling effect. Please address this in the limitations.</w:t>
      </w:r>
    </w:p>
    <w:p w14:paraId="39375BD9" w14:textId="77777777" w:rsidR="00460F5C" w:rsidRDefault="00460F5C" w:rsidP="00460F5C">
      <w:pPr>
        <w:pStyle w:val="NormalWeb"/>
        <w:spacing w:before="0" w:beforeAutospacing="0"/>
        <w:rPr>
          <w:rFonts w:ascii="Arial" w:hAnsi="Arial" w:cs="Arial"/>
        </w:rPr>
      </w:pPr>
      <w:r>
        <w:rPr>
          <w:rFonts w:ascii="Arial" w:hAnsi="Arial" w:cs="Arial"/>
        </w:rPr>
        <w:t>We appreciate this insightful comment regarding the potential 'ceiling effect.' We agree that defining infection status based on a ratio increase (</w:t>
      </w:r>
      <w:r>
        <w:rPr>
          <w:rStyle w:val="math-inline"/>
          <w:rFonts w:ascii="Arial" w:eastAsiaTheme="majorEastAsia" w:hAnsi="Arial" w:cs="Arial"/>
        </w:rPr>
        <w:t>$N_{Wave2} / N_{Wave</w:t>
      </w:r>
      <w:proofErr w:type="gramStart"/>
      <w:r>
        <w:rPr>
          <w:rStyle w:val="math-inline"/>
          <w:rFonts w:ascii="Arial" w:eastAsiaTheme="majorEastAsia" w:hAnsi="Arial" w:cs="Arial"/>
        </w:rPr>
        <w:t>1}$</w:t>
      </w:r>
      <w:proofErr w:type="gramEnd"/>
      <w:r>
        <w:rPr>
          <w:rFonts w:ascii="Arial" w:hAnsi="Arial" w:cs="Arial"/>
        </w:rPr>
        <w:t xml:space="preserve">) has limitations when baseline titers are already high. In individuals with recent prior infection at baseline (Wave 1), Anti-N titers may be near the assay’s upper limit of quantification </w:t>
      </w:r>
      <w:r>
        <w:rPr>
          <w:rFonts w:ascii="Arial" w:hAnsi="Arial" w:cs="Arial"/>
        </w:rPr>
        <w:lastRenderedPageBreak/>
        <w:t>or biological saturation point. Consequently, a reinfection might not trigger a statistically significant rise in titer, even if an exposure occurred.</w:t>
      </w:r>
    </w:p>
    <w:p w14:paraId="1BCB7697" w14:textId="52F9F968" w:rsidR="00460F5C" w:rsidRPr="00C109E9" w:rsidRDefault="00460F5C" w:rsidP="00460F5C">
      <w:pPr>
        <w:pStyle w:val="NormalWeb"/>
        <w:spacing w:before="0" w:beforeAutospacing="0"/>
        <w:rPr>
          <w:rFonts w:ascii="Arial" w:eastAsia="Malgun Gothic" w:hAnsi="Arial" w:cs="Arial"/>
        </w:rPr>
      </w:pPr>
      <w:r>
        <w:rPr>
          <w:rFonts w:ascii="Arial" w:hAnsi="Arial" w:cs="Arial"/>
        </w:rPr>
        <w:t xml:space="preserve">We acknowledge that this phenomenon likely leads to an underestimation of the true reinfection rate, specifically within the </w:t>
      </w:r>
      <w:r>
        <w:rPr>
          <w:rFonts w:ascii="Arial" w:hAnsi="Arial" w:cs="Arial"/>
          <w:b/>
          <w:bCs/>
        </w:rPr>
        <w:t>infection-only</w:t>
      </w:r>
      <w:r>
        <w:rPr>
          <w:rFonts w:ascii="Arial" w:hAnsi="Arial" w:cs="Arial"/>
        </w:rPr>
        <w:t xml:space="preserve"> and </w:t>
      </w:r>
      <w:r>
        <w:rPr>
          <w:rFonts w:ascii="Arial" w:hAnsi="Arial" w:cs="Arial"/>
          <w:b/>
          <w:bCs/>
        </w:rPr>
        <w:t>hybrid</w:t>
      </w:r>
      <w:r>
        <w:rPr>
          <w:rFonts w:ascii="Arial" w:hAnsi="Arial" w:cs="Arial"/>
        </w:rPr>
        <w:t xml:space="preserve"> groups who had higher baseline N-titers compared to the vaccine-only group. We have revised the </w:t>
      </w:r>
      <w:r w:rsidR="00C109E9">
        <w:rPr>
          <w:rFonts w:ascii="Arial" w:eastAsia="Malgun Gothic" w:hAnsi="Arial" w:cs="Arial" w:hint="eastAsia"/>
        </w:rPr>
        <w:t xml:space="preserve">limitation </w:t>
      </w:r>
      <w:r>
        <w:rPr>
          <w:rFonts w:ascii="Arial" w:hAnsi="Arial" w:cs="Arial"/>
        </w:rPr>
        <w:t>section to explicitly list the antibody ceiling effect as a limitation and discuss its potential impact on our risk estimates.</w:t>
      </w:r>
      <w:r w:rsidR="00C109E9">
        <w:rPr>
          <w:rFonts w:ascii="Arial" w:eastAsia="Malgun Gothic" w:hAnsi="Arial" w:cs="Arial" w:hint="eastAsia"/>
        </w:rPr>
        <w:t xml:space="preserve"> (line XX)</w:t>
      </w:r>
    </w:p>
    <w:p w14:paraId="442CCB0D" w14:textId="6BAE1E3B" w:rsidR="00506D21" w:rsidRP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5F0699">
        <w:rPr>
          <w:rFonts w:ascii="Times New Roman" w:hAnsi="Times New Roman" w:cs="Times New Roman"/>
          <w:sz w:val="22"/>
          <w:szCs w:val="22"/>
          <w:highlight w:val="yellow"/>
        </w:rPr>
        <w:t xml:space="preserve">Lines 181-191: </w:t>
      </w:r>
      <w:proofErr w:type="gramStart"/>
      <w:r w:rsidR="00506D21" w:rsidRPr="005F0699">
        <w:rPr>
          <w:rFonts w:ascii="Times New Roman" w:hAnsi="Times New Roman" w:cs="Times New Roman"/>
          <w:sz w:val="22"/>
          <w:szCs w:val="22"/>
          <w:highlight w:val="yellow"/>
        </w:rPr>
        <w:t>All of</w:t>
      </w:r>
      <w:proofErr w:type="gramEnd"/>
      <w:r w:rsidR="00506D21" w:rsidRPr="005F0699">
        <w:rPr>
          <w:rFonts w:ascii="Times New Roman" w:hAnsi="Times New Roman" w:cs="Times New Roman"/>
          <w:sz w:val="22"/>
          <w:szCs w:val="22"/>
          <w:highlight w:val="yellow"/>
        </w:rPr>
        <w:t xml:space="preserve"> the indicators of undiagnosed infections need to be fleshed out more. It is not inherently clear why or how they were chosen.</w:t>
      </w:r>
    </w:p>
    <w:p w14:paraId="3F520180" w14:textId="77777777" w:rsidR="001678C0" w:rsidRDefault="001678C0" w:rsidP="001678C0">
      <w:pPr>
        <w:pStyle w:val="NormalWeb"/>
      </w:pPr>
      <w:r>
        <w:t xml:space="preserve">Thank you for this comment. We agree that the distinction between the two definitions requires further justification. The rationale for using different indicators lies in the </w:t>
      </w:r>
      <w:r>
        <w:rPr>
          <w:b/>
          <w:bCs/>
        </w:rPr>
        <w:t>baseline anti-N status</w:t>
      </w:r>
      <w:r>
        <w:t xml:space="preserve"> of the groups.</w:t>
      </w:r>
    </w:p>
    <w:p w14:paraId="481065A3" w14:textId="77777777" w:rsidR="001678C0" w:rsidRDefault="001678C0" w:rsidP="001678C0">
      <w:pPr>
        <w:pStyle w:val="NormalWeb"/>
        <w:numPr>
          <w:ilvl w:val="0"/>
          <w:numId w:val="1"/>
        </w:numPr>
      </w:pPr>
      <w:r>
        <w:rPr>
          <w:b/>
          <w:bCs/>
        </w:rPr>
        <w:t>Vaccine-Only Group (Baseline N-negative):</w:t>
      </w:r>
      <w:r>
        <w:t xml:space="preserve"> These individuals had no prior infection. Therefore, any appearance of anti-N antibodies (qualitative seroconversion from non-reactive to reactive) serves as a definitive marker of new infection.</w:t>
      </w:r>
    </w:p>
    <w:p w14:paraId="38180BC3" w14:textId="77777777" w:rsidR="001678C0" w:rsidRDefault="001678C0" w:rsidP="001678C0">
      <w:pPr>
        <w:pStyle w:val="NormalWeb"/>
        <w:numPr>
          <w:ilvl w:val="0"/>
          <w:numId w:val="1"/>
        </w:numPr>
      </w:pPr>
      <w:r>
        <w:rPr>
          <w:b/>
          <w:bCs/>
        </w:rPr>
        <w:t>Hybrid &amp; Infection-Only Groups (Baseline N-positive):</w:t>
      </w:r>
      <w:r>
        <w:t xml:space="preserve"> These individuals possess pre-existing anti-N antibodies. A simple qualitative 'positive' result at Wave 2 cannot distinguish between old antibodies and a new infection. Therefore, we required a </w:t>
      </w:r>
      <w:r>
        <w:rPr>
          <w:b/>
          <w:bCs/>
        </w:rPr>
        <w:t>quantitative approach</w:t>
      </w:r>
      <w:r>
        <w:t xml:space="preserve"> (a significant rise in titer).</w:t>
      </w:r>
    </w:p>
    <w:p w14:paraId="0D8800C0" w14:textId="77777777" w:rsidR="001678C0" w:rsidRDefault="001678C0" w:rsidP="001678C0">
      <w:pPr>
        <w:pStyle w:val="NormalWeb"/>
      </w:pPr>
      <w:r>
        <w:t xml:space="preserve">Regarding </w:t>
      </w:r>
      <w:r>
        <w:rPr>
          <w:i/>
          <w:iCs/>
        </w:rPr>
        <w:t>how</w:t>
      </w:r>
      <w:r>
        <w:t xml:space="preserve"> the threshold was chosen: We calibrated the quantitative cut-off using a Receiver Operating Characteristic (ROC) analysis on a sub-cohort of participants with PCR-confirmed infections (positive controls) and those without (negative controls). We selected the specific titer ratio cut-off that optimized the trade-off between sensitivity (&gt;80%) and specificity (&gt;90%) to minimize false positives (&lt;10%), ensuring that minor assay fluctuations were not misclassified as new infections. We have revised the Methods section to clearly explicate this decision-making process.</w:t>
      </w:r>
    </w:p>
    <w:p w14:paraId="408BE4EE" w14:textId="77777777" w:rsidR="005F0699" w:rsidRDefault="005F0699" w:rsidP="00506D21">
      <w:pPr>
        <w:spacing w:line="240" w:lineRule="auto"/>
        <w:rPr>
          <w:rFonts w:ascii="Times New Roman" w:hAnsi="Times New Roman" w:cs="Times New Roman"/>
          <w:b/>
          <w:bCs/>
          <w:sz w:val="22"/>
          <w:szCs w:val="22"/>
        </w:rPr>
      </w:pPr>
    </w:p>
    <w:p w14:paraId="05768F89" w14:textId="1347B232" w:rsid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6E0691">
        <w:rPr>
          <w:rFonts w:ascii="Times New Roman" w:hAnsi="Times New Roman" w:cs="Times New Roman"/>
          <w:sz w:val="22"/>
          <w:szCs w:val="22"/>
          <w:highlight w:val="yellow"/>
        </w:rPr>
        <w:t>Lines 193-201: Consider making a diagram for this information</w:t>
      </w:r>
    </w:p>
    <w:p w14:paraId="0766D282" w14:textId="2031976B" w:rsidR="00495322" w:rsidRDefault="00142F9A" w:rsidP="00506D21">
      <w:pPr>
        <w:spacing w:line="240" w:lineRule="auto"/>
        <w:rPr>
          <w:rFonts w:ascii="Times New Roman" w:eastAsia="Malgun Gothic" w:hAnsi="Times New Roman" w:cs="Times New Roman"/>
          <w:sz w:val="22"/>
          <w:szCs w:val="22"/>
          <w:lang w:eastAsia="ko-KR"/>
        </w:rPr>
      </w:pPr>
      <w:r>
        <w:rPr>
          <w:rFonts w:ascii="Times New Roman" w:eastAsia="Malgun Gothic" w:hAnsi="Times New Roman" w:cs="Times New Roman" w:hint="eastAsia"/>
          <w:sz w:val="22"/>
          <w:szCs w:val="22"/>
          <w:lang w:eastAsia="ko-KR"/>
        </w:rPr>
        <w:t xml:space="preserve">We have diagram </w:t>
      </w:r>
      <w:r w:rsidR="00B4746F">
        <w:rPr>
          <w:rFonts w:ascii="Times New Roman" w:eastAsia="Malgun Gothic" w:hAnsi="Times New Roman" w:cs="Times New Roman" w:hint="eastAsia"/>
          <w:sz w:val="22"/>
          <w:szCs w:val="22"/>
          <w:lang w:eastAsia="ko-KR"/>
        </w:rPr>
        <w:t xml:space="preserve">Figure 1. </w:t>
      </w:r>
    </w:p>
    <w:p w14:paraId="46D6EC3E" w14:textId="77777777" w:rsidR="00B4746F" w:rsidRPr="00142F9A" w:rsidRDefault="00B4746F" w:rsidP="00506D21">
      <w:pPr>
        <w:spacing w:line="240" w:lineRule="auto"/>
        <w:rPr>
          <w:rFonts w:ascii="Times New Roman" w:eastAsia="Malgun Gothic" w:hAnsi="Times New Roman" w:cs="Times New Roman"/>
          <w:sz w:val="22"/>
          <w:szCs w:val="22"/>
          <w:lang w:eastAsia="ko-KR"/>
        </w:rPr>
      </w:pPr>
    </w:p>
    <w:p w14:paraId="306D3E22" w14:textId="77777777" w:rsidR="00506D21" w:rsidRPr="00506D21" w:rsidRDefault="00506D21" w:rsidP="00506D21">
      <w:pPr>
        <w:spacing w:line="240" w:lineRule="auto"/>
        <w:rPr>
          <w:rFonts w:ascii="Times New Roman" w:hAnsi="Times New Roman" w:cs="Times New Roman"/>
          <w:sz w:val="22"/>
          <w:szCs w:val="22"/>
        </w:rPr>
      </w:pPr>
      <w:r w:rsidRPr="00506D21">
        <w:rPr>
          <w:rFonts w:ascii="Times New Roman" w:hAnsi="Times New Roman" w:cs="Times New Roman"/>
          <w:sz w:val="22"/>
          <w:szCs w:val="22"/>
        </w:rPr>
        <w:t>Discussion:</w:t>
      </w:r>
    </w:p>
    <w:p w14:paraId="69F55D24" w14:textId="29CB8889" w:rsid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347: Edit language of "long-ago vaccination". My suggestion would be "prior investigation"</w:t>
      </w:r>
    </w:p>
    <w:p w14:paraId="4E9C33AB" w14:textId="38575267" w:rsidR="00495322" w:rsidRDefault="00495322" w:rsidP="00506D21">
      <w:pPr>
        <w:spacing w:line="240" w:lineRule="auto"/>
        <w:rPr>
          <w:rFonts w:ascii="Times New Roman" w:hAnsi="Times New Roman" w:cs="Times New Roman"/>
          <w:sz w:val="22"/>
          <w:szCs w:val="22"/>
        </w:rPr>
      </w:pPr>
      <w:r w:rsidRPr="00067D65">
        <w:rPr>
          <w:rFonts w:ascii="Times New Roman" w:hAnsi="Times New Roman" w:cs="Times New Roman"/>
          <w:b/>
          <w:bCs/>
          <w:sz w:val="22"/>
          <w:szCs w:val="22"/>
        </w:rPr>
        <w:t>Response:</w:t>
      </w:r>
      <w:r>
        <w:rPr>
          <w:rFonts w:ascii="Times New Roman" w:hAnsi="Times New Roman" w:cs="Times New Roman"/>
          <w:b/>
          <w:bCs/>
          <w:sz w:val="22"/>
          <w:szCs w:val="22"/>
        </w:rPr>
        <w:t xml:space="preserve"> </w:t>
      </w:r>
      <w:r w:rsidRPr="00495322">
        <w:rPr>
          <w:rFonts w:ascii="Times New Roman" w:hAnsi="Times New Roman" w:cs="Times New Roman"/>
          <w:sz w:val="22"/>
          <w:szCs w:val="22"/>
        </w:rPr>
        <w:t>update to</w:t>
      </w:r>
      <w:r>
        <w:rPr>
          <w:rFonts w:ascii="Times New Roman" w:hAnsi="Times New Roman" w:cs="Times New Roman"/>
          <w:b/>
          <w:bCs/>
          <w:sz w:val="22"/>
          <w:szCs w:val="22"/>
        </w:rPr>
        <w:t xml:space="preserve"> </w:t>
      </w:r>
      <w:r>
        <w:rPr>
          <w:rFonts w:ascii="Times New Roman" w:hAnsi="Times New Roman" w:cs="Times New Roman"/>
          <w:sz w:val="22"/>
          <w:szCs w:val="22"/>
        </w:rPr>
        <w:t>“</w:t>
      </w:r>
      <w:r w:rsidRPr="00495322">
        <w:rPr>
          <w:rFonts w:ascii="Times New Roman" w:hAnsi="Times New Roman" w:cs="Times New Roman"/>
          <w:sz w:val="22"/>
          <w:szCs w:val="22"/>
        </w:rPr>
        <w:t>remote prior vaccination</w:t>
      </w:r>
      <w:r>
        <w:rPr>
          <w:rFonts w:ascii="Times New Roman" w:hAnsi="Times New Roman" w:cs="Times New Roman"/>
          <w:sz w:val="22"/>
          <w:szCs w:val="22"/>
        </w:rPr>
        <w:t>”</w:t>
      </w:r>
    </w:p>
    <w:p w14:paraId="44D735C4" w14:textId="77777777" w:rsidR="00495322" w:rsidRPr="00506D21" w:rsidRDefault="00495322" w:rsidP="00506D21">
      <w:pPr>
        <w:spacing w:line="240" w:lineRule="auto"/>
        <w:rPr>
          <w:rFonts w:ascii="Times New Roman" w:hAnsi="Times New Roman" w:cs="Times New Roman"/>
          <w:sz w:val="22"/>
          <w:szCs w:val="22"/>
        </w:rPr>
      </w:pPr>
    </w:p>
    <w:p w14:paraId="0503102A" w14:textId="0041B768" w:rsid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 369-370: Be careful not to anthropomorphize objects.</w:t>
      </w:r>
    </w:p>
    <w:p w14:paraId="74146045" w14:textId="7EEFA550" w:rsidR="00D9452A" w:rsidRDefault="00D9452A" w:rsidP="00506D21">
      <w:pPr>
        <w:spacing w:line="240" w:lineRule="auto"/>
        <w:rPr>
          <w:rFonts w:ascii="Times New Roman" w:hAnsi="Times New Roman" w:cs="Times New Roman"/>
          <w:sz w:val="22"/>
          <w:szCs w:val="22"/>
        </w:rPr>
      </w:pPr>
      <w:r w:rsidRPr="00067D65">
        <w:rPr>
          <w:rFonts w:ascii="Times New Roman" w:hAnsi="Times New Roman" w:cs="Times New Roman"/>
          <w:b/>
          <w:bCs/>
          <w:sz w:val="22"/>
          <w:szCs w:val="22"/>
        </w:rPr>
        <w:lastRenderedPageBreak/>
        <w:t>Response:</w:t>
      </w:r>
      <w:r>
        <w:rPr>
          <w:rFonts w:ascii="Times New Roman" w:hAnsi="Times New Roman" w:cs="Times New Roman"/>
          <w:b/>
          <w:bCs/>
          <w:sz w:val="22"/>
          <w:szCs w:val="22"/>
        </w:rPr>
        <w:t xml:space="preserve"> </w:t>
      </w:r>
      <w:r>
        <w:rPr>
          <w:rFonts w:ascii="Times New Roman" w:hAnsi="Times New Roman" w:cs="Times New Roman"/>
          <w:sz w:val="22"/>
          <w:szCs w:val="22"/>
        </w:rPr>
        <w:t>Now change to “</w:t>
      </w:r>
      <w:r w:rsidRPr="00D9452A">
        <w:rPr>
          <w:rFonts w:ascii="Times New Roman" w:hAnsi="Times New Roman" w:cs="Times New Roman"/>
          <w:sz w:val="22"/>
          <w:szCs w:val="22"/>
        </w:rPr>
        <w:t>Several contextual factors help explain these patterns, such as variation in the time elapsed since the most recent immunological event and differences in demographic characteristics across immunity groups.</w:t>
      </w:r>
      <w:r>
        <w:rPr>
          <w:rFonts w:ascii="Times New Roman" w:hAnsi="Times New Roman" w:cs="Times New Roman"/>
          <w:sz w:val="22"/>
          <w:szCs w:val="22"/>
        </w:rPr>
        <w:t>”</w:t>
      </w:r>
    </w:p>
    <w:p w14:paraId="35198952" w14:textId="77777777" w:rsidR="00D9452A" w:rsidRPr="00506D21" w:rsidRDefault="00D9452A" w:rsidP="00506D21">
      <w:pPr>
        <w:spacing w:line="240" w:lineRule="auto"/>
        <w:rPr>
          <w:rFonts w:ascii="Times New Roman" w:hAnsi="Times New Roman" w:cs="Times New Roman"/>
          <w:sz w:val="22"/>
          <w:szCs w:val="22"/>
        </w:rPr>
      </w:pPr>
    </w:p>
    <w:p w14:paraId="618FC5D1" w14:textId="77777777" w:rsidR="00506D21" w:rsidRPr="00506D21" w:rsidRDefault="00506D21" w:rsidP="00506D21">
      <w:pPr>
        <w:spacing w:line="240" w:lineRule="auto"/>
        <w:rPr>
          <w:rFonts w:ascii="Times New Roman" w:hAnsi="Times New Roman" w:cs="Times New Roman"/>
          <w:sz w:val="22"/>
          <w:szCs w:val="22"/>
        </w:rPr>
      </w:pPr>
      <w:r w:rsidRPr="00506D21">
        <w:rPr>
          <w:rFonts w:ascii="Times New Roman" w:hAnsi="Times New Roman" w:cs="Times New Roman"/>
          <w:sz w:val="22"/>
          <w:szCs w:val="22"/>
        </w:rPr>
        <w:t>Tables and Figures:</w:t>
      </w:r>
    </w:p>
    <w:p w14:paraId="63A4C35B" w14:textId="7425B6C4" w:rsid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 xml:space="preserve">Figure 1: </w:t>
      </w:r>
      <w:r w:rsidR="00506D21" w:rsidRPr="00596CBC">
        <w:rPr>
          <w:rFonts w:ascii="Times New Roman" w:hAnsi="Times New Roman" w:cs="Times New Roman"/>
          <w:sz w:val="22"/>
          <w:szCs w:val="22"/>
        </w:rPr>
        <w:t>This figure is not effective. It is hard to read and has too much going on at once making it hard to follow. Please revise.</w:t>
      </w:r>
    </w:p>
    <w:p w14:paraId="73DA85A9" w14:textId="77777777" w:rsidR="008C6E2F" w:rsidRPr="00506D21" w:rsidRDefault="008C6E2F" w:rsidP="00506D21">
      <w:pPr>
        <w:spacing w:line="240" w:lineRule="auto"/>
        <w:rPr>
          <w:rFonts w:ascii="Times New Roman" w:hAnsi="Times New Roman" w:cs="Times New Roman"/>
          <w:sz w:val="22"/>
          <w:szCs w:val="22"/>
        </w:rPr>
      </w:pPr>
    </w:p>
    <w:p w14:paraId="42E7717F" w14:textId="65E180ED" w:rsidR="00506D21" w:rsidRDefault="00E15685" w:rsidP="00506D21">
      <w:pPr>
        <w:spacing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Table 1: The text is too small. Please enlarge. Your text in line 261 also says that this table displays "significant demographic and clinical differences". How are you defining and indicating significance in this table?</w:t>
      </w:r>
    </w:p>
    <w:p w14:paraId="2AA11A41" w14:textId="12A86563" w:rsidR="009D7965" w:rsidRDefault="009D7965" w:rsidP="00506D21">
      <w:pPr>
        <w:spacing w:line="240" w:lineRule="auto"/>
        <w:rPr>
          <w:rFonts w:ascii="Times New Roman" w:hAnsi="Times New Roman" w:cs="Times New Roman"/>
          <w:sz w:val="22"/>
          <w:szCs w:val="22"/>
        </w:rPr>
      </w:pPr>
      <w:r w:rsidRPr="002F4972">
        <w:rPr>
          <w:rFonts w:ascii="Times New Roman" w:hAnsi="Times New Roman" w:cs="Times New Roman"/>
          <w:b/>
          <w:bCs/>
          <w:sz w:val="22"/>
          <w:szCs w:val="22"/>
          <w:highlight w:val="green"/>
        </w:rPr>
        <w:t xml:space="preserve">Response: </w:t>
      </w:r>
      <w:r w:rsidRPr="002F4972">
        <w:rPr>
          <w:rFonts w:ascii="Times New Roman" w:hAnsi="Times New Roman" w:cs="Times New Roman"/>
          <w:sz w:val="22"/>
          <w:szCs w:val="22"/>
          <w:highlight w:val="green"/>
        </w:rPr>
        <w:t>now corrected.</w:t>
      </w:r>
      <w:r w:rsidRPr="003008F2">
        <w:rPr>
          <w:rFonts w:ascii="Times New Roman" w:hAnsi="Times New Roman" w:cs="Times New Roman"/>
          <w:sz w:val="22"/>
          <w:szCs w:val="22"/>
        </w:rPr>
        <w:t xml:space="preserve"> </w:t>
      </w:r>
    </w:p>
    <w:p w14:paraId="175EC780" w14:textId="77777777" w:rsidR="009D7965" w:rsidRPr="00506D21" w:rsidRDefault="009D7965" w:rsidP="00506D21">
      <w:pPr>
        <w:spacing w:line="240" w:lineRule="auto"/>
        <w:rPr>
          <w:rFonts w:ascii="Times New Roman" w:hAnsi="Times New Roman" w:cs="Times New Roman"/>
          <w:sz w:val="22"/>
          <w:szCs w:val="22"/>
        </w:rPr>
      </w:pPr>
    </w:p>
    <w:p w14:paraId="21FAE43A" w14:textId="171BF8C4" w:rsidR="00856E9F" w:rsidRDefault="00E15685" w:rsidP="00506D21">
      <w:pPr>
        <w:spacing w:line="240" w:lineRule="auto"/>
        <w:rPr>
          <w:rFonts w:ascii="Times New Roman" w:hAnsi="Times New Roman" w:cs="Times New Roman"/>
          <w:sz w:val="22"/>
          <w:szCs w:val="22"/>
        </w:rPr>
      </w:pPr>
      <w:r w:rsidRPr="00596CBC">
        <w:rPr>
          <w:rFonts w:ascii="Times New Roman" w:hAnsi="Times New Roman" w:cs="Times New Roman" w:hint="eastAsia"/>
          <w:b/>
          <w:bCs/>
          <w:sz w:val="22"/>
          <w:szCs w:val="22"/>
        </w:rPr>
        <w:t>C</w:t>
      </w:r>
      <w:r w:rsidRPr="00596CBC">
        <w:rPr>
          <w:rFonts w:ascii="Times New Roman" w:hAnsi="Times New Roman" w:cs="Times New Roman"/>
          <w:b/>
          <w:bCs/>
          <w:sz w:val="22"/>
          <w:szCs w:val="22"/>
        </w:rPr>
        <w:t>omment.</w:t>
      </w:r>
      <w:r w:rsidRPr="00596CBC">
        <w:rPr>
          <w:rFonts w:ascii="Times New Roman" w:hAnsi="Times New Roman" w:cs="Times New Roman"/>
          <w:sz w:val="22"/>
          <w:szCs w:val="22"/>
        </w:rPr>
        <w:t xml:space="preserve"> </w:t>
      </w:r>
      <w:r w:rsidR="00506D21" w:rsidRPr="00596CBC">
        <w:rPr>
          <w:rFonts w:ascii="Times New Roman" w:hAnsi="Times New Roman" w:cs="Times New Roman"/>
          <w:sz w:val="22"/>
          <w:szCs w:val="22"/>
        </w:rPr>
        <w:t>Table 2: The text is too small. Please enlarge.</w:t>
      </w:r>
    </w:p>
    <w:p w14:paraId="6A64DB8A" w14:textId="5984A3DD" w:rsidR="00095946" w:rsidRPr="00506D21" w:rsidRDefault="00095946" w:rsidP="00506D21">
      <w:pPr>
        <w:spacing w:line="240" w:lineRule="auto"/>
        <w:rPr>
          <w:rFonts w:ascii="Times New Roman" w:hAnsi="Times New Roman" w:cs="Times New Roman"/>
          <w:sz w:val="22"/>
          <w:szCs w:val="22"/>
        </w:rPr>
      </w:pPr>
      <w:r w:rsidRPr="00067D65">
        <w:rPr>
          <w:rFonts w:ascii="Times New Roman" w:hAnsi="Times New Roman" w:cs="Times New Roman"/>
          <w:b/>
          <w:bCs/>
          <w:sz w:val="22"/>
          <w:szCs w:val="22"/>
        </w:rPr>
        <w:t>Response</w:t>
      </w:r>
      <w:r w:rsidRPr="00D66F09">
        <w:rPr>
          <w:rFonts w:ascii="Times New Roman" w:hAnsi="Times New Roman" w:cs="Times New Roman"/>
          <w:b/>
          <w:bCs/>
          <w:sz w:val="22"/>
          <w:szCs w:val="22"/>
        </w:rPr>
        <w:t>:</w:t>
      </w:r>
      <w:r>
        <w:rPr>
          <w:rFonts w:ascii="Times New Roman" w:hAnsi="Times New Roman" w:cs="Times New Roman" w:hint="eastAsia"/>
          <w:b/>
          <w:bCs/>
          <w:sz w:val="22"/>
          <w:szCs w:val="22"/>
        </w:rPr>
        <w:t xml:space="preserve"> </w:t>
      </w:r>
    </w:p>
    <w:sectPr w:rsidR="00095946" w:rsidRPr="00506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600C0"/>
    <w:multiLevelType w:val="multilevel"/>
    <w:tmpl w:val="DEBA4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10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QyMTczMzM2sTAwNDJS0lEKTi0uzszPAykwqgUAIbu+UiwAAAA="/>
  </w:docVars>
  <w:rsids>
    <w:rsidRoot w:val="00506D21"/>
    <w:rsid w:val="0004758A"/>
    <w:rsid w:val="000628B5"/>
    <w:rsid w:val="00064345"/>
    <w:rsid w:val="00067D65"/>
    <w:rsid w:val="00074722"/>
    <w:rsid w:val="00090272"/>
    <w:rsid w:val="00095946"/>
    <w:rsid w:val="000D7A66"/>
    <w:rsid w:val="001126FB"/>
    <w:rsid w:val="00142042"/>
    <w:rsid w:val="00142F9A"/>
    <w:rsid w:val="00156A10"/>
    <w:rsid w:val="00160A2A"/>
    <w:rsid w:val="001673B1"/>
    <w:rsid w:val="001678C0"/>
    <w:rsid w:val="00196BCC"/>
    <w:rsid w:val="001B3225"/>
    <w:rsid w:val="001F3AF8"/>
    <w:rsid w:val="0023015B"/>
    <w:rsid w:val="0025764D"/>
    <w:rsid w:val="002630EF"/>
    <w:rsid w:val="002655EA"/>
    <w:rsid w:val="002D208D"/>
    <w:rsid w:val="002E3252"/>
    <w:rsid w:val="002F2F12"/>
    <w:rsid w:val="002F4972"/>
    <w:rsid w:val="003008F2"/>
    <w:rsid w:val="003036B0"/>
    <w:rsid w:val="00381F18"/>
    <w:rsid w:val="0038671A"/>
    <w:rsid w:val="003B4260"/>
    <w:rsid w:val="003B4D5B"/>
    <w:rsid w:val="003D2B63"/>
    <w:rsid w:val="003E349B"/>
    <w:rsid w:val="003F275A"/>
    <w:rsid w:val="0041082D"/>
    <w:rsid w:val="00426ABB"/>
    <w:rsid w:val="004420F7"/>
    <w:rsid w:val="00460F5C"/>
    <w:rsid w:val="00482327"/>
    <w:rsid w:val="00495322"/>
    <w:rsid w:val="00500C99"/>
    <w:rsid w:val="0050145B"/>
    <w:rsid w:val="00506D21"/>
    <w:rsid w:val="005223FC"/>
    <w:rsid w:val="00537A33"/>
    <w:rsid w:val="00550A99"/>
    <w:rsid w:val="00571494"/>
    <w:rsid w:val="005748DD"/>
    <w:rsid w:val="005902B8"/>
    <w:rsid w:val="00596CBC"/>
    <w:rsid w:val="005F0699"/>
    <w:rsid w:val="00632DB8"/>
    <w:rsid w:val="00692576"/>
    <w:rsid w:val="006A6C70"/>
    <w:rsid w:val="006B52BF"/>
    <w:rsid w:val="006B6535"/>
    <w:rsid w:val="006C0B38"/>
    <w:rsid w:val="006D0343"/>
    <w:rsid w:val="006D17E7"/>
    <w:rsid w:val="006E0691"/>
    <w:rsid w:val="0073220D"/>
    <w:rsid w:val="007417C5"/>
    <w:rsid w:val="00747D02"/>
    <w:rsid w:val="0075448F"/>
    <w:rsid w:val="00787E36"/>
    <w:rsid w:val="00791067"/>
    <w:rsid w:val="007A41F2"/>
    <w:rsid w:val="007B593F"/>
    <w:rsid w:val="007C4419"/>
    <w:rsid w:val="007E2A74"/>
    <w:rsid w:val="007E3722"/>
    <w:rsid w:val="007E7E84"/>
    <w:rsid w:val="007F77FA"/>
    <w:rsid w:val="00800D49"/>
    <w:rsid w:val="008527DD"/>
    <w:rsid w:val="00856E9F"/>
    <w:rsid w:val="00872ABD"/>
    <w:rsid w:val="008A21EB"/>
    <w:rsid w:val="008A4CE7"/>
    <w:rsid w:val="008C6E2F"/>
    <w:rsid w:val="0090254C"/>
    <w:rsid w:val="00934916"/>
    <w:rsid w:val="00937D92"/>
    <w:rsid w:val="00940F22"/>
    <w:rsid w:val="009426DE"/>
    <w:rsid w:val="00952917"/>
    <w:rsid w:val="00970A82"/>
    <w:rsid w:val="00984E4E"/>
    <w:rsid w:val="009A091C"/>
    <w:rsid w:val="009A0924"/>
    <w:rsid w:val="009A4234"/>
    <w:rsid w:val="009A529F"/>
    <w:rsid w:val="009C3276"/>
    <w:rsid w:val="009D491E"/>
    <w:rsid w:val="009D7965"/>
    <w:rsid w:val="00A176A1"/>
    <w:rsid w:val="00A30DE6"/>
    <w:rsid w:val="00A56612"/>
    <w:rsid w:val="00A616D8"/>
    <w:rsid w:val="00A80352"/>
    <w:rsid w:val="00A915AE"/>
    <w:rsid w:val="00A9464F"/>
    <w:rsid w:val="00AB0159"/>
    <w:rsid w:val="00AB1763"/>
    <w:rsid w:val="00AB50A1"/>
    <w:rsid w:val="00AD1EBF"/>
    <w:rsid w:val="00AE5120"/>
    <w:rsid w:val="00B115E6"/>
    <w:rsid w:val="00B3495D"/>
    <w:rsid w:val="00B4746F"/>
    <w:rsid w:val="00B73640"/>
    <w:rsid w:val="00B74392"/>
    <w:rsid w:val="00BD030F"/>
    <w:rsid w:val="00BD2287"/>
    <w:rsid w:val="00BD35B5"/>
    <w:rsid w:val="00BF36BF"/>
    <w:rsid w:val="00C02BF6"/>
    <w:rsid w:val="00C10590"/>
    <w:rsid w:val="00C109E9"/>
    <w:rsid w:val="00C934B9"/>
    <w:rsid w:val="00CA3052"/>
    <w:rsid w:val="00CB7F6F"/>
    <w:rsid w:val="00CC4EBD"/>
    <w:rsid w:val="00CF1F8D"/>
    <w:rsid w:val="00D03DB0"/>
    <w:rsid w:val="00D14D04"/>
    <w:rsid w:val="00D20A5C"/>
    <w:rsid w:val="00D50EEB"/>
    <w:rsid w:val="00D651A7"/>
    <w:rsid w:val="00D66F09"/>
    <w:rsid w:val="00D75F5B"/>
    <w:rsid w:val="00D86030"/>
    <w:rsid w:val="00D9452A"/>
    <w:rsid w:val="00DA1048"/>
    <w:rsid w:val="00DB6D0A"/>
    <w:rsid w:val="00DC3244"/>
    <w:rsid w:val="00DE7BB8"/>
    <w:rsid w:val="00E15685"/>
    <w:rsid w:val="00E35474"/>
    <w:rsid w:val="00E3634E"/>
    <w:rsid w:val="00E609D6"/>
    <w:rsid w:val="00E62920"/>
    <w:rsid w:val="00E967D3"/>
    <w:rsid w:val="00EC74FE"/>
    <w:rsid w:val="00ED1550"/>
    <w:rsid w:val="00ED1CF7"/>
    <w:rsid w:val="00EE3DB8"/>
    <w:rsid w:val="00EF1149"/>
    <w:rsid w:val="00EF36DF"/>
    <w:rsid w:val="00F07F5D"/>
    <w:rsid w:val="00F15CE9"/>
    <w:rsid w:val="00F26414"/>
    <w:rsid w:val="00F33192"/>
    <w:rsid w:val="00F551FE"/>
    <w:rsid w:val="00F717F6"/>
    <w:rsid w:val="00FB3FC2"/>
    <w:rsid w:val="00FB705D"/>
    <w:rsid w:val="00FB7170"/>
    <w:rsid w:val="00FC36DE"/>
    <w:rsid w:val="00FD0818"/>
    <w:rsid w:val="00FE6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4324"/>
  <w15:chartTrackingRefBased/>
  <w15:docId w15:val="{0F86BEFE-4E6C-47A0-A6F5-0CD928D6C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D21"/>
    <w:rPr>
      <w:rFonts w:eastAsiaTheme="majorEastAsia" w:cstheme="majorBidi"/>
      <w:color w:val="272727" w:themeColor="text1" w:themeTint="D8"/>
    </w:rPr>
  </w:style>
  <w:style w:type="paragraph" w:styleId="Title">
    <w:name w:val="Title"/>
    <w:basedOn w:val="Normal"/>
    <w:next w:val="Normal"/>
    <w:link w:val="TitleChar"/>
    <w:uiPriority w:val="10"/>
    <w:qFormat/>
    <w:rsid w:val="00506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D21"/>
    <w:pPr>
      <w:spacing w:before="160"/>
      <w:jc w:val="center"/>
    </w:pPr>
    <w:rPr>
      <w:i/>
      <w:iCs/>
      <w:color w:val="404040" w:themeColor="text1" w:themeTint="BF"/>
    </w:rPr>
  </w:style>
  <w:style w:type="character" w:customStyle="1" w:styleId="QuoteChar">
    <w:name w:val="Quote Char"/>
    <w:basedOn w:val="DefaultParagraphFont"/>
    <w:link w:val="Quote"/>
    <w:uiPriority w:val="29"/>
    <w:rsid w:val="00506D21"/>
    <w:rPr>
      <w:i/>
      <w:iCs/>
      <w:color w:val="404040" w:themeColor="text1" w:themeTint="BF"/>
    </w:rPr>
  </w:style>
  <w:style w:type="paragraph" w:styleId="ListParagraph">
    <w:name w:val="List Paragraph"/>
    <w:basedOn w:val="Normal"/>
    <w:uiPriority w:val="34"/>
    <w:qFormat/>
    <w:rsid w:val="00506D21"/>
    <w:pPr>
      <w:ind w:left="720"/>
      <w:contextualSpacing/>
    </w:pPr>
  </w:style>
  <w:style w:type="character" w:styleId="IntenseEmphasis">
    <w:name w:val="Intense Emphasis"/>
    <w:basedOn w:val="DefaultParagraphFont"/>
    <w:uiPriority w:val="21"/>
    <w:qFormat/>
    <w:rsid w:val="00506D21"/>
    <w:rPr>
      <w:i/>
      <w:iCs/>
      <w:color w:val="0F4761" w:themeColor="accent1" w:themeShade="BF"/>
    </w:rPr>
  </w:style>
  <w:style w:type="paragraph" w:styleId="IntenseQuote">
    <w:name w:val="Intense Quote"/>
    <w:basedOn w:val="Normal"/>
    <w:next w:val="Normal"/>
    <w:link w:val="IntenseQuoteChar"/>
    <w:uiPriority w:val="30"/>
    <w:qFormat/>
    <w:rsid w:val="00506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D21"/>
    <w:rPr>
      <w:i/>
      <w:iCs/>
      <w:color w:val="0F4761" w:themeColor="accent1" w:themeShade="BF"/>
    </w:rPr>
  </w:style>
  <w:style w:type="character" w:styleId="IntenseReference">
    <w:name w:val="Intense Reference"/>
    <w:basedOn w:val="DefaultParagraphFont"/>
    <w:uiPriority w:val="32"/>
    <w:qFormat/>
    <w:rsid w:val="00506D21"/>
    <w:rPr>
      <w:b/>
      <w:bCs/>
      <w:smallCaps/>
      <w:color w:val="0F4761" w:themeColor="accent1" w:themeShade="BF"/>
      <w:spacing w:val="5"/>
    </w:rPr>
  </w:style>
  <w:style w:type="character" w:customStyle="1" w:styleId="math-inline">
    <w:name w:val="math-inline"/>
    <w:basedOn w:val="DefaultParagraphFont"/>
    <w:rsid w:val="009A091C"/>
  </w:style>
  <w:style w:type="paragraph" w:styleId="NormalWeb">
    <w:name w:val="Normal (Web)"/>
    <w:basedOn w:val="Normal"/>
    <w:uiPriority w:val="99"/>
    <w:semiHidden/>
    <w:unhideWhenUsed/>
    <w:rsid w:val="00460F5C"/>
    <w:pPr>
      <w:spacing w:before="100" w:beforeAutospacing="1" w:after="100" w:afterAutospacing="1" w:line="240" w:lineRule="auto"/>
    </w:pPr>
    <w:rPr>
      <w:rFonts w:ascii="Times New Roman" w:eastAsia="Times New Roman" w:hAnsi="Times New Roman" w:cs="Times New Roman"/>
      <w:kern w:val="0"/>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441510">
      <w:bodyDiv w:val="1"/>
      <w:marLeft w:val="0"/>
      <w:marRight w:val="0"/>
      <w:marTop w:val="0"/>
      <w:marBottom w:val="0"/>
      <w:divBdr>
        <w:top w:val="none" w:sz="0" w:space="0" w:color="auto"/>
        <w:left w:val="none" w:sz="0" w:space="0" w:color="auto"/>
        <w:bottom w:val="none" w:sz="0" w:space="0" w:color="auto"/>
        <w:right w:val="none" w:sz="0" w:space="0" w:color="auto"/>
      </w:divBdr>
    </w:div>
    <w:div w:id="1768689400">
      <w:bodyDiv w:val="1"/>
      <w:marLeft w:val="0"/>
      <w:marRight w:val="0"/>
      <w:marTop w:val="0"/>
      <w:marBottom w:val="0"/>
      <w:divBdr>
        <w:top w:val="none" w:sz="0" w:space="0" w:color="auto"/>
        <w:left w:val="none" w:sz="0" w:space="0" w:color="auto"/>
        <w:bottom w:val="none" w:sz="0" w:space="0" w:color="auto"/>
        <w:right w:val="none" w:sz="0" w:space="0" w:color="auto"/>
      </w:divBdr>
    </w:div>
    <w:div w:id="2037153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7</Pages>
  <Words>2408</Words>
  <Characters>13732</Characters>
  <Application>Microsoft Office Word</Application>
  <DocSecurity>0</DocSecurity>
  <Lines>114</Lines>
  <Paragraphs>32</Paragraphs>
  <ScaleCrop>false</ScaleCrop>
  <Company/>
  <LinksUpToDate>false</LinksUpToDate>
  <CharactersWithSpaces>16108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Franky</dc:creator>
  <cp:keywords/>
  <dc:description/>
  <cp:lastModifiedBy>Jo,Youngji</cp:lastModifiedBy>
  <cp:revision>110</cp:revision>
  <dcterms:created xsi:type="dcterms:W3CDTF">2025-11-26T22:51:00Z</dcterms:created>
  <dcterms:modified xsi:type="dcterms:W3CDTF">2025-12-15T05:13:00Z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027ae9ec-54cb-4e64-a7be-e23c0aeee0ee</vt:lpwstr>
  </property>
</Properties>
</file>