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5D2A0" w14:textId="77777777" w:rsidR="0035734B" w:rsidRPr="006D1DD6" w:rsidRDefault="0035734B" w:rsidP="0035734B">
      <w:pPr>
        <w:spacing w:after="0" w:line="240" w:lineRule="auto"/>
        <w:contextualSpacing/>
        <w:rPr>
          <w:rFonts w:ascii="Times New Roman" w:hAnsi="Times New Roman" w:cs="Times New Roman"/>
        </w:rPr>
      </w:pPr>
      <w:r w:rsidRPr="006D1DD6">
        <w:rPr>
          <w:rFonts w:ascii="Times New Roman" w:hAnsi="Times New Roman" w:cs="Times New Roman"/>
        </w:rPr>
        <w:t>Date: September 27, 2024</w:t>
      </w:r>
    </w:p>
    <w:p w14:paraId="7FDE3543" w14:textId="77777777" w:rsidR="0035734B" w:rsidRPr="006D1DD6" w:rsidRDefault="0035734B" w:rsidP="0035734B">
      <w:pPr>
        <w:spacing w:after="0" w:line="240" w:lineRule="auto"/>
        <w:contextualSpacing/>
        <w:rPr>
          <w:rFonts w:ascii="Times New Roman" w:hAnsi="Times New Roman" w:cs="Times New Roman"/>
        </w:rPr>
      </w:pPr>
    </w:p>
    <w:p w14:paraId="0AAE5630" w14:textId="77777777" w:rsidR="0035734B" w:rsidRPr="0035734B" w:rsidRDefault="0035734B" w:rsidP="0035734B">
      <w:pPr>
        <w:spacing w:after="0" w:line="240" w:lineRule="auto"/>
        <w:contextualSpacing/>
        <w:jc w:val="both"/>
        <w:rPr>
          <w:rFonts w:ascii="Times New Roman" w:hAnsi="Times New Roman" w:cs="Times New Roman"/>
          <w:lang w:eastAsia="ja-JP"/>
        </w:rPr>
      </w:pPr>
      <w:r w:rsidRPr="0035734B">
        <w:rPr>
          <w:rFonts w:ascii="Times New Roman" w:hAnsi="Times New Roman" w:cs="Times New Roman"/>
        </w:rPr>
        <w:t>Dear Editor:</w:t>
      </w:r>
    </w:p>
    <w:p w14:paraId="5D2D12E1" w14:textId="77777777" w:rsidR="0035734B" w:rsidRPr="00FC6E07" w:rsidRDefault="0035734B" w:rsidP="00FC6E07">
      <w:pPr>
        <w:spacing w:after="0" w:line="240" w:lineRule="auto"/>
        <w:contextualSpacing/>
        <w:jc w:val="both"/>
        <w:rPr>
          <w:rFonts w:ascii="Times New Roman" w:hAnsi="Times New Roman" w:cs="Times New Roman"/>
          <w:lang w:eastAsia="en-US"/>
        </w:rPr>
      </w:pPr>
    </w:p>
    <w:p w14:paraId="253A185B" w14:textId="4AF19D5A" w:rsidR="0035734B" w:rsidRPr="00FC6E07" w:rsidRDefault="0035734B" w:rsidP="00FC6E07">
      <w:pPr>
        <w:pStyle w:val="BodyText"/>
        <w:ind w:left="0"/>
        <w:rPr>
          <w:rFonts w:eastAsiaTheme="minorEastAsia"/>
          <w:b/>
          <w:lang w:eastAsia="ko-KR"/>
        </w:rPr>
      </w:pPr>
      <w:r w:rsidRPr="00FC6E07">
        <w:rPr>
          <w:lang w:eastAsia="ko-KR"/>
        </w:rPr>
        <w:t>We are pleased to submit a</w:t>
      </w:r>
      <w:r w:rsidRPr="00FC6E07">
        <w:rPr>
          <w:rFonts w:eastAsia="Malgun Gothic"/>
          <w:lang w:eastAsia="ko-KR"/>
        </w:rPr>
        <w:t>n</w:t>
      </w:r>
      <w:r w:rsidRPr="00FC6E07">
        <w:rPr>
          <w:lang w:eastAsia="ko-KR"/>
        </w:rPr>
        <w:t xml:space="preserve"> </w:t>
      </w:r>
      <w:r w:rsidRPr="00FC6E07">
        <w:rPr>
          <w:lang w:eastAsia="ja-JP"/>
        </w:rPr>
        <w:t xml:space="preserve">Original Article </w:t>
      </w:r>
      <w:r w:rsidRPr="00FC6E07">
        <w:rPr>
          <w:lang w:eastAsia="ko-KR"/>
        </w:rPr>
        <w:t xml:space="preserve">manuscript entitled: </w:t>
      </w:r>
      <w:r w:rsidRPr="00FC6E07">
        <w:rPr>
          <w:b/>
          <w:bCs/>
          <w:lang w:eastAsia="ja-JP"/>
        </w:rPr>
        <w:t>“</w:t>
      </w:r>
      <w:r w:rsidRPr="00FC6E07">
        <w:rPr>
          <w:b/>
        </w:rPr>
        <w:t>Protective effectiveness of SARS-CoV-2 infection risk between hybrid and vaccine-induced immunity against the omicron variant</w:t>
      </w:r>
      <w:r w:rsidRPr="00FC6E07">
        <w:rPr>
          <w:b/>
          <w:bCs/>
          <w:lang w:eastAsia="ja-JP"/>
        </w:rPr>
        <w:t>.”</w:t>
      </w:r>
      <w:r w:rsidRPr="00FC6E07">
        <w:rPr>
          <w:lang w:eastAsia="ja-JP"/>
        </w:rPr>
        <w:t xml:space="preserve"> </w:t>
      </w:r>
      <w:r w:rsidRPr="00FC6E07">
        <w:rPr>
          <w:lang w:eastAsia="ko-KR"/>
        </w:rPr>
        <w:t xml:space="preserve">for consideration of publication in </w:t>
      </w:r>
      <w:r w:rsidRPr="00FC6E07">
        <w:rPr>
          <w:rFonts w:eastAsiaTheme="minorEastAsia"/>
          <w:i/>
          <w:color w:val="000000"/>
          <w:shd w:val="clear" w:color="auto" w:fill="FFFFFF"/>
          <w:lang w:eastAsia="ko-KR"/>
        </w:rPr>
        <w:t>BMJ Global Health</w:t>
      </w:r>
      <w:r w:rsidRPr="00FC6E07">
        <w:rPr>
          <w:lang w:eastAsia="ko-KR"/>
        </w:rPr>
        <w:t xml:space="preserve">. </w:t>
      </w:r>
    </w:p>
    <w:p w14:paraId="40C53400" w14:textId="77777777" w:rsidR="0035734B" w:rsidRPr="00FC6E07" w:rsidRDefault="0035734B" w:rsidP="00FC6E07">
      <w:pPr>
        <w:spacing w:after="0" w:line="240" w:lineRule="auto"/>
        <w:contextualSpacing/>
        <w:rPr>
          <w:rFonts w:ascii="Times New Roman" w:eastAsia="Malgun Gothic" w:hAnsi="Times New Roman" w:cs="Times New Roman"/>
        </w:rPr>
      </w:pPr>
    </w:p>
    <w:p w14:paraId="01A785BF" w14:textId="77777777" w:rsidR="00413C16" w:rsidRDefault="00413C16" w:rsidP="00413C16">
      <w:pPr>
        <w:pStyle w:val="BodyText"/>
        <w:spacing w:line="360" w:lineRule="auto"/>
        <w:ind w:left="0"/>
        <w:contextualSpacing/>
        <w:jc w:val="both"/>
        <w:rPr>
          <w:rFonts w:eastAsiaTheme="minorEastAsia"/>
          <w:color w:val="000000" w:themeColor="text1"/>
          <w:sz w:val="22"/>
          <w:szCs w:val="22"/>
          <w:lang w:eastAsia="ko-KR"/>
        </w:rPr>
      </w:pPr>
      <w:r w:rsidRPr="00B21D9A">
        <w:rPr>
          <w:rFonts w:eastAsiaTheme="minorEastAsia"/>
          <w:color w:val="000000" w:themeColor="text1"/>
          <w:sz w:val="22"/>
          <w:szCs w:val="22"/>
          <w:lang w:eastAsia="ko-KR"/>
        </w:rPr>
        <w:t>Immunogenicity research indicates that the effectiveness of vaccines might decline over tim</w:t>
      </w:r>
      <w:r w:rsidRPr="00B21D9A">
        <w:rPr>
          <w:rFonts w:eastAsiaTheme="minorEastAsia" w:hint="eastAsia"/>
          <w:color w:val="000000" w:themeColor="text1"/>
          <w:sz w:val="22"/>
          <w:szCs w:val="22"/>
          <w:lang w:eastAsia="ko-KR"/>
        </w:rPr>
        <w:t>e</w:t>
      </w:r>
      <w:r w:rsidRPr="00B21D9A">
        <w:rPr>
          <w:rFonts w:eastAsiaTheme="minorEastAsia"/>
          <w:color w:val="000000" w:themeColor="text1"/>
          <w:sz w:val="22"/>
          <w:szCs w:val="22"/>
        </w:rPr>
        <w:t xml:space="preserve">, </w:t>
      </w:r>
      <w:r w:rsidRPr="00B21D9A">
        <w:rPr>
          <w:rFonts w:eastAsiaTheme="minorEastAsia" w:hint="eastAsia"/>
          <w:color w:val="000000" w:themeColor="text1"/>
          <w:sz w:val="22"/>
          <w:szCs w:val="22"/>
          <w:lang w:eastAsia="ko-KR"/>
        </w:rPr>
        <w:t>although</w:t>
      </w:r>
      <w:r w:rsidRPr="00B21D9A">
        <w:rPr>
          <w:rFonts w:eastAsiaTheme="minorEastAsia"/>
          <w:color w:val="000000" w:themeColor="text1"/>
          <w:sz w:val="22"/>
          <w:szCs w:val="22"/>
          <w:lang w:eastAsia="ko-KR"/>
        </w:rPr>
        <w:t xml:space="preserve"> it is not clear how this reduction translates to </w:t>
      </w:r>
      <w:r w:rsidRPr="00B21D9A">
        <w:rPr>
          <w:rFonts w:eastAsiaTheme="minorEastAsia" w:hint="eastAsia"/>
          <w:color w:val="000000" w:themeColor="text1"/>
          <w:sz w:val="22"/>
          <w:szCs w:val="22"/>
          <w:lang w:eastAsia="ko-KR"/>
        </w:rPr>
        <w:t xml:space="preserve">protective </w:t>
      </w:r>
      <w:r w:rsidRPr="00B21D9A">
        <w:rPr>
          <w:rFonts w:eastAsiaTheme="minorEastAsia"/>
          <w:color w:val="000000" w:themeColor="text1"/>
          <w:sz w:val="22"/>
          <w:szCs w:val="22"/>
          <w:lang w:eastAsia="ko-KR"/>
        </w:rPr>
        <w:t>effectiveness</w:t>
      </w:r>
      <w:r w:rsidRPr="00B21D9A">
        <w:rPr>
          <w:rFonts w:eastAsiaTheme="minorEastAsia" w:hint="eastAsia"/>
          <w:color w:val="000000" w:themeColor="text1"/>
          <w:sz w:val="22"/>
          <w:szCs w:val="22"/>
          <w:lang w:eastAsia="ko-KR"/>
        </w:rPr>
        <w:t xml:space="preserve"> against breakthrough infections. We </w:t>
      </w:r>
      <w:r w:rsidRPr="00B21D9A">
        <w:rPr>
          <w:rFonts w:eastAsiaTheme="minorEastAsia"/>
          <w:color w:val="000000" w:themeColor="text1"/>
          <w:sz w:val="22"/>
          <w:szCs w:val="22"/>
          <w:lang w:eastAsia="ko-KR"/>
        </w:rPr>
        <w:t xml:space="preserve">examined the </w:t>
      </w:r>
      <w:r w:rsidRPr="00B21D9A">
        <w:rPr>
          <w:rFonts w:eastAsiaTheme="minorEastAsia" w:hint="eastAsia"/>
          <w:color w:val="000000" w:themeColor="text1"/>
          <w:sz w:val="22"/>
          <w:szCs w:val="22"/>
          <w:lang w:eastAsia="ko-KR"/>
        </w:rPr>
        <w:t xml:space="preserve">antibody decay trend and associated </w:t>
      </w:r>
      <w:r w:rsidRPr="00B21D9A">
        <w:rPr>
          <w:rFonts w:eastAsiaTheme="minorEastAsia"/>
          <w:color w:val="000000" w:themeColor="text1"/>
          <w:sz w:val="22"/>
          <w:szCs w:val="22"/>
          <w:lang w:eastAsia="ko-KR"/>
        </w:rPr>
        <w:t>infection</w:t>
      </w:r>
      <w:r w:rsidRPr="00B21D9A">
        <w:rPr>
          <w:rFonts w:eastAsiaTheme="minorEastAsia" w:hint="eastAsia"/>
          <w:color w:val="000000" w:themeColor="text1"/>
          <w:sz w:val="22"/>
          <w:szCs w:val="22"/>
          <w:lang w:eastAsia="ko-KR"/>
        </w:rPr>
        <w:t xml:space="preserve"> risks</w:t>
      </w:r>
      <w:r w:rsidRPr="00B21D9A">
        <w:rPr>
          <w:rFonts w:eastAsiaTheme="minorEastAsia"/>
          <w:color w:val="000000" w:themeColor="text1"/>
          <w:sz w:val="22"/>
          <w:szCs w:val="22"/>
          <w:lang w:eastAsia="ko-KR"/>
        </w:rPr>
        <w:t xml:space="preserve"> across age groups between hybrid and vaccine-induced</w:t>
      </w:r>
      <w:r w:rsidRPr="00B21D9A">
        <w:rPr>
          <w:rFonts w:eastAsiaTheme="minorEastAsia" w:hint="eastAsia"/>
          <w:color w:val="000000" w:themeColor="text1"/>
          <w:sz w:val="22"/>
          <w:szCs w:val="22"/>
          <w:lang w:eastAsia="ko-KR"/>
        </w:rPr>
        <w:t xml:space="preserve"> immune</w:t>
      </w:r>
      <w:r w:rsidRPr="00B21D9A">
        <w:rPr>
          <w:rFonts w:eastAsiaTheme="minorEastAsia"/>
          <w:color w:val="000000" w:themeColor="text1"/>
          <w:sz w:val="22"/>
          <w:szCs w:val="22"/>
          <w:lang w:eastAsia="ko-KR"/>
        </w:rPr>
        <w:t xml:space="preserve"> populations</w:t>
      </w:r>
      <w:r w:rsidRPr="00B21D9A">
        <w:rPr>
          <w:rFonts w:eastAsiaTheme="minorEastAsia" w:hint="eastAsia"/>
          <w:color w:val="000000" w:themeColor="text1"/>
          <w:sz w:val="22"/>
          <w:szCs w:val="22"/>
          <w:lang w:eastAsia="ko-KR"/>
        </w:rPr>
        <w:t xml:space="preserve"> </w:t>
      </w:r>
      <w:r w:rsidRPr="00B21D9A">
        <w:rPr>
          <w:rFonts w:eastAsiaTheme="minorEastAsia"/>
          <w:color w:val="000000" w:themeColor="text1"/>
          <w:sz w:val="22"/>
          <w:szCs w:val="22"/>
          <w:lang w:eastAsia="ko-KR"/>
        </w:rPr>
        <w:t>based on community-based nationwide surveillance</w:t>
      </w:r>
      <w:r w:rsidRPr="00B21D9A">
        <w:rPr>
          <w:rFonts w:eastAsiaTheme="minorEastAsia" w:hint="eastAsia"/>
          <w:color w:val="000000" w:themeColor="text1"/>
          <w:sz w:val="22"/>
          <w:szCs w:val="22"/>
          <w:lang w:eastAsia="ko-KR"/>
        </w:rPr>
        <w:t xml:space="preserve"> after the Omicron wave in South Korea</w:t>
      </w:r>
      <w:r w:rsidRPr="00B21D9A">
        <w:rPr>
          <w:rFonts w:eastAsiaTheme="minorEastAsia"/>
          <w:color w:val="000000" w:themeColor="text1"/>
          <w:sz w:val="22"/>
          <w:szCs w:val="22"/>
          <w:lang w:eastAsia="ko-KR"/>
        </w:rPr>
        <w:t xml:space="preserve">. </w:t>
      </w:r>
    </w:p>
    <w:p w14:paraId="4F435066" w14:textId="77777777" w:rsidR="00413C16" w:rsidRDefault="00413C16" w:rsidP="00413C16">
      <w:pPr>
        <w:pStyle w:val="BodyText"/>
        <w:spacing w:line="360" w:lineRule="auto"/>
        <w:ind w:left="0"/>
        <w:contextualSpacing/>
        <w:jc w:val="both"/>
        <w:rPr>
          <w:rFonts w:eastAsiaTheme="minorEastAsia"/>
          <w:color w:val="000000" w:themeColor="text1"/>
          <w:sz w:val="22"/>
          <w:szCs w:val="22"/>
          <w:lang w:eastAsia="ko-KR"/>
        </w:rPr>
      </w:pPr>
    </w:p>
    <w:p w14:paraId="52E06B83" w14:textId="12C29E65" w:rsidR="00FC6E07" w:rsidRPr="00413C16" w:rsidRDefault="00FC6E07" w:rsidP="00413C16">
      <w:pPr>
        <w:pStyle w:val="BodyText"/>
        <w:spacing w:line="360" w:lineRule="auto"/>
        <w:ind w:left="0"/>
        <w:contextualSpacing/>
        <w:jc w:val="both"/>
        <w:rPr>
          <w:rFonts w:eastAsiaTheme="minorEastAsia"/>
          <w:color w:val="000000" w:themeColor="text1"/>
          <w:sz w:val="22"/>
          <w:szCs w:val="22"/>
          <w:lang w:eastAsia="ko-KR"/>
        </w:rPr>
      </w:pPr>
      <w:r w:rsidRPr="00FC6E07">
        <w:rPr>
          <w:rFonts w:eastAsiaTheme="minorEastAsia"/>
          <w:color w:val="000000"/>
          <w:lang w:eastAsia="ko-KR"/>
        </w:rPr>
        <w:t xml:space="preserve">We utilized data from a nationwide community-based cohort, with repeated antibody testing in August and December 2022, alongside detailed demographic and clinical characterization. </w:t>
      </w:r>
      <w:r w:rsidRPr="00FC6E07">
        <w:rPr>
          <w:rFonts w:eastAsiaTheme="minorEastAsia"/>
          <w:lang w:eastAsia="ko-KR"/>
        </w:rPr>
        <w:t>The objectives of this research are threefold: First, we assessed the trajectory of S antibody waning following the last immunological event, comparing hybrid and vaccine-induced immunity across different age subgroups. Second, we evaluated the age-specific protective efficacy of the hybrid and vaccine immunity groups over time, specifically focusing on the probability of remaining free from COVID-19 infection. Third, we examined the age-specific association between S antibody levels and the probability of remaining infection-free between hybrid and vaccine-induced immunity groups.</w:t>
      </w:r>
    </w:p>
    <w:p w14:paraId="7093EF9E" w14:textId="77777777" w:rsidR="00FC6E07" w:rsidRPr="00FC6E07" w:rsidRDefault="00FC6E07" w:rsidP="00FC6E07">
      <w:pPr>
        <w:spacing w:after="0" w:line="240" w:lineRule="auto"/>
        <w:contextualSpacing/>
        <w:rPr>
          <w:rFonts w:ascii="Times New Roman" w:eastAsia="Malgun Gothic" w:hAnsi="Times New Roman" w:cs="Times New Roman"/>
        </w:rPr>
      </w:pPr>
    </w:p>
    <w:p w14:paraId="5F297941" w14:textId="111F426D" w:rsidR="00FC6E07" w:rsidRPr="00FC6E07" w:rsidRDefault="00FC6E07" w:rsidP="00FC6E07">
      <w:pPr>
        <w:spacing w:after="0" w:line="240" w:lineRule="auto"/>
        <w:contextualSpacing/>
        <w:rPr>
          <w:rFonts w:ascii="Times New Roman" w:eastAsia="Malgun Gothic" w:hAnsi="Times New Roman" w:cs="Times New Roman"/>
        </w:rPr>
      </w:pPr>
      <w:r w:rsidRPr="00FC6E07">
        <w:rPr>
          <w:rFonts w:ascii="Times New Roman" w:hAnsi="Times New Roman" w:cs="Times New Roman"/>
          <w:color w:val="000000" w:themeColor="text1"/>
        </w:rPr>
        <w:t xml:space="preserve">Our findings highlight that children and their household members without booster vaccination and previous infection and elderly aged &gt;65 (who </w:t>
      </w:r>
      <w:r w:rsidRPr="00FC6E07">
        <w:rPr>
          <w:rFonts w:ascii="Times New Roman" w:hAnsi="Times New Roman" w:cs="Times New Roman"/>
          <w:color w:val="000000" w:themeColor="text1"/>
          <w:shd w:val="clear" w:color="auto" w:fill="FFFFFF"/>
        </w:rPr>
        <w:t>are more likely to rely upon vaccination to increase immunity and might have waned) might need more proactive vaccination efforts to maintain protection</w:t>
      </w:r>
      <w:r w:rsidRPr="00FC6E07">
        <w:rPr>
          <w:rFonts w:ascii="Times New Roman" w:hAnsi="Times New Roman" w:cs="Times New Roman"/>
          <w:color w:val="000000" w:themeColor="text1"/>
          <w:lang w:eastAsia="zh-CN"/>
        </w:rPr>
        <w:t xml:space="preserve"> </w:t>
      </w:r>
      <w:r w:rsidRPr="00FC6E07">
        <w:rPr>
          <w:rFonts w:ascii="Times New Roman" w:hAnsi="Times New Roman" w:cs="Times New Roman"/>
          <w:color w:val="000000" w:themeColor="text1"/>
          <w:lang w:eastAsia="zh-CN"/>
        </w:rPr>
        <w:fldChar w:fldCharType="begin"/>
      </w:r>
      <w:r w:rsidRPr="00FC6E07">
        <w:rPr>
          <w:rFonts w:ascii="Times New Roman" w:hAnsi="Times New Roman" w:cs="Times New Roman"/>
          <w:color w:val="000000" w:themeColor="text1"/>
          <w:lang w:eastAsia="zh-CN"/>
        </w:rPr>
        <w:instrText xml:space="preserve"> ADDIN ZOTERO_ITEM CSL_CITATION {"citationID":"UcwqlZZ1","properties":{"formattedCitation":"[31]","plainCitation":"[31]","noteIndex":0},"citationItems":[{"id":103,"uris":["http://zotero.org/users/14790911/items/QVGAL84V"],"itemData":{"id":103,"type":"webpage","title":"Hybrid immunity against reinfection with SARS-CoV-2 following a previous SARS-CoV-2 infection and single dose of the BNT162b2 vaccine in children and adolescents: a target trial emulation - The Lancet Microbe","URL":"https://www.thelancet.com/journals/lanmic/article/PIIS2666-5247(23)00103-9/fulltext","accessed":{"date-parts":[["2024",9,4]]}}}],"schema":"https://github.com/citation-style-language/schema/raw/master/csl-citation.json"} </w:instrText>
      </w:r>
      <w:r w:rsidRPr="00FC6E07">
        <w:rPr>
          <w:rFonts w:ascii="Times New Roman" w:hAnsi="Times New Roman" w:cs="Times New Roman"/>
          <w:color w:val="000000" w:themeColor="text1"/>
          <w:lang w:eastAsia="zh-CN"/>
        </w:rPr>
        <w:fldChar w:fldCharType="separate"/>
      </w:r>
      <w:r w:rsidRPr="00FC6E07">
        <w:rPr>
          <w:rFonts w:ascii="Times New Roman" w:hAnsi="Times New Roman" w:cs="Times New Roman"/>
          <w:noProof/>
          <w:color w:val="000000" w:themeColor="text1"/>
          <w:lang w:eastAsia="zh-CN"/>
        </w:rPr>
        <w:t>[31]</w:t>
      </w:r>
      <w:r w:rsidRPr="00FC6E07">
        <w:rPr>
          <w:rFonts w:ascii="Times New Roman" w:hAnsi="Times New Roman" w:cs="Times New Roman"/>
          <w:color w:val="000000" w:themeColor="text1"/>
          <w:lang w:eastAsia="zh-CN"/>
        </w:rPr>
        <w:fldChar w:fldCharType="end"/>
      </w:r>
      <w:r w:rsidRPr="00FC6E07">
        <w:rPr>
          <w:rFonts w:ascii="Times New Roman" w:hAnsi="Times New Roman" w:cs="Times New Roman"/>
          <w:color w:val="000000" w:themeColor="text1"/>
        </w:rPr>
        <w:t xml:space="preserve">. These findings could </w:t>
      </w:r>
      <w:r w:rsidRPr="00FC6E07">
        <w:rPr>
          <w:rFonts w:ascii="Times New Roman" w:hAnsi="Times New Roman" w:cs="Times New Roman"/>
        </w:rPr>
        <w:t>guide targeted booster campaigns or tailored communication strategies to increase uptake, considering age and the timing of past vaccinations and infections. As we expect an increase in the number of people with hybrid immunity with new variants over time, the definition of high-risk individuals or key risk factors with and without previous infection may change over time.</w:t>
      </w:r>
      <w:r w:rsidRPr="00FC6E07">
        <w:rPr>
          <w:rFonts w:ascii="Times New Roman" w:hAnsi="Times New Roman" w:cs="Times New Roman"/>
          <w:color w:val="222222"/>
          <w:shd w:val="clear" w:color="auto" w:fill="FFFFFF"/>
        </w:rPr>
        <w:t xml:space="preserve"> </w:t>
      </w:r>
      <w:r w:rsidRPr="00FC6E07">
        <w:rPr>
          <w:rFonts w:ascii="Times New Roman" w:hAnsi="Times New Roman" w:cs="Times New Roman"/>
        </w:rPr>
        <w:t xml:space="preserve">For public health authorities, these findings highlight the need for </w:t>
      </w:r>
      <w:r w:rsidRPr="00FC6E07">
        <w:rPr>
          <w:rStyle w:val="Strong"/>
          <w:rFonts w:ascii="Times New Roman" w:eastAsiaTheme="majorEastAsia" w:hAnsi="Times New Roman" w:cs="Times New Roman"/>
        </w:rPr>
        <w:t>continuous surveillance</w:t>
      </w:r>
      <w:r w:rsidRPr="00FC6E07">
        <w:rPr>
          <w:rFonts w:ascii="Times New Roman" w:hAnsi="Times New Roman" w:cs="Times New Roman"/>
        </w:rPr>
        <w:t xml:space="preserve"> of infection rates post-vaccination/infection and possibly adjusting booster guidelines based on observed immune waning rather than fixed timelines. </w:t>
      </w:r>
      <w:r w:rsidRPr="00FC6E07">
        <w:rPr>
          <w:rFonts w:ascii="Times New Roman" w:hAnsi="Times New Roman" w:cs="Times New Roman"/>
          <w:color w:val="222222"/>
          <w:shd w:val="clear" w:color="auto" w:fill="FFFFFF"/>
        </w:rPr>
        <w:t xml:space="preserve">As we transition to endemicity, there is the potential need for altered vaccine formulations to track viral variants, the need to identify immune correlates of protection, and the public health challenges of using various tools to counter breakthrough infections, including boosters in an era of global vaccine shortages. </w:t>
      </w:r>
      <w:r w:rsidRPr="00FC6E07">
        <w:rPr>
          <w:rFonts w:ascii="Times New Roman" w:hAnsi="Times New Roman" w:cs="Times New Roman"/>
        </w:rPr>
        <w:t xml:space="preserve"> </w:t>
      </w:r>
    </w:p>
    <w:p w14:paraId="69CA4E00" w14:textId="77777777" w:rsidR="00FC6E07" w:rsidRPr="00FC6E07" w:rsidRDefault="00FC6E07" w:rsidP="00FC6E07">
      <w:pPr>
        <w:spacing w:after="0" w:line="240" w:lineRule="auto"/>
        <w:contextualSpacing/>
        <w:rPr>
          <w:rFonts w:ascii="Times New Roman" w:eastAsia="Malgun Gothic" w:hAnsi="Times New Roman" w:cs="Times New Roman"/>
        </w:rPr>
      </w:pPr>
    </w:p>
    <w:p w14:paraId="49B46332" w14:textId="708C425A" w:rsidR="0035734B" w:rsidRPr="00FC6E07" w:rsidRDefault="0035734B" w:rsidP="00FC6E07">
      <w:pPr>
        <w:autoSpaceDE w:val="0"/>
        <w:autoSpaceDN w:val="0"/>
        <w:adjustRightInd w:val="0"/>
        <w:spacing w:after="0" w:line="240" w:lineRule="auto"/>
        <w:contextualSpacing/>
        <w:rPr>
          <w:rFonts w:ascii="Times New Roman" w:hAnsi="Times New Roman" w:cs="Times New Roman"/>
        </w:rPr>
      </w:pPr>
      <w:r w:rsidRPr="00FC6E07">
        <w:rPr>
          <w:rFonts w:ascii="Times New Roman" w:hAnsi="Times New Roman" w:cs="Times New Roman"/>
        </w:rPr>
        <w:lastRenderedPageBreak/>
        <w:t xml:space="preserve">We hope that you will consider our work for publication in </w:t>
      </w:r>
      <w:r w:rsidRPr="00FC6E07">
        <w:rPr>
          <w:rFonts w:ascii="Times New Roman" w:hAnsi="Times New Roman" w:cs="Times New Roman"/>
          <w:i/>
          <w:color w:val="000000"/>
          <w:shd w:val="clear" w:color="auto" w:fill="FFFFFF"/>
        </w:rPr>
        <w:t>BMJ Global Health</w:t>
      </w:r>
      <w:r w:rsidRPr="00FC6E07">
        <w:rPr>
          <w:rFonts w:ascii="Times New Roman" w:hAnsi="Times New Roman" w:cs="Times New Roman"/>
        </w:rPr>
        <w:t xml:space="preserve">. This manuscript represents original work that is not being considered for publication elsewhere nor has not been previously published. All authors have seen and approved the contents of the submitted manuscript and contributed significantly to the work. As the corresponding author, I have full access to all aspects of the research – from the study design to manuscript development – and take full responsibility for all the contents of this manuscript. All authors have nothing to disclose. </w:t>
      </w:r>
    </w:p>
    <w:p w14:paraId="284E5380" w14:textId="77777777" w:rsidR="0035734B" w:rsidRPr="00FC6E07" w:rsidRDefault="0035734B" w:rsidP="00FC6E07">
      <w:pPr>
        <w:autoSpaceDE w:val="0"/>
        <w:autoSpaceDN w:val="0"/>
        <w:adjustRightInd w:val="0"/>
        <w:spacing w:after="0" w:line="240" w:lineRule="auto"/>
        <w:contextualSpacing/>
        <w:rPr>
          <w:rFonts w:ascii="Times New Roman" w:hAnsi="Times New Roman" w:cs="Times New Roman"/>
        </w:rPr>
      </w:pPr>
    </w:p>
    <w:p w14:paraId="5FE62346" w14:textId="77777777" w:rsidR="0035734B" w:rsidRPr="00FC6E07" w:rsidRDefault="0035734B" w:rsidP="00FC6E07">
      <w:pPr>
        <w:autoSpaceDE w:val="0"/>
        <w:autoSpaceDN w:val="0"/>
        <w:adjustRightInd w:val="0"/>
        <w:spacing w:after="0" w:line="240" w:lineRule="auto"/>
        <w:contextualSpacing/>
        <w:rPr>
          <w:rFonts w:ascii="Times New Roman" w:hAnsi="Times New Roman" w:cs="Times New Roman"/>
        </w:rPr>
      </w:pPr>
      <w:r w:rsidRPr="00FC6E07">
        <w:rPr>
          <w:rFonts w:ascii="Times New Roman" w:hAnsi="Times New Roman" w:cs="Times New Roman"/>
        </w:rPr>
        <w:t>We look forward to your editorial decision.</w:t>
      </w:r>
    </w:p>
    <w:p w14:paraId="1AE4231A" w14:textId="77777777" w:rsidR="0035734B" w:rsidRPr="00FC6E07" w:rsidRDefault="0035734B" w:rsidP="00FC6E07">
      <w:pPr>
        <w:autoSpaceDE w:val="0"/>
        <w:autoSpaceDN w:val="0"/>
        <w:adjustRightInd w:val="0"/>
        <w:spacing w:after="0" w:line="240" w:lineRule="auto"/>
        <w:contextualSpacing/>
        <w:rPr>
          <w:rFonts w:ascii="Times New Roman" w:hAnsi="Times New Roman" w:cs="Times New Roman"/>
        </w:rPr>
      </w:pPr>
    </w:p>
    <w:p w14:paraId="3D235AC9" w14:textId="77777777" w:rsidR="0035734B" w:rsidRPr="00FC6E07" w:rsidRDefault="0035734B" w:rsidP="00FC6E07">
      <w:pPr>
        <w:autoSpaceDE w:val="0"/>
        <w:autoSpaceDN w:val="0"/>
        <w:adjustRightInd w:val="0"/>
        <w:spacing w:after="0" w:line="240" w:lineRule="auto"/>
        <w:contextualSpacing/>
        <w:rPr>
          <w:rFonts w:ascii="Times New Roman" w:hAnsi="Times New Roman" w:cs="Times New Roman"/>
        </w:rPr>
      </w:pPr>
      <w:r w:rsidRPr="00FC6E07">
        <w:rPr>
          <w:rFonts w:ascii="Times New Roman" w:hAnsi="Times New Roman" w:cs="Times New Roman"/>
        </w:rPr>
        <w:t>Sincerely,</w:t>
      </w:r>
    </w:p>
    <w:p w14:paraId="105EAFA8" w14:textId="77777777" w:rsidR="0035734B" w:rsidRPr="00FC6E07" w:rsidRDefault="0035734B" w:rsidP="00FC6E07">
      <w:pPr>
        <w:spacing w:after="0" w:line="240" w:lineRule="auto"/>
        <w:contextualSpacing/>
        <w:outlineLvl w:val="0"/>
        <w:rPr>
          <w:rFonts w:ascii="Times New Roman" w:hAnsi="Times New Roman" w:cs="Times New Roman"/>
          <w:bCs/>
          <w:color w:val="000000"/>
          <w:lang w:eastAsia="en-US"/>
        </w:rPr>
      </w:pPr>
      <w:r w:rsidRPr="00FC6E07">
        <w:rPr>
          <w:rFonts w:ascii="Times New Roman" w:hAnsi="Times New Roman" w:cs="Times New Roman"/>
          <w:bCs/>
          <w:color w:val="000000"/>
        </w:rPr>
        <w:t>Youngji Jo, PhD</w:t>
      </w:r>
    </w:p>
    <w:p w14:paraId="1B858352" w14:textId="77777777" w:rsidR="0035734B" w:rsidRPr="00FC6E07" w:rsidRDefault="0035734B" w:rsidP="00FC6E07">
      <w:pPr>
        <w:spacing w:after="0" w:line="240" w:lineRule="auto"/>
        <w:contextualSpacing/>
        <w:outlineLvl w:val="0"/>
        <w:rPr>
          <w:rFonts w:ascii="Times New Roman" w:hAnsi="Times New Roman" w:cs="Times New Roman"/>
          <w:bCs/>
          <w:color w:val="000000"/>
        </w:rPr>
      </w:pPr>
      <w:r w:rsidRPr="00FC6E07">
        <w:rPr>
          <w:rFonts w:ascii="Times New Roman" w:hAnsi="Times New Roman" w:cs="Times New Roman"/>
          <w:bCs/>
          <w:color w:val="000000"/>
        </w:rPr>
        <w:t xml:space="preserve">Department of Public Health Science, School of Medicine, University of Connecticut </w:t>
      </w:r>
    </w:p>
    <w:p w14:paraId="6C0B989C" w14:textId="77777777" w:rsidR="0035734B" w:rsidRPr="00FC6E07" w:rsidRDefault="0035734B" w:rsidP="00FC6E07">
      <w:pPr>
        <w:spacing w:after="0" w:line="240" w:lineRule="auto"/>
        <w:contextualSpacing/>
        <w:outlineLvl w:val="0"/>
        <w:rPr>
          <w:rFonts w:ascii="Times New Roman" w:hAnsi="Times New Roman" w:cs="Times New Roman"/>
          <w:bCs/>
          <w:color w:val="000000"/>
        </w:rPr>
      </w:pPr>
      <w:r w:rsidRPr="00FC6E07">
        <w:rPr>
          <w:rFonts w:ascii="Times New Roman" w:hAnsi="Times New Roman" w:cs="Times New Roman"/>
          <w:color w:val="000000"/>
          <w:shd w:val="clear" w:color="auto" w:fill="FFFFFF"/>
        </w:rPr>
        <w:t>263 Farmington Avenue, Farmington, CT 06030-6325</w:t>
      </w:r>
    </w:p>
    <w:p w14:paraId="13EA7EE1" w14:textId="77777777" w:rsidR="0035734B" w:rsidRPr="00FC6E07" w:rsidRDefault="0035734B" w:rsidP="00FC6E07">
      <w:pPr>
        <w:spacing w:after="0" w:line="240" w:lineRule="auto"/>
        <w:contextualSpacing/>
        <w:outlineLvl w:val="0"/>
        <w:rPr>
          <w:rFonts w:ascii="Times New Roman" w:hAnsi="Times New Roman" w:cs="Times New Roman"/>
          <w:bCs/>
          <w:color w:val="000000"/>
        </w:rPr>
      </w:pPr>
      <w:r w:rsidRPr="00FC6E07">
        <w:rPr>
          <w:rFonts w:ascii="Times New Roman" w:hAnsi="Times New Roman" w:cs="Times New Roman"/>
          <w:bCs/>
          <w:color w:val="000000"/>
        </w:rPr>
        <w:t>E-mail address: jo@uchc.edu</w:t>
      </w:r>
    </w:p>
    <w:p w14:paraId="261227ED" w14:textId="77777777" w:rsidR="0035734B" w:rsidRPr="00FC6E07" w:rsidRDefault="0035734B" w:rsidP="00FC6E07">
      <w:pPr>
        <w:spacing w:after="0" w:line="240" w:lineRule="auto"/>
        <w:contextualSpacing/>
        <w:outlineLvl w:val="0"/>
        <w:rPr>
          <w:rFonts w:ascii="Times New Roman" w:hAnsi="Times New Roman" w:cs="Times New Roman"/>
          <w:bCs/>
          <w:color w:val="000000"/>
        </w:rPr>
      </w:pPr>
      <w:r w:rsidRPr="00FC6E07">
        <w:rPr>
          <w:rFonts w:ascii="Times New Roman" w:hAnsi="Times New Roman" w:cs="Times New Roman"/>
          <w:bCs/>
          <w:color w:val="000000"/>
        </w:rPr>
        <w:t xml:space="preserve">ORCID ID: </w:t>
      </w:r>
      <w:r w:rsidRPr="00FC6E07">
        <w:rPr>
          <w:rFonts w:ascii="Times New Roman" w:hAnsi="Times New Roman" w:cs="Times New Roman"/>
          <w:shd w:val="clear" w:color="auto" w:fill="FFFFFF"/>
        </w:rPr>
        <w:t>http://orcid.org/0000-0002-1440-2786</w:t>
      </w:r>
    </w:p>
    <w:p w14:paraId="21926CB1" w14:textId="77777777" w:rsidR="0035734B" w:rsidRPr="00FC6E07" w:rsidRDefault="0035734B" w:rsidP="00FC6E07">
      <w:pPr>
        <w:spacing w:after="0" w:line="240" w:lineRule="auto"/>
        <w:contextualSpacing/>
        <w:outlineLvl w:val="0"/>
        <w:rPr>
          <w:rFonts w:ascii="Times New Roman" w:hAnsi="Times New Roman" w:cs="Times New Roman"/>
          <w:bCs/>
          <w:color w:val="000000"/>
        </w:rPr>
      </w:pPr>
    </w:p>
    <w:p w14:paraId="0960819E" w14:textId="77777777" w:rsidR="0035734B" w:rsidRPr="00FC6E07" w:rsidRDefault="0035734B" w:rsidP="00FC6E07">
      <w:pPr>
        <w:autoSpaceDE w:val="0"/>
        <w:autoSpaceDN w:val="0"/>
        <w:adjustRightInd w:val="0"/>
        <w:spacing w:after="0" w:line="240" w:lineRule="auto"/>
        <w:contextualSpacing/>
        <w:rPr>
          <w:rFonts w:ascii="Times New Roman" w:hAnsi="Times New Roman" w:cs="Times New Roman"/>
        </w:rPr>
      </w:pPr>
    </w:p>
    <w:p w14:paraId="56595088" w14:textId="77777777" w:rsidR="0035734B" w:rsidRPr="00FC6E07" w:rsidRDefault="0035734B" w:rsidP="00FC6E07">
      <w:pPr>
        <w:spacing w:after="0" w:line="240" w:lineRule="auto"/>
        <w:contextualSpacing/>
        <w:rPr>
          <w:rFonts w:ascii="Times New Roman" w:hAnsi="Times New Roman" w:cs="Times New Roman"/>
        </w:rPr>
      </w:pPr>
    </w:p>
    <w:sectPr w:rsidR="0035734B" w:rsidRPr="00FC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wMjI3MzQwNDMyN7RU0lEKTi0uzszPAykwqgUA0iONQiwAAAA="/>
  </w:docVars>
  <w:rsids>
    <w:rsidRoot w:val="000F7957"/>
    <w:rsid w:val="000F7957"/>
    <w:rsid w:val="00155A81"/>
    <w:rsid w:val="0035734B"/>
    <w:rsid w:val="00413C16"/>
    <w:rsid w:val="00560211"/>
    <w:rsid w:val="00563EA8"/>
    <w:rsid w:val="006B5B76"/>
    <w:rsid w:val="0073762E"/>
    <w:rsid w:val="00BC63FF"/>
    <w:rsid w:val="00E259BE"/>
    <w:rsid w:val="00F2791B"/>
    <w:rsid w:val="00FC6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975ED"/>
  <w15:chartTrackingRefBased/>
  <w15:docId w15:val="{2D28182D-131E-47CB-84B5-79F42D91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57"/>
    <w:rPr>
      <w:rFonts w:eastAsiaTheme="majorEastAsia" w:cstheme="majorBidi"/>
      <w:color w:val="272727" w:themeColor="text1" w:themeTint="D8"/>
    </w:rPr>
  </w:style>
  <w:style w:type="paragraph" w:styleId="Title">
    <w:name w:val="Title"/>
    <w:basedOn w:val="Normal"/>
    <w:next w:val="Normal"/>
    <w:link w:val="TitleChar"/>
    <w:uiPriority w:val="10"/>
    <w:qFormat/>
    <w:rsid w:val="000F7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57"/>
    <w:pPr>
      <w:spacing w:before="160"/>
      <w:jc w:val="center"/>
    </w:pPr>
    <w:rPr>
      <w:i/>
      <w:iCs/>
      <w:color w:val="404040" w:themeColor="text1" w:themeTint="BF"/>
    </w:rPr>
  </w:style>
  <w:style w:type="character" w:customStyle="1" w:styleId="QuoteChar">
    <w:name w:val="Quote Char"/>
    <w:basedOn w:val="DefaultParagraphFont"/>
    <w:link w:val="Quote"/>
    <w:uiPriority w:val="29"/>
    <w:rsid w:val="000F7957"/>
    <w:rPr>
      <w:i/>
      <w:iCs/>
      <w:color w:val="404040" w:themeColor="text1" w:themeTint="BF"/>
    </w:rPr>
  </w:style>
  <w:style w:type="paragraph" w:styleId="ListParagraph">
    <w:name w:val="List Paragraph"/>
    <w:basedOn w:val="Normal"/>
    <w:uiPriority w:val="34"/>
    <w:qFormat/>
    <w:rsid w:val="000F7957"/>
    <w:pPr>
      <w:ind w:left="720"/>
      <w:contextualSpacing/>
    </w:pPr>
  </w:style>
  <w:style w:type="character" w:styleId="IntenseEmphasis">
    <w:name w:val="Intense Emphasis"/>
    <w:basedOn w:val="DefaultParagraphFont"/>
    <w:uiPriority w:val="21"/>
    <w:qFormat/>
    <w:rsid w:val="000F7957"/>
    <w:rPr>
      <w:i/>
      <w:iCs/>
      <w:color w:val="0F4761" w:themeColor="accent1" w:themeShade="BF"/>
    </w:rPr>
  </w:style>
  <w:style w:type="paragraph" w:styleId="IntenseQuote">
    <w:name w:val="Intense Quote"/>
    <w:basedOn w:val="Normal"/>
    <w:next w:val="Normal"/>
    <w:link w:val="IntenseQuoteChar"/>
    <w:uiPriority w:val="30"/>
    <w:qFormat/>
    <w:rsid w:val="000F7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57"/>
    <w:rPr>
      <w:i/>
      <w:iCs/>
      <w:color w:val="0F4761" w:themeColor="accent1" w:themeShade="BF"/>
    </w:rPr>
  </w:style>
  <w:style w:type="character" w:styleId="IntenseReference">
    <w:name w:val="Intense Reference"/>
    <w:basedOn w:val="DefaultParagraphFont"/>
    <w:uiPriority w:val="32"/>
    <w:qFormat/>
    <w:rsid w:val="000F7957"/>
    <w:rPr>
      <w:b/>
      <w:bCs/>
      <w:smallCaps/>
      <w:color w:val="0F4761" w:themeColor="accent1" w:themeShade="BF"/>
      <w:spacing w:val="5"/>
    </w:rPr>
  </w:style>
  <w:style w:type="paragraph" w:styleId="BodyText">
    <w:name w:val="Body Text"/>
    <w:basedOn w:val="Normal"/>
    <w:link w:val="BodyTextChar"/>
    <w:uiPriority w:val="1"/>
    <w:qFormat/>
    <w:rsid w:val="000F7957"/>
    <w:pPr>
      <w:widowControl w:val="0"/>
      <w:autoSpaceDE w:val="0"/>
      <w:autoSpaceDN w:val="0"/>
      <w:spacing w:after="0" w:line="240" w:lineRule="auto"/>
      <w:ind w:left="117"/>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0F7957"/>
    <w:rPr>
      <w:rFonts w:ascii="Times New Roman" w:eastAsia="Times New Roman" w:hAnsi="Times New Roman" w:cs="Times New Roman"/>
      <w:kern w:val="0"/>
      <w:lang w:eastAsia="en-US"/>
      <w14:ligatures w14:val="none"/>
    </w:rPr>
  </w:style>
  <w:style w:type="character" w:styleId="Strong">
    <w:name w:val="Strong"/>
    <w:basedOn w:val="DefaultParagraphFont"/>
    <w:uiPriority w:val="22"/>
    <w:qFormat/>
    <w:rsid w:val="000F7957"/>
    <w:rPr>
      <w:b/>
      <w:bCs/>
    </w:rPr>
  </w:style>
  <w:style w:type="character" w:customStyle="1" w:styleId="cf01">
    <w:name w:val="cf01"/>
    <w:basedOn w:val="DefaultParagraphFont"/>
    <w:rsid w:val="0035734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609</Words>
  <Characters>3723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Jo,Youngji</dc:creator>
  <cp:keywords/>
  <dc:description/>
  <cp:lastModifiedBy>Jo,Youngji</cp:lastModifiedBy>
  <cp:revision>6</cp:revision>
  <dcterms:created xsi:type="dcterms:W3CDTF">2024-09-28T18:46:00Z</dcterms:created>
  <dcterms:modified xsi:type="dcterms:W3CDTF">2024-09-30T15:03:00Z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14a09ec3-f994-4450-90e5-a07be01514b5</vt:lpwstr>
  </property>
</Properties>
</file>