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D3651D">
      <w:pPr>
        <w:pStyle w:val="BodyText"/>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D3651D">
      <w:pPr>
        <w:pStyle w:val="BodyText"/>
        <w:ind w:left="0"/>
        <w:rPr>
          <w:rFonts w:eastAsiaTheme="minorEastAsia"/>
          <w:b/>
          <w:sz w:val="32"/>
          <w:szCs w:val="12"/>
          <w:lang w:eastAsia="ko-KR"/>
        </w:rPr>
      </w:pPr>
    </w:p>
    <w:p w14:paraId="68F9DD6E" w14:textId="77777777" w:rsidR="00D3651D" w:rsidRPr="00936392" w:rsidRDefault="00D3651D" w:rsidP="00D3651D">
      <w:pPr>
        <w:pStyle w:val="BodyText"/>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 Won Chang, Kevin </w:t>
      </w:r>
      <w:proofErr w:type="spellStart"/>
      <w:r w:rsidRPr="00936392">
        <w:rPr>
          <w:rFonts w:eastAsiaTheme="minorEastAsia" w:hint="eastAsia"/>
          <w:bCs/>
          <w:sz w:val="22"/>
          <w:szCs w:val="6"/>
          <w:lang w:eastAsia="ko-KR"/>
        </w:rPr>
        <w:t>Diekhuis</w:t>
      </w:r>
      <w:proofErr w:type="spellEnd"/>
      <w:r w:rsidRPr="00936392">
        <w:rPr>
          <w:rFonts w:eastAsiaTheme="minorEastAsia" w:hint="eastAsia"/>
          <w:bCs/>
          <w:sz w:val="22"/>
          <w:szCs w:val="6"/>
          <w:lang w:eastAsia="ko-KR"/>
        </w:rPr>
        <w:t xml:space="preserve">, </w:t>
      </w:r>
      <w:proofErr w:type="spellStart"/>
      <w:r w:rsidRPr="00936392">
        <w:rPr>
          <w:rFonts w:eastAsiaTheme="minorEastAsia" w:hint="eastAsia"/>
          <w:bCs/>
          <w:sz w:val="22"/>
          <w:szCs w:val="6"/>
          <w:lang w:eastAsia="ko-KR"/>
        </w:rPr>
        <w:t>Jaehun</w:t>
      </w:r>
      <w:proofErr w:type="spellEnd"/>
      <w:r w:rsidRPr="00936392">
        <w:rPr>
          <w:rFonts w:eastAsiaTheme="minorEastAsia" w:hint="eastAsia"/>
          <w:bCs/>
          <w:sz w:val="22"/>
          <w:szCs w:val="6"/>
          <w:lang w:eastAsia="ko-KR"/>
        </w:rPr>
        <w:t xml:space="preserve"> Jung, </w:t>
      </w:r>
      <w:proofErr w:type="spellStart"/>
      <w:r w:rsidRPr="00936392">
        <w:rPr>
          <w:rFonts w:eastAsiaTheme="minorEastAsia" w:hint="eastAsia"/>
          <w:bCs/>
          <w:sz w:val="22"/>
          <w:szCs w:val="6"/>
          <w:lang w:eastAsia="ko-KR"/>
        </w:rPr>
        <w:t>Youngji</w:t>
      </w:r>
      <w:proofErr w:type="spellEnd"/>
      <w:r w:rsidRPr="00936392">
        <w:rPr>
          <w:rFonts w:eastAsiaTheme="minorEastAsia" w:hint="eastAsia"/>
          <w:bCs/>
          <w:sz w:val="22"/>
          <w:szCs w:val="6"/>
          <w:lang w:eastAsia="ko-KR"/>
        </w:rPr>
        <w:t xml:space="preserve"> Jo*, </w:t>
      </w:r>
      <w:proofErr w:type="spellStart"/>
      <w:r w:rsidRPr="00936392">
        <w:rPr>
          <w:rFonts w:eastAsiaTheme="minorEastAsia" w:hint="eastAsia"/>
          <w:bCs/>
          <w:sz w:val="22"/>
          <w:szCs w:val="6"/>
          <w:lang w:eastAsia="ko-KR"/>
        </w:rPr>
        <w:t>Donghyun</w:t>
      </w:r>
      <w:proofErr w:type="spellEnd"/>
      <w:r w:rsidRPr="00936392">
        <w:rPr>
          <w:rFonts w:eastAsiaTheme="minorEastAsia" w:hint="eastAsia"/>
          <w:bCs/>
          <w:sz w:val="22"/>
          <w:szCs w:val="6"/>
          <w:lang w:eastAsia="ko-KR"/>
        </w:rPr>
        <w:t xml:space="preserve"> Kim*</w:t>
      </w:r>
    </w:p>
    <w:p w14:paraId="54B0AD8F" w14:textId="77777777" w:rsidR="00D3651D" w:rsidRDefault="00D3651D" w:rsidP="00D3651D">
      <w:pPr>
        <w:pStyle w:val="BodyText"/>
        <w:ind w:left="0"/>
        <w:rPr>
          <w:rFonts w:eastAsiaTheme="minorEastAsia"/>
          <w:b/>
          <w:sz w:val="32"/>
          <w:szCs w:val="12"/>
          <w:lang w:eastAsia="ko-KR"/>
        </w:rPr>
      </w:pPr>
    </w:p>
    <w:p w14:paraId="18FF36AC" w14:textId="77777777" w:rsidR="00D3651D" w:rsidRPr="00936392" w:rsidRDefault="00D3651D" w:rsidP="00D3651D">
      <w:pPr>
        <w:pStyle w:val="BodyText"/>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77777777" w:rsidR="00D3651D" w:rsidRPr="00936392" w:rsidRDefault="00D3651D" w:rsidP="00D3651D">
      <w:pPr>
        <w:pStyle w:val="BodyText"/>
        <w:ind w:left="0"/>
        <w:rPr>
          <w:rFonts w:eastAsiaTheme="minorEastAsia"/>
          <w:sz w:val="22"/>
          <w:szCs w:val="22"/>
          <w:lang w:eastAsia="ko-KR"/>
        </w:rPr>
      </w:pPr>
      <w:r w:rsidRPr="00936392">
        <w:rPr>
          <w:sz w:val="22"/>
          <w:szCs w:val="22"/>
        </w:rPr>
        <w:t>Department of Statistics, University of Connecticut</w:t>
      </w:r>
    </w:p>
    <w:p w14:paraId="66502AC0" w14:textId="77777777" w:rsidR="00D3651D" w:rsidRPr="00936392" w:rsidRDefault="00D3651D" w:rsidP="00D3651D">
      <w:pPr>
        <w:pStyle w:val="BodyText"/>
        <w:spacing w:before="13"/>
        <w:ind w:left="0" w:right="2724"/>
        <w:jc w:val="both"/>
        <w:rPr>
          <w:rFonts w:eastAsiaTheme="minorEastAsia"/>
          <w:sz w:val="22"/>
          <w:szCs w:val="22"/>
          <w:lang w:eastAsia="ko-KR"/>
        </w:rPr>
      </w:pPr>
      <w:r w:rsidRPr="00936392">
        <w:rPr>
          <w:sz w:val="22"/>
          <w:szCs w:val="22"/>
        </w:rPr>
        <w:t>Department of Public Health Sciences, UConn Health</w:t>
      </w:r>
    </w:p>
    <w:p w14:paraId="2C85015D" w14:textId="77777777" w:rsidR="00D3651D" w:rsidRPr="00936392" w:rsidRDefault="00D3651D" w:rsidP="00D3651D">
      <w:pPr>
        <w:pStyle w:val="BodyText"/>
        <w:spacing w:before="13"/>
        <w:ind w:left="0" w:right="2724"/>
        <w:jc w:val="both"/>
        <w:rPr>
          <w:rFonts w:eastAsiaTheme="minorEastAsia"/>
          <w:lang w:eastAsia="ko-KR"/>
        </w:rPr>
      </w:pPr>
    </w:p>
    <w:p w14:paraId="4F71015F" w14:textId="4C6E099D" w:rsidR="00D3651D" w:rsidRPr="0072734B" w:rsidRDefault="009206CF" w:rsidP="00D3651D">
      <w:pPr>
        <w:pStyle w:val="BodyText"/>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72734B">
      <w:pPr>
        <w:pStyle w:val="BodyText"/>
        <w:spacing w:before="13" w:line="252"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72734B">
      <w:pPr>
        <w:pStyle w:val="BodyText"/>
        <w:spacing w:before="13" w:line="252" w:lineRule="auto"/>
        <w:ind w:left="0" w:right="2724"/>
        <w:rPr>
          <w:rFonts w:eastAsiaTheme="minorEastAsia"/>
          <w:sz w:val="22"/>
          <w:szCs w:val="22"/>
          <w:lang w:eastAsia="ko-KR"/>
        </w:rPr>
      </w:pPr>
      <w:r>
        <w:rPr>
          <w:rFonts w:eastAsiaTheme="minorEastAsia" w:hint="eastAsia"/>
          <w:sz w:val="22"/>
          <w:szCs w:val="22"/>
          <w:lang w:eastAsia="ko-KR"/>
        </w:rPr>
        <w:t xml:space="preserve">To add </w:t>
      </w:r>
      <w:proofErr w:type="spellStart"/>
      <w:r>
        <w:rPr>
          <w:rFonts w:eastAsiaTheme="minorEastAsia" w:hint="eastAsia"/>
          <w:sz w:val="22"/>
          <w:szCs w:val="22"/>
          <w:lang w:eastAsia="ko-KR"/>
        </w:rPr>
        <w:t>Donghyun</w:t>
      </w:r>
      <w:proofErr w:type="spellEnd"/>
      <w:r>
        <w:rPr>
          <w:rFonts w:eastAsiaTheme="minorEastAsia" w:hint="eastAsia"/>
          <w:sz w:val="22"/>
          <w:szCs w:val="22"/>
          <w:lang w:eastAsia="ko-KR"/>
        </w:rPr>
        <w:t xml:space="preserve"> Kim email</w:t>
      </w:r>
    </w:p>
    <w:p w14:paraId="31EEC869" w14:textId="77777777" w:rsidR="00D3651D" w:rsidRDefault="00D3651D" w:rsidP="00D3651D">
      <w:pPr>
        <w:pStyle w:val="BodyText"/>
        <w:spacing w:line="252" w:lineRule="auto"/>
        <w:ind w:left="0"/>
        <w:jc w:val="both"/>
        <w:rPr>
          <w:rFonts w:eastAsiaTheme="minorEastAsia"/>
          <w:b/>
          <w:bCs/>
          <w:color w:val="000000"/>
          <w:sz w:val="22"/>
          <w:szCs w:val="22"/>
          <w:lang w:eastAsia="ko-KR"/>
        </w:rPr>
      </w:pPr>
    </w:p>
    <w:p w14:paraId="4D649CE5" w14:textId="55A510C4" w:rsidR="009206CF" w:rsidRDefault="009206CF" w:rsidP="00D3651D">
      <w:pPr>
        <w:pStyle w:val="BodyText"/>
        <w:spacing w:line="252" w:lineRule="auto"/>
        <w:ind w:left="0"/>
        <w:jc w:val="both"/>
        <w:rPr>
          <w:rFonts w:eastAsiaTheme="minorEastAsia"/>
          <w:b/>
          <w:bCs/>
          <w:color w:val="000000"/>
          <w:sz w:val="22"/>
          <w:szCs w:val="22"/>
          <w:lang w:eastAsia="ko-KR"/>
        </w:rPr>
      </w:pPr>
    </w:p>
    <w:p w14:paraId="1A1D4C2C" w14:textId="77777777" w:rsidR="0072734B" w:rsidRDefault="0072734B" w:rsidP="00D3651D">
      <w:pPr>
        <w:pStyle w:val="BodyText"/>
        <w:spacing w:line="252" w:lineRule="auto"/>
        <w:ind w:left="0"/>
        <w:jc w:val="both"/>
        <w:rPr>
          <w:rFonts w:eastAsiaTheme="minorEastAsia"/>
          <w:b/>
          <w:bCs/>
          <w:color w:val="000000"/>
          <w:sz w:val="22"/>
          <w:szCs w:val="22"/>
          <w:lang w:eastAsia="ko-KR"/>
        </w:rPr>
      </w:pPr>
    </w:p>
    <w:p w14:paraId="201C0610" w14:textId="30D5EE22" w:rsidR="00D3651D" w:rsidRPr="008126BD" w:rsidRDefault="00D3651D" w:rsidP="00D3651D">
      <w:pPr>
        <w:pStyle w:val="BodyText"/>
        <w:spacing w:line="252" w:lineRule="auto"/>
        <w:ind w:left="0"/>
        <w:jc w:val="both"/>
        <w:rPr>
          <w:rFonts w:eastAsiaTheme="minorEastAsia"/>
          <w:b/>
          <w:bCs/>
          <w:color w:val="000000"/>
          <w:sz w:val="22"/>
          <w:szCs w:val="22"/>
          <w:lang w:eastAsia="ko-KR"/>
        </w:rPr>
      </w:pPr>
      <w:r w:rsidRPr="008126BD">
        <w:rPr>
          <w:rFonts w:eastAsiaTheme="minorEastAsia" w:hint="eastAsia"/>
          <w:b/>
          <w:bCs/>
          <w:color w:val="000000"/>
          <w:sz w:val="22"/>
          <w:szCs w:val="22"/>
          <w:lang w:eastAsia="ko-KR"/>
        </w:rPr>
        <w:t>Abstract</w:t>
      </w:r>
    </w:p>
    <w:p w14:paraId="6E2160E9" w14:textId="77777777" w:rsidR="00D3651D" w:rsidRPr="008126BD" w:rsidRDefault="00D3651D" w:rsidP="00D3651D">
      <w:pPr>
        <w:pStyle w:val="BodyText"/>
        <w:spacing w:line="252" w:lineRule="auto"/>
        <w:ind w:left="0"/>
        <w:jc w:val="both"/>
        <w:rPr>
          <w:rFonts w:eastAsiaTheme="minorEastAsia"/>
          <w:color w:val="000000"/>
          <w:sz w:val="22"/>
          <w:szCs w:val="22"/>
          <w:lang w:eastAsia="ko-KR"/>
        </w:rPr>
      </w:pPr>
    </w:p>
    <w:p w14:paraId="118FC754" w14:textId="77777777" w:rsidR="00D3651D" w:rsidRPr="008126BD" w:rsidRDefault="00D3651D" w:rsidP="00D3651D">
      <w:pPr>
        <w:pStyle w:val="BodyText"/>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Pr="008126BD">
        <w:rPr>
          <w:rFonts w:eastAsiaTheme="minorEastAsia"/>
          <w:color w:val="000000"/>
          <w:sz w:val="22"/>
          <w:szCs w:val="22"/>
          <w:lang w:eastAsia="ko-KR"/>
        </w:rPr>
        <w:t>Our study examined the protective effectiveness of COVID-19 infection across age groups between hybrid and vaccine-induced in the general population</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Pr="008126BD">
        <w:rPr>
          <w:rFonts w:eastAsiaTheme="minorEastAsia"/>
          <w:color w:val="000000"/>
          <w:sz w:val="22"/>
          <w:szCs w:val="22"/>
          <w:lang w:eastAsia="ko-KR"/>
        </w:rPr>
        <w:t xml:space="preserve">. </w:t>
      </w:r>
    </w:p>
    <w:p w14:paraId="53DE9E95" w14:textId="77777777" w:rsidR="00D3651D" w:rsidRPr="008126BD" w:rsidRDefault="00D3651D" w:rsidP="00D3651D">
      <w:pPr>
        <w:widowControl/>
        <w:tabs>
          <w:tab w:val="num" w:pos="720"/>
        </w:tabs>
        <w:adjustRightInd w:val="0"/>
        <w:contextualSpacing/>
        <w:jc w:val="both"/>
        <w:rPr>
          <w:rFonts w:eastAsiaTheme="minorEastAsia"/>
          <w:lang w:eastAsia="ko-KR"/>
        </w:rPr>
      </w:pPr>
    </w:p>
    <w:p w14:paraId="1E769565" w14:textId="77777777" w:rsidR="00D3651D" w:rsidRPr="008126BD" w:rsidRDefault="00D3651D" w:rsidP="00D3651D">
      <w:pPr>
        <w:widowControl/>
        <w:tabs>
          <w:tab w:val="num" w:pos="720"/>
        </w:tabs>
        <w:adjustRightInd w:val="0"/>
        <w:contextualSpacing/>
        <w:jc w:val="both"/>
        <w:rPr>
          <w:rFonts w:eastAsiaTheme="minor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464E004F" w14:textId="77777777" w:rsidR="00D3651D" w:rsidRPr="008126BD" w:rsidRDefault="00D3651D" w:rsidP="00D3651D">
      <w:pPr>
        <w:widowControl/>
        <w:tabs>
          <w:tab w:val="num" w:pos="720"/>
        </w:tabs>
        <w:adjustRightInd w:val="0"/>
        <w:contextualSpacing/>
        <w:jc w:val="both"/>
        <w:rPr>
          <w:rFonts w:eastAsiaTheme="minorEastAsia"/>
          <w:lang w:eastAsia="ko-KR"/>
        </w:rPr>
      </w:pPr>
    </w:p>
    <w:p w14:paraId="396EAE84" w14:textId="77777777" w:rsidR="00D3651D" w:rsidRPr="008126BD" w:rsidRDefault="00D3651D" w:rsidP="00D3651D">
      <w:pPr>
        <w:widowControl/>
        <w:tabs>
          <w:tab w:val="num" w:pos="720"/>
        </w:tabs>
        <w:adjustRightInd w:val="0"/>
        <w:contextualSpacing/>
        <w:jc w:val="both"/>
        <w:rPr>
          <w:rFonts w:eastAsiaTheme="minorEastAsia"/>
        </w:rPr>
      </w:pPr>
      <w:r w:rsidRPr="008126BD">
        <w:rPr>
          <w:rFonts w:eastAsiaTheme="minorEastAsia" w:hint="eastAsia"/>
          <w:b/>
          <w:bCs/>
          <w:lang w:eastAsia="ko-KR"/>
        </w:rPr>
        <w:t>Results:</w:t>
      </w:r>
      <w:r w:rsidRPr="008126BD">
        <w:rPr>
          <w:rFonts w:eastAsiaTheme="minorEastAsia" w:hint="eastAsia"/>
          <w:lang w:eastAsia="ko-KR"/>
        </w:rPr>
        <w:t xml:space="preserve"> </w:t>
      </w:r>
      <w:r w:rsidRPr="008126BD">
        <w:rPr>
          <w:rFonts w:eastAsiaTheme="minorEastAsia"/>
        </w:rPr>
        <w:t xml:space="preserve">We showed that S ab waning and risk infection trends are highly correlated; hybrid group resulted in higher and longer-lasting antibody responses compared to vaccination alone, in the long term as well. </w:t>
      </w:r>
      <w:r w:rsidRPr="008126BD">
        <w:rPr>
          <w:rFonts w:eastAsiaTheme="minorEastAsia"/>
          <w:lang w:eastAsia="ko-KR"/>
        </w:rPr>
        <w:t xml:space="preserve"> </w:t>
      </w:r>
      <w:r w:rsidRPr="008126BD">
        <w:rPr>
          <w:rFonts w:eastAsiaTheme="minorEastAsia"/>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w:t>
      </w:r>
    </w:p>
    <w:p w14:paraId="6629D34B" w14:textId="77777777" w:rsidR="00D3651D" w:rsidRPr="008126BD" w:rsidRDefault="00D3651D" w:rsidP="00D3651D">
      <w:pPr>
        <w:widowControl/>
        <w:tabs>
          <w:tab w:val="num" w:pos="720"/>
        </w:tabs>
        <w:adjustRightInd w:val="0"/>
        <w:contextualSpacing/>
        <w:jc w:val="both"/>
        <w:rPr>
          <w:rFonts w:eastAsiaTheme="minorEastAsia"/>
        </w:rPr>
      </w:pPr>
    </w:p>
    <w:p w14:paraId="6D9BE02D" w14:textId="77777777" w:rsidR="00D3651D" w:rsidRPr="008126BD" w:rsidRDefault="00D3651D" w:rsidP="00D3651D">
      <w:pPr>
        <w:widowControl/>
        <w:tabs>
          <w:tab w:val="num" w:pos="720"/>
        </w:tabs>
        <w:adjustRightInd w:val="0"/>
        <w:contextualSpacing/>
        <w:jc w:val="both"/>
        <w:rPr>
          <w:rFonts w:eastAsiaTheme="minorEastAsia"/>
        </w:rPr>
      </w:pPr>
      <w:r w:rsidRPr="008126BD">
        <w:rPr>
          <w:rFonts w:eastAsiaTheme="minorEastAsia" w:hint="eastAsia"/>
          <w:b/>
          <w:bCs/>
          <w:lang w:eastAsia="ko-KR"/>
        </w:rPr>
        <w:t>Conclusion</w:t>
      </w:r>
      <w:r w:rsidRPr="008126BD">
        <w:rPr>
          <w:rFonts w:eastAsiaTheme="minorEastAsia" w:hint="eastAsia"/>
          <w:lang w:eastAsia="ko-KR"/>
        </w:rPr>
        <w:t>: O</w:t>
      </w:r>
      <w:r w:rsidRPr="008126BD">
        <w:rPr>
          <w:rFonts w:eastAsiaTheme="minorEastAsia"/>
        </w:rPr>
        <w:t>ur results indicate that vaccination campaigns should be tailored according to individual immune status, previous history of SARS-CoV-2 infection, and characteristics of the population risk factors (age, gender) to achieve optimal responses and protection across individuals.</w:t>
      </w:r>
    </w:p>
    <w:p w14:paraId="0FF408D3" w14:textId="77777777" w:rsidR="00D3651D" w:rsidRDefault="00D3651D" w:rsidP="00D3651D">
      <w:pPr>
        <w:pStyle w:val="BodyText"/>
        <w:ind w:left="0"/>
        <w:contextualSpacing/>
        <w:jc w:val="both"/>
      </w:pPr>
    </w:p>
    <w:p w14:paraId="20033E7A" w14:textId="77777777" w:rsidR="00D3651D" w:rsidRDefault="00D3651D" w:rsidP="00D3651D">
      <w:pPr>
        <w:jc w:val="both"/>
        <w:rPr>
          <w:rFonts w:eastAsiaTheme="minorEastAsia"/>
          <w:lang w:eastAsia="ko-KR"/>
        </w:rPr>
      </w:pPr>
    </w:p>
    <w:p w14:paraId="37808E29" w14:textId="77777777" w:rsidR="00D3651D" w:rsidRPr="00D051AD" w:rsidRDefault="00D3651D" w:rsidP="00D3651D">
      <w:pPr>
        <w:jc w:val="both"/>
        <w:rPr>
          <w:b/>
          <w:bCs/>
          <w:sz w:val="24"/>
        </w:rPr>
      </w:pPr>
      <w:r w:rsidRPr="00D051AD">
        <w:rPr>
          <w:b/>
          <w:bCs/>
        </w:rPr>
        <w:t>Introduction</w:t>
      </w:r>
    </w:p>
    <w:p w14:paraId="59DA8B71" w14:textId="77777777" w:rsidR="00D3651D" w:rsidRDefault="00D3651D" w:rsidP="00D3651D">
      <w:pPr>
        <w:pStyle w:val="BodyText"/>
        <w:kinsoku w:val="0"/>
        <w:overflowPunct w:val="0"/>
        <w:spacing w:before="74" w:line="252" w:lineRule="auto"/>
        <w:ind w:firstLine="566"/>
        <w:jc w:val="both"/>
        <w:rPr>
          <w:rFonts w:ascii="WarnockPro-Regular" w:eastAsiaTheme="minorEastAsia" w:hAnsi="WarnockPro-Regular" w:cs="WarnockPro-Regular"/>
          <w:color w:val="000000"/>
          <w:sz w:val="20"/>
          <w:szCs w:val="20"/>
        </w:rPr>
      </w:pPr>
    </w:p>
    <w:p w14:paraId="30245202" w14:textId="73FE9178" w:rsidR="00D3651D" w:rsidRPr="008126BD" w:rsidRDefault="00D3651D" w:rsidP="00D3651D">
      <w:pPr>
        <w:pStyle w:val="BodyText"/>
        <w:kinsoku w:val="0"/>
        <w:overflowPunct w:val="0"/>
        <w:spacing w:line="276" w:lineRule="auto"/>
        <w:ind w:left="0"/>
        <w:jc w:val="both"/>
        <w:rPr>
          <w:rFonts w:eastAsiaTheme="minorEastAsia"/>
          <w:color w:val="000000"/>
          <w:sz w:val="22"/>
          <w:szCs w:val="22"/>
          <w:lang w:eastAsia="ko-KR"/>
        </w:rPr>
      </w:pPr>
      <w:r w:rsidRPr="008126BD">
        <w:rPr>
          <w:rFonts w:eastAsiaTheme="minorEastAsia"/>
          <w:color w:val="000000"/>
          <w:sz w:val="22"/>
          <w:szCs w:val="22"/>
        </w:rPr>
        <w:t>Natural SARS-CoV-2 infection and vaccination against</w:t>
      </w:r>
      <w:r w:rsidRPr="008126BD">
        <w:rPr>
          <w:rFonts w:eastAsiaTheme="minorEastAsia"/>
          <w:color w:val="000000"/>
          <w:sz w:val="22"/>
          <w:szCs w:val="22"/>
          <w:lang w:eastAsia="ko-KR"/>
        </w:rPr>
        <w:t xml:space="preserve"> </w:t>
      </w:r>
      <w:r w:rsidRPr="008126BD">
        <w:rPr>
          <w:rFonts w:eastAsiaTheme="minorEastAsia"/>
          <w:color w:val="000000"/>
          <w:sz w:val="22"/>
          <w:szCs w:val="22"/>
        </w:rPr>
        <w:t>COVID-19 both contribute to building the population’s</w:t>
      </w:r>
      <w:r w:rsidRPr="008126BD">
        <w:rPr>
          <w:rFonts w:eastAsiaTheme="minorEastAsia"/>
          <w:color w:val="000000"/>
          <w:sz w:val="22"/>
          <w:szCs w:val="22"/>
          <w:lang w:eastAsia="ko-KR"/>
        </w:rPr>
        <w:t xml:space="preserve"> </w:t>
      </w:r>
      <w:r w:rsidRPr="008126BD">
        <w:rPr>
          <w:rFonts w:eastAsiaTheme="minorEastAsia"/>
          <w:color w:val="000000"/>
          <w:sz w:val="22"/>
          <w:szCs w:val="22"/>
        </w:rPr>
        <w:t>immunity. Immune responses are multifaceted, but single components that are easy to measure, such as antibodies, are used in epidemiological studies to characterize the population-level</w:t>
      </w:r>
      <w:r w:rsidRPr="008126BD">
        <w:rPr>
          <w:rFonts w:eastAsiaTheme="minorEastAsia"/>
          <w:color w:val="000000"/>
          <w:sz w:val="22"/>
          <w:szCs w:val="22"/>
          <w:lang w:eastAsia="ko-KR"/>
        </w:rPr>
        <w:t xml:space="preserve"> immunity and the </w:t>
      </w:r>
      <w:r w:rsidRPr="008126BD">
        <w:rPr>
          <w:rFonts w:eastAsiaTheme="minorEastAsia"/>
          <w:color w:val="000000"/>
          <w:sz w:val="22"/>
          <w:szCs w:val="22"/>
        </w:rPr>
        <w:t>longevity</w:t>
      </w:r>
      <w:r w:rsidRPr="008126BD">
        <w:rPr>
          <w:rFonts w:eastAsiaTheme="minorEastAsia"/>
          <w:color w:val="000000"/>
          <w:sz w:val="22"/>
          <w:szCs w:val="22"/>
          <w:lang w:eastAsia="ko-KR"/>
        </w:rPr>
        <w:t xml:space="preserve"> </w:t>
      </w:r>
      <w:r w:rsidRPr="008126BD">
        <w:rPr>
          <w:rFonts w:eastAsiaTheme="minorEastAsia"/>
          <w:color w:val="000000"/>
          <w:sz w:val="22"/>
          <w:szCs w:val="22"/>
        </w:rPr>
        <w:t>of antibody responses induced after infection and/or vaccination.</w:t>
      </w:r>
      <w:r w:rsidRPr="008126BD">
        <w:rPr>
          <w:rFonts w:eastAsiaTheme="minorEastAsia"/>
          <w:color w:val="000000"/>
          <w:sz w:val="22"/>
          <w:szCs w:val="22"/>
          <w:lang w:eastAsia="ko-KR"/>
        </w:rPr>
        <w:t xml:space="preserve"> </w:t>
      </w:r>
      <w:r w:rsidRPr="008126BD">
        <w:rPr>
          <w:rFonts w:eastAsiaTheme="minorEastAsia"/>
          <w:color w:val="000000"/>
          <w:sz w:val="22"/>
          <w:szCs w:val="22"/>
        </w:rPr>
        <w:t>Studies of COVID-19 vaccines have</w:t>
      </w:r>
      <w:r w:rsidRPr="008126BD">
        <w:rPr>
          <w:rFonts w:eastAsiaTheme="minorEastAsia"/>
          <w:color w:val="000000"/>
          <w:sz w:val="22"/>
          <w:szCs w:val="22"/>
          <w:lang w:eastAsia="ko-KR"/>
        </w:rPr>
        <w:t xml:space="preserve"> </w:t>
      </w:r>
      <w:r w:rsidRPr="008126BD">
        <w:rPr>
          <w:rFonts w:eastAsiaTheme="minorEastAsia"/>
          <w:color w:val="000000"/>
          <w:sz w:val="22"/>
          <w:szCs w:val="22"/>
        </w:rPr>
        <w:t>shown waning immunity over time (after 2 doses), as</w:t>
      </w:r>
      <w:r w:rsidRPr="008126BD">
        <w:rPr>
          <w:rFonts w:eastAsiaTheme="minorEastAsia"/>
          <w:color w:val="000000"/>
          <w:sz w:val="22"/>
          <w:szCs w:val="22"/>
          <w:lang w:eastAsia="ko-KR"/>
        </w:rPr>
        <w:t xml:space="preserve"> </w:t>
      </w:r>
      <w:r w:rsidRPr="008126BD">
        <w:rPr>
          <w:rFonts w:eastAsiaTheme="minorEastAsia"/>
          <w:color w:val="000000"/>
          <w:sz w:val="22"/>
          <w:szCs w:val="22"/>
        </w:rPr>
        <w:t>measured by primarily decreasing antibody titers and</w:t>
      </w:r>
      <w:r w:rsidRPr="008126BD">
        <w:rPr>
          <w:rFonts w:eastAsiaTheme="minorEastAsia"/>
          <w:color w:val="000000"/>
          <w:sz w:val="22"/>
          <w:szCs w:val="22"/>
          <w:lang w:eastAsia="ko-KR"/>
        </w:rPr>
        <w:t xml:space="preserve"> </w:t>
      </w:r>
      <w:r w:rsidRPr="008126BD">
        <w:rPr>
          <w:rFonts w:eastAsiaTheme="minorEastAsia"/>
          <w:color w:val="000000"/>
          <w:sz w:val="22"/>
          <w:szCs w:val="22"/>
        </w:rPr>
        <w:t>vaccine effectiveness (breakthrough infections) [</w:t>
      </w:r>
      <w:r w:rsidR="002F0C3B" w:rsidRPr="002F0C3B">
        <w:rPr>
          <w:rFonts w:eastAsiaTheme="minorEastAsia"/>
          <w:color w:val="FF0000"/>
          <w:sz w:val="22"/>
          <w:szCs w:val="22"/>
        </w:rPr>
        <w:t>1</w:t>
      </w:r>
      <w:r w:rsidRPr="008126BD">
        <w:rPr>
          <w:rFonts w:eastAsiaTheme="minorEastAsia"/>
          <w:color w:val="000000"/>
          <w:sz w:val="22"/>
          <w:szCs w:val="22"/>
        </w:rPr>
        <w:t xml:space="preserve">, </w:t>
      </w:r>
      <w:r w:rsidR="002F0C3B" w:rsidRPr="002F0C3B">
        <w:rPr>
          <w:rFonts w:eastAsiaTheme="minorEastAsia"/>
          <w:color w:val="FF0000"/>
          <w:sz w:val="22"/>
          <w:szCs w:val="22"/>
        </w:rPr>
        <w:t>2</w:t>
      </w:r>
      <w:r w:rsidRPr="008126BD">
        <w:rPr>
          <w:rFonts w:eastAsiaTheme="minorEastAsia"/>
          <w:color w:val="000000"/>
          <w:sz w:val="22"/>
          <w:szCs w:val="22"/>
        </w:rPr>
        <w:t xml:space="preserve">]. </w:t>
      </w:r>
      <w:r w:rsidRPr="008126BD">
        <w:rPr>
          <w:rFonts w:eastAsiaTheme="minorEastAsia"/>
          <w:sz w:val="22"/>
          <w:szCs w:val="22"/>
          <w:lang w:eastAsia="ko-KR"/>
        </w:rPr>
        <w:t>However, estimating the magnitude and durability of this protection in the population has become a challenge because of the surge in the omicron (B.1.1.529) variant</w:t>
      </w:r>
      <w:r w:rsidR="002F0C3B">
        <w:rPr>
          <w:rFonts w:eastAsiaTheme="minorEastAsia"/>
          <w:sz w:val="22"/>
          <w:szCs w:val="22"/>
          <w:lang w:eastAsia="ko-KR"/>
        </w:rPr>
        <w:t xml:space="preserve">, </w:t>
      </w:r>
      <w:r w:rsidRPr="008126BD">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F0C3B">
        <w:rPr>
          <w:rFonts w:eastAsiaTheme="minorEastAsia"/>
          <w:sz w:val="22"/>
          <w:szCs w:val="22"/>
          <w:lang w:eastAsia="ko-KR"/>
        </w:rPr>
        <w:t xml:space="preserve"> </w:t>
      </w:r>
      <w:r w:rsidR="002F0C3B">
        <w:rPr>
          <w:rFonts w:eastAsiaTheme="minorEastAsia"/>
          <w:sz w:val="22"/>
          <w:szCs w:val="22"/>
          <w:lang w:eastAsia="ko-KR"/>
        </w:rPr>
        <w:t>[</w:t>
      </w:r>
      <w:r w:rsidR="002F0C3B" w:rsidRPr="002F0C3B">
        <w:rPr>
          <w:rFonts w:eastAsiaTheme="minorEastAsia"/>
          <w:color w:val="FF0000"/>
          <w:sz w:val="22"/>
          <w:szCs w:val="22"/>
        </w:rPr>
        <w:t>3</w:t>
      </w:r>
      <w:r w:rsidR="002F0C3B">
        <w:rPr>
          <w:rFonts w:eastAsiaTheme="minorEastAsia"/>
          <w:sz w:val="22"/>
          <w:szCs w:val="22"/>
          <w:lang w:eastAsia="ko-KR"/>
        </w:rPr>
        <w:t>]</w:t>
      </w:r>
      <w:r w:rsidRPr="008126BD">
        <w:rPr>
          <w:rFonts w:eastAsiaTheme="minorEastAsia"/>
          <w:sz w:val="22"/>
          <w:szCs w:val="22"/>
          <w:lang w:eastAsia="ko-KR"/>
        </w:rPr>
        <w:t>.</w:t>
      </w:r>
      <w:r w:rsidR="002F0C3B">
        <w:rPr>
          <w:rFonts w:eastAsiaTheme="minorEastAsia"/>
          <w:sz w:val="22"/>
          <w:szCs w:val="22"/>
          <w:lang w:eastAsia="ko-KR"/>
        </w:rPr>
        <w:t xml:space="preserve"> </w:t>
      </w:r>
      <w:r w:rsidRPr="008126BD">
        <w:rPr>
          <w:rFonts w:eastAsiaTheme="minorEastAsia"/>
          <w:sz w:val="22"/>
          <w:szCs w:val="22"/>
          <w:lang w:eastAsia="ko-KR"/>
        </w:rPr>
        <w:t xml:space="preserve"> Moreover, m</w:t>
      </w:r>
      <w:r w:rsidRPr="008126BD">
        <w:rPr>
          <w:rFonts w:eastAsiaTheme="minorEastAsia"/>
          <w:color w:val="000000"/>
          <w:sz w:val="22"/>
          <w:szCs w:val="22"/>
        </w:rPr>
        <w:t xml:space="preserve">ost </w:t>
      </w:r>
      <w:r w:rsidRPr="008126BD">
        <w:rPr>
          <w:rFonts w:eastAsiaTheme="minorEastAsia"/>
          <w:color w:val="000000"/>
          <w:sz w:val="22"/>
          <w:szCs w:val="22"/>
          <w:lang w:eastAsia="ko-KR"/>
        </w:rPr>
        <w:t xml:space="preserve">existing </w:t>
      </w:r>
      <w:proofErr w:type="spellStart"/>
      <w:r w:rsidRPr="008126BD">
        <w:rPr>
          <w:rFonts w:eastAsiaTheme="minorEastAsia"/>
          <w:color w:val="000000"/>
          <w:sz w:val="22"/>
          <w:szCs w:val="22"/>
        </w:rPr>
        <w:lastRenderedPageBreak/>
        <w:t>seroepidemiological</w:t>
      </w:r>
      <w:proofErr w:type="spellEnd"/>
      <w:r w:rsidRPr="008126BD">
        <w:rPr>
          <w:rFonts w:eastAsiaTheme="minorEastAsia"/>
          <w:color w:val="000000"/>
          <w:sz w:val="22"/>
          <w:szCs w:val="22"/>
        </w:rPr>
        <w:t xml:space="preserve"> studies have focused</w:t>
      </w:r>
      <w:r w:rsidRPr="008126BD">
        <w:rPr>
          <w:rFonts w:eastAsiaTheme="minorEastAsia"/>
          <w:color w:val="000000"/>
          <w:sz w:val="22"/>
          <w:szCs w:val="22"/>
          <w:lang w:eastAsia="ko-KR"/>
        </w:rPr>
        <w:t xml:space="preserve"> </w:t>
      </w:r>
      <w:r w:rsidRPr="008126BD">
        <w:rPr>
          <w:rFonts w:eastAsiaTheme="minorEastAsia"/>
          <w:color w:val="000000"/>
          <w:sz w:val="22"/>
          <w:szCs w:val="22"/>
        </w:rPr>
        <w:t>on specific groups (e.g., healthcare workers)</w:t>
      </w:r>
      <w:r w:rsidR="002F0C3B">
        <w:rPr>
          <w:rFonts w:eastAsiaTheme="minorEastAsia"/>
          <w:color w:val="000000"/>
          <w:sz w:val="22"/>
          <w:szCs w:val="22"/>
        </w:rPr>
        <w:t xml:space="preserve">, </w:t>
      </w:r>
      <w:r w:rsidRPr="008126BD">
        <w:rPr>
          <w:rFonts w:eastAsiaTheme="minorEastAsia"/>
          <w:color w:val="000000"/>
          <w:sz w:val="22"/>
          <w:szCs w:val="22"/>
          <w:lang w:eastAsia="ko-KR"/>
        </w:rPr>
        <w:t>and the</w:t>
      </w:r>
      <w:r w:rsidRPr="008126BD">
        <w:rPr>
          <w:rFonts w:eastAsiaTheme="minorEastAsia"/>
          <w:color w:val="000000"/>
          <w:sz w:val="22"/>
          <w:szCs w:val="22"/>
        </w:rPr>
        <w:t xml:space="preserve"> durability of antibody responses after infection</w:t>
      </w:r>
      <w:r w:rsidRPr="008126BD">
        <w:rPr>
          <w:rFonts w:eastAsiaTheme="minorEastAsia"/>
          <w:color w:val="000000"/>
          <w:sz w:val="22"/>
          <w:szCs w:val="22"/>
          <w:lang w:eastAsia="ko-KR"/>
        </w:rPr>
        <w:t xml:space="preserve"> </w:t>
      </w:r>
      <w:r w:rsidRPr="008126BD">
        <w:rPr>
          <w:rFonts w:eastAsiaTheme="minorEastAsia"/>
          <w:color w:val="000000"/>
          <w:sz w:val="22"/>
          <w:szCs w:val="22"/>
        </w:rPr>
        <w:t>and/or vaccination is less well explored within the general</w:t>
      </w:r>
      <w:r w:rsidRPr="008126BD">
        <w:rPr>
          <w:rFonts w:eastAsiaTheme="minorEastAsia"/>
          <w:color w:val="000000"/>
          <w:sz w:val="22"/>
          <w:szCs w:val="22"/>
          <w:lang w:eastAsia="ko-KR"/>
        </w:rPr>
        <w:t xml:space="preserve"> </w:t>
      </w:r>
      <w:r w:rsidRPr="008126BD">
        <w:rPr>
          <w:rFonts w:eastAsiaTheme="minorEastAsia"/>
          <w:color w:val="000000"/>
          <w:sz w:val="22"/>
          <w:szCs w:val="22"/>
        </w:rPr>
        <w:t>population [</w:t>
      </w:r>
      <w:r w:rsidR="002F0C3B" w:rsidRPr="002F0C3B">
        <w:rPr>
          <w:rFonts w:eastAsiaTheme="minorEastAsia"/>
          <w:color w:val="FF0000"/>
          <w:sz w:val="22"/>
          <w:szCs w:val="22"/>
          <w:highlight w:val="yellow"/>
        </w:rPr>
        <w:t>Ref???</w:t>
      </w:r>
      <w:r w:rsidRPr="008126BD">
        <w:rPr>
          <w:rFonts w:eastAsiaTheme="minorEastAsia"/>
          <w:color w:val="000000"/>
          <w:sz w:val="22"/>
          <w:szCs w:val="22"/>
        </w:rPr>
        <w:t>].</w:t>
      </w:r>
      <w:r w:rsidRPr="008126BD">
        <w:rPr>
          <w:rFonts w:eastAsiaTheme="minorEastAsia"/>
          <w:color w:val="000000"/>
          <w:sz w:val="22"/>
          <w:szCs w:val="22"/>
          <w:lang w:eastAsia="ko-KR"/>
        </w:rPr>
        <w:t xml:space="preserve"> </w:t>
      </w:r>
    </w:p>
    <w:p w14:paraId="7C6AD60A" w14:textId="77777777" w:rsidR="00D3651D" w:rsidRPr="008126BD" w:rsidRDefault="00D3651D" w:rsidP="00D3651D">
      <w:pPr>
        <w:widowControl/>
        <w:adjustRightInd w:val="0"/>
        <w:spacing w:line="276" w:lineRule="auto"/>
        <w:rPr>
          <w:rFonts w:eastAsiaTheme="minorEastAsia"/>
          <w:color w:val="000000"/>
        </w:rPr>
      </w:pPr>
    </w:p>
    <w:p w14:paraId="29A22A21" w14:textId="7DF9A618" w:rsidR="00D3651D" w:rsidRDefault="00D3651D" w:rsidP="008D184F">
      <w:pPr>
        <w:widowControl/>
        <w:adjustRightInd w:val="0"/>
        <w:spacing w:line="276" w:lineRule="auto"/>
        <w:jc w:val="both"/>
        <w:rPr>
          <w:rFonts w:eastAsiaTheme="minorEastAsia"/>
          <w:lang w:eastAsia="ko-KR"/>
        </w:rPr>
      </w:pPr>
      <w:r w:rsidRPr="008126BD">
        <w:rPr>
          <w:rFonts w:eastAsiaTheme="minorEastAsia"/>
          <w:lang w:eastAsia="ko-KR"/>
        </w:rPr>
        <w:t>Systematic reviews of SARS-CoV-2 vaccine effectiveness studies have provided clarity on the durability of protection for different variants of concern</w:t>
      </w:r>
      <w:r w:rsidR="002F0C3B">
        <w:rPr>
          <w:rFonts w:eastAsiaTheme="minorEastAsia"/>
          <w:lang w:eastAsia="ko-KR"/>
        </w:rPr>
        <w:t xml:space="preserve"> [</w:t>
      </w:r>
      <w:r w:rsidR="002F0C3B" w:rsidRPr="002F0C3B">
        <w:rPr>
          <w:rFonts w:eastAsiaTheme="minorEastAsia"/>
          <w:color w:val="FF0000"/>
          <w:lang w:eastAsia="ko-KR"/>
        </w:rPr>
        <w:t>4</w:t>
      </w:r>
      <w:r w:rsidRPr="002F0C3B">
        <w:rPr>
          <w:rFonts w:eastAsiaTheme="minorEastAsia"/>
          <w:color w:val="FF0000"/>
          <w:lang w:eastAsia="ko-KR"/>
        </w:rPr>
        <w:t>,</w:t>
      </w:r>
      <w:r w:rsidR="002F0C3B" w:rsidRPr="002F0C3B">
        <w:rPr>
          <w:rFonts w:eastAsiaTheme="minorEastAsia"/>
          <w:color w:val="FF0000"/>
          <w:lang w:eastAsia="ko-KR"/>
        </w:rPr>
        <w:t xml:space="preserve"> 5</w:t>
      </w:r>
      <w:r w:rsidR="002F0C3B">
        <w:rPr>
          <w:rFonts w:eastAsiaTheme="minorEastAsia"/>
          <w:lang w:eastAsia="ko-KR"/>
        </w:rPr>
        <w:t>].</w:t>
      </w:r>
      <w:r w:rsidRPr="008126BD">
        <w:rPr>
          <w:rFonts w:eastAsiaTheme="minorEastAsia"/>
          <w:lang w:eastAsia="ko-KR"/>
        </w:rPr>
        <w:t xml:space="preserve"> These studies have compared protection among vaccinated individuals to that in unvaccinated individuals and compared protection between different numbers of doses. Another recent systematic review estimated the durability of protection conferred by hybrid immunity</w:t>
      </w:r>
      <w:r w:rsidR="002F0C3B">
        <w:rPr>
          <w:rFonts w:eastAsiaTheme="minorEastAsia"/>
          <w:lang w:eastAsia="ko-KR"/>
        </w:rPr>
        <w:t xml:space="preserve"> </w:t>
      </w:r>
      <w:r w:rsidRPr="008126BD">
        <w:rPr>
          <w:rFonts w:eastAsiaTheme="minorEastAsia"/>
          <w:lang w:eastAsia="ko-KR"/>
        </w:rPr>
        <w:t>and previous infection alone against multiple clinical outcomes of SARS-CoV-2 infection caused by the omicron variant</w:t>
      </w:r>
      <w:r w:rsidR="002F0C3B">
        <w:rPr>
          <w:rFonts w:eastAsiaTheme="minorEastAsia"/>
          <w:lang w:eastAsia="ko-KR"/>
        </w:rPr>
        <w:t xml:space="preserve"> [</w:t>
      </w:r>
      <w:r w:rsidR="002F0C3B">
        <w:rPr>
          <w:rFonts w:eastAsiaTheme="minorEastAsia"/>
          <w:color w:val="FF0000"/>
          <w:lang w:eastAsia="ko-KR"/>
        </w:rPr>
        <w:t>6</w:t>
      </w:r>
      <w:r w:rsidR="002F0C3B">
        <w:rPr>
          <w:rFonts w:eastAsiaTheme="minorEastAsia"/>
          <w:lang w:eastAsia="ko-KR"/>
        </w:rPr>
        <w:t>]</w:t>
      </w:r>
      <w:r w:rsidRPr="008126BD">
        <w:rPr>
          <w:rFonts w:eastAsiaTheme="minorEastAsia"/>
          <w:lang w:eastAsia="ko-KR"/>
        </w:rPr>
        <w:t>. This systematic review and meta-regression found that both previous infection alone and previous infection combined with previous vaccination (</w:t>
      </w:r>
      <w:r w:rsidR="004567C4">
        <w:rPr>
          <w:rFonts w:eastAsiaTheme="minorEastAsia"/>
          <w:lang w:eastAsia="ko-KR"/>
        </w:rPr>
        <w:t>i.e., hybrid immunity) conferred rapidly waning protection against SARS-CoV-2 infection with the omicron variant</w:t>
      </w:r>
      <w:r w:rsidRPr="008126BD">
        <w:rPr>
          <w:rFonts w:eastAsiaTheme="minorEastAsia"/>
          <w:lang w:eastAsia="ko-KR"/>
        </w:rPr>
        <w:t xml:space="preserve"> but high and sustained protection against hospital admission or severe disease due to the omicron variant. The study also determined that previous infection was found to provide higher protection against reinfection and more sustained protection against hospital admission or severe disease than vaccination alone. Such </w:t>
      </w:r>
      <w:r w:rsidR="004567C4">
        <w:rPr>
          <w:rFonts w:eastAsiaTheme="minorEastAsia"/>
          <w:lang w:eastAsia="ko-KR"/>
        </w:rPr>
        <w:t xml:space="preserve">a </w:t>
      </w:r>
      <w:r w:rsidRPr="008126BD">
        <w:rPr>
          <w:rFonts w:eastAsiaTheme="minorEastAsia"/>
          <w:lang w:eastAsia="ko-KR"/>
        </w:rPr>
        <w:t xml:space="preserve">pattern might be explained by natural infection invoking a more diverse immune response to multiple antigenic sites on the virus compared to the immunity developed through vaccines that target only spike antigens. However, individuals with hybrid immunity had the highest magnitude and durability of protection against all outcomes, </w:t>
      </w:r>
      <w:r w:rsidR="004567C4">
        <w:rPr>
          <w:rFonts w:eastAsiaTheme="minorEastAsia"/>
          <w:lang w:eastAsia="ko-KR"/>
        </w:rPr>
        <w:t>emphasizing</w:t>
      </w:r>
      <w:r w:rsidRPr="008126BD">
        <w:rPr>
          <w:rFonts w:eastAsiaTheme="minorEastAsia"/>
          <w:lang w:eastAsia="ko-KR"/>
        </w:rPr>
        <w:t xml:space="preserve"> the importance of providing vaccination to previously infected individuals. Infection-induced protection against reinfection wanes rapidly, and vaccination 564 increases durability.</w:t>
      </w:r>
    </w:p>
    <w:p w14:paraId="79296791" w14:textId="77777777" w:rsidR="002F0C3B" w:rsidRDefault="002F0C3B" w:rsidP="008D184F">
      <w:pPr>
        <w:widowControl/>
        <w:adjustRightInd w:val="0"/>
        <w:spacing w:line="276" w:lineRule="auto"/>
        <w:jc w:val="both"/>
        <w:rPr>
          <w:rFonts w:eastAsiaTheme="minorEastAsia"/>
          <w:lang w:eastAsia="ko-KR"/>
        </w:rPr>
      </w:pPr>
    </w:p>
    <w:p w14:paraId="4E573291" w14:textId="77777777" w:rsidR="002F0C3B" w:rsidRDefault="002F0C3B" w:rsidP="00D3651D">
      <w:pPr>
        <w:pStyle w:val="BodyText"/>
        <w:kinsoku w:val="0"/>
        <w:overflowPunct w:val="0"/>
        <w:spacing w:line="276" w:lineRule="auto"/>
        <w:ind w:left="0"/>
        <w:jc w:val="both"/>
        <w:rPr>
          <w:rFonts w:eastAsiaTheme="minorEastAsia"/>
          <w:sz w:val="22"/>
          <w:szCs w:val="22"/>
          <w:lang w:eastAsia="ko-KR"/>
        </w:rPr>
      </w:pPr>
      <w:r w:rsidRPr="002F0C3B">
        <w:rPr>
          <w:rFonts w:eastAsiaTheme="minorEastAsia"/>
          <w:sz w:val="22"/>
          <w:szCs w:val="22"/>
          <w:lang w:eastAsia="ko-KR"/>
        </w:rPr>
        <w:t>To establish a protective threshold based on antibody levels, a 2021 study analyzed data from seven vaccines and convalescent cohorts to develop a predictive model [</w:t>
      </w:r>
      <w:r w:rsidRPr="002F0C3B">
        <w:rPr>
          <w:rFonts w:eastAsiaTheme="minorEastAsia"/>
          <w:color w:val="FF0000"/>
          <w:sz w:val="22"/>
          <w:szCs w:val="22"/>
          <w:lang w:eastAsia="ko-KR"/>
        </w:rPr>
        <w:t>7</w:t>
      </w:r>
      <w:r w:rsidRPr="002F0C3B">
        <w:rPr>
          <w:rFonts w:eastAsiaTheme="minorEastAsia"/>
          <w:sz w:val="22"/>
          <w:szCs w:val="22"/>
          <w:lang w:eastAsia="ko-KR"/>
        </w:rPr>
        <w:t xml:space="preserve">]. This research estimated that a neutralization level equivalent to 20.2% of the mean convalescent level is necessary to achieve 50% protection against detectable SARS-CoV-2 infection. Furthermore, the study found that a significantly lower neutralization level, at 3% of the mean convalescent level, is required for 50% protection against severe infection. Another 2021 study, which involved a randomized efficacy trial of the ChAdOx1 nCoV-19 (AZD1222) vaccine in the United Kingdom, demonstrated that higher levels of immune markers correlated with a reduced risk of symptomatic infection, particularly against the Alpha variant. Specifically, 80% vaccine efficacy against symptomatic infection was associated with specific levels of anti-spike and anti-RBD antibodies, as well as </w:t>
      </w:r>
      <w:proofErr w:type="spellStart"/>
      <w:r w:rsidRPr="002F0C3B">
        <w:rPr>
          <w:rFonts w:eastAsiaTheme="minorEastAsia"/>
          <w:sz w:val="22"/>
          <w:szCs w:val="22"/>
          <w:lang w:eastAsia="ko-KR"/>
        </w:rPr>
        <w:t>pseudovirus</w:t>
      </w:r>
      <w:proofErr w:type="spellEnd"/>
      <w:r w:rsidRPr="002F0C3B">
        <w:rPr>
          <w:rFonts w:eastAsiaTheme="minorEastAsia"/>
          <w:sz w:val="22"/>
          <w:szCs w:val="22"/>
          <w:lang w:eastAsia="ko-KR"/>
        </w:rPr>
        <w:t xml:space="preserve"> and live-virus neutralization titers [</w:t>
      </w:r>
      <w:r w:rsidRPr="002F0C3B">
        <w:rPr>
          <w:rFonts w:eastAsiaTheme="minorEastAsia"/>
          <w:color w:val="FF0000"/>
          <w:sz w:val="22"/>
          <w:szCs w:val="22"/>
          <w:lang w:eastAsia="ko-KR"/>
        </w:rPr>
        <w:t>8</w:t>
      </w:r>
      <w:r w:rsidRPr="002F0C3B">
        <w:rPr>
          <w:rFonts w:eastAsiaTheme="minorEastAsia"/>
          <w:sz w:val="22"/>
          <w:szCs w:val="22"/>
          <w:lang w:eastAsia="ko-KR"/>
        </w:rPr>
        <w:t>]. Additionally, another study from the same year provided a more detailed analysis of the trend in neutralizing antibody levels across different demographics, revealing that these levels declined rapidly within three months following the second vaccine dose, with significantly lower titers observed in men, older adults, and immunosuppressed individuals six months post-vaccination compared to women, younger adults, and those without immunosuppression [</w:t>
      </w:r>
      <w:r w:rsidRPr="002F0C3B">
        <w:rPr>
          <w:rFonts w:eastAsiaTheme="minorEastAsia"/>
          <w:color w:val="FF0000"/>
          <w:sz w:val="22"/>
          <w:szCs w:val="22"/>
          <w:lang w:eastAsia="ko-KR"/>
        </w:rPr>
        <w:t>9</w:t>
      </w:r>
      <w:r w:rsidRPr="002F0C3B">
        <w:rPr>
          <w:rFonts w:eastAsiaTheme="minorEastAsia"/>
          <w:sz w:val="22"/>
          <w:szCs w:val="22"/>
          <w:lang w:eastAsia="ko-KR"/>
        </w:rPr>
        <w:t xml:space="preserve">]. </w:t>
      </w:r>
    </w:p>
    <w:p w14:paraId="4BEB5E63" w14:textId="77777777" w:rsidR="002F0C3B" w:rsidRDefault="002F0C3B" w:rsidP="00D3651D">
      <w:pPr>
        <w:pStyle w:val="BodyText"/>
        <w:kinsoku w:val="0"/>
        <w:overflowPunct w:val="0"/>
        <w:spacing w:line="276" w:lineRule="auto"/>
        <w:ind w:left="0"/>
        <w:jc w:val="both"/>
        <w:rPr>
          <w:rFonts w:eastAsiaTheme="minorEastAsia"/>
          <w:sz w:val="22"/>
          <w:szCs w:val="22"/>
          <w:lang w:eastAsia="ko-KR"/>
        </w:rPr>
      </w:pPr>
    </w:p>
    <w:p w14:paraId="443DAC02" w14:textId="1497AF4C" w:rsidR="002F0C3B" w:rsidRPr="002F0C3B" w:rsidRDefault="002F0C3B" w:rsidP="00D3651D">
      <w:pPr>
        <w:pStyle w:val="BodyText"/>
        <w:kinsoku w:val="0"/>
        <w:overflowPunct w:val="0"/>
        <w:spacing w:line="276" w:lineRule="auto"/>
        <w:ind w:left="0"/>
        <w:jc w:val="both"/>
        <w:rPr>
          <w:rFonts w:eastAsiaTheme="minorEastAsia"/>
          <w:sz w:val="22"/>
          <w:szCs w:val="22"/>
          <w:lang w:eastAsia="ko-KR"/>
        </w:rPr>
      </w:pPr>
      <w:r w:rsidRPr="002F0C3B">
        <w:rPr>
          <w:rFonts w:eastAsiaTheme="minorEastAsia"/>
          <w:sz w:val="22"/>
          <w:szCs w:val="22"/>
          <w:lang w:eastAsia="ko-KR"/>
        </w:rPr>
        <w:t>Earlier research into the mechanisms of vaccine-induced immunity also suggested that vaccines which elicit high levels of virus-neutralizing antibodies are likely to be the most effective in preventing infection and mitigating adverse outcomes [</w:t>
      </w:r>
      <w:r w:rsidRPr="002F0C3B">
        <w:rPr>
          <w:rFonts w:eastAsiaTheme="minorEastAsia"/>
          <w:color w:val="FF0000"/>
          <w:sz w:val="22"/>
          <w:szCs w:val="22"/>
          <w:lang w:eastAsia="ko-KR"/>
        </w:rPr>
        <w:t>10</w:t>
      </w:r>
      <w:r w:rsidRPr="002F0C3B">
        <w:rPr>
          <w:rFonts w:eastAsiaTheme="minorEastAsia"/>
          <w:sz w:val="22"/>
          <w:szCs w:val="22"/>
          <w:lang w:eastAsia="ko-KR"/>
        </w:rPr>
        <w:t>].</w:t>
      </w:r>
      <w:r>
        <w:rPr>
          <w:rFonts w:eastAsiaTheme="minorEastAsia"/>
          <w:sz w:val="22"/>
          <w:szCs w:val="22"/>
          <w:lang w:eastAsia="ko-KR"/>
        </w:rPr>
        <w:t xml:space="preserve"> </w:t>
      </w:r>
      <w:r w:rsidRPr="002F0C3B">
        <w:rPr>
          <w:rFonts w:eastAsiaTheme="minorEastAsia"/>
          <w:color w:val="000000"/>
          <w:sz w:val="22"/>
          <w:szCs w:val="22"/>
          <w:lang w:eastAsia="ko-KR"/>
        </w:rPr>
        <w:t xml:space="preserve">Moreover, the research from </w:t>
      </w:r>
      <w:r w:rsidRPr="002F0C3B">
        <w:rPr>
          <w:rFonts w:eastAsiaTheme="minorEastAsia"/>
          <w:color w:val="0E0E0E"/>
          <w:sz w:val="22"/>
          <w:szCs w:val="22"/>
          <w:lang w:eastAsia="ko-KR"/>
          <w14:ligatures w14:val="standardContextual"/>
        </w:rPr>
        <w:t>Earle et al.</w:t>
      </w:r>
      <w:r w:rsidRPr="002F0C3B">
        <w:rPr>
          <w:rFonts w:eastAsiaTheme="minorEastAsia"/>
          <w:color w:val="0E0E0E"/>
          <w:sz w:val="22"/>
          <w:szCs w:val="22"/>
          <w:lang w:eastAsia="ko-KR"/>
          <w14:ligatures w14:val="standardContextual"/>
        </w:rPr>
        <w:t xml:space="preserve"> u</w:t>
      </w:r>
      <w:r w:rsidRPr="002F0C3B">
        <w:rPr>
          <w:rFonts w:eastAsiaTheme="minorEastAsia"/>
          <w:color w:val="0E0E0E"/>
          <w:sz w:val="22"/>
          <w:szCs w:val="22"/>
          <w:lang w:eastAsia="ko-KR"/>
          <w14:ligatures w14:val="standardContextual"/>
        </w:rPr>
        <w:t>nderscores the urgent need for a correlate of protection (CoP) to accelerate the development of additional COVID-19 vaccines</w:t>
      </w:r>
      <w:r>
        <w:rPr>
          <w:rFonts w:eastAsiaTheme="minorEastAsia"/>
          <w:color w:val="0E0E0E"/>
          <w:sz w:val="22"/>
          <w:szCs w:val="22"/>
          <w:lang w:eastAsia="ko-KR"/>
          <w14:ligatures w14:val="standardContextual"/>
        </w:rPr>
        <w:t xml:space="preserve"> [</w:t>
      </w:r>
      <w:r w:rsidRPr="002F0C3B">
        <w:rPr>
          <w:rFonts w:eastAsiaTheme="minorEastAsia"/>
          <w:color w:val="FF0000"/>
          <w:sz w:val="22"/>
          <w:szCs w:val="22"/>
          <w:lang w:eastAsia="ko-KR"/>
          <w14:ligatures w14:val="standardContextual"/>
        </w:rPr>
        <w:t>11</w:t>
      </w:r>
      <w:r>
        <w:rPr>
          <w:rFonts w:eastAsiaTheme="minorEastAsia"/>
          <w:color w:val="0E0E0E"/>
          <w:sz w:val="22"/>
          <w:szCs w:val="22"/>
          <w:lang w:eastAsia="ko-KR"/>
          <w14:ligatures w14:val="standardContextual"/>
        </w:rPr>
        <w:t>]</w:t>
      </w:r>
      <w:r w:rsidRPr="002F0C3B">
        <w:rPr>
          <w:rFonts w:eastAsiaTheme="minorEastAsia"/>
          <w:color w:val="0E0E0E"/>
          <w:sz w:val="22"/>
          <w:szCs w:val="22"/>
          <w:lang w:eastAsia="ko-KR"/>
          <w14:ligatures w14:val="standardContextual"/>
        </w:rPr>
        <w:t xml:space="preserve">. By evaluating the relationship between vaccine efficacy and in vitro antibody titers from seven vaccines, </w:t>
      </w:r>
      <w:r>
        <w:rPr>
          <w:rFonts w:eastAsiaTheme="minorEastAsia"/>
          <w:color w:val="0E0E0E"/>
          <w:sz w:val="22"/>
          <w:szCs w:val="22"/>
          <w:lang w:eastAsia="ko-KR"/>
          <w14:ligatures w14:val="standardContextual"/>
        </w:rPr>
        <w:t>they</w:t>
      </w:r>
      <w:r w:rsidRPr="002F0C3B">
        <w:rPr>
          <w:rFonts w:eastAsiaTheme="minorEastAsia"/>
          <w:color w:val="0E0E0E"/>
          <w:sz w:val="22"/>
          <w:szCs w:val="22"/>
          <w:lang w:eastAsia="ko-KR"/>
          <w14:ligatures w14:val="standardContextual"/>
        </w:rPr>
        <w:t xml:space="preserve"> found strong correlations between neutralizing titers and efficacy (ρ = 0.79) and between binding antibody titers and efficacy (ρ = 0.93).</w:t>
      </w:r>
    </w:p>
    <w:p w14:paraId="5054C49C" w14:textId="77777777" w:rsidR="002F0C3B" w:rsidRDefault="002F0C3B" w:rsidP="00D3651D">
      <w:pPr>
        <w:pStyle w:val="BodyText"/>
        <w:kinsoku w:val="0"/>
        <w:overflowPunct w:val="0"/>
        <w:spacing w:line="276" w:lineRule="auto"/>
        <w:ind w:left="0"/>
        <w:jc w:val="both"/>
        <w:rPr>
          <w:rFonts w:eastAsiaTheme="minorEastAsia"/>
          <w:color w:val="000000"/>
          <w:sz w:val="22"/>
          <w:szCs w:val="22"/>
          <w:lang w:eastAsia="ko-KR"/>
        </w:rPr>
      </w:pPr>
    </w:p>
    <w:p w14:paraId="54314EA7" w14:textId="787535C6" w:rsidR="00D3651D" w:rsidRDefault="002F0C3B" w:rsidP="00D3651D">
      <w:pPr>
        <w:pStyle w:val="BodyText"/>
        <w:kinsoku w:val="0"/>
        <w:overflowPunct w:val="0"/>
        <w:spacing w:line="276" w:lineRule="auto"/>
        <w:ind w:left="0"/>
        <w:jc w:val="both"/>
        <w:rPr>
          <w:rFonts w:eastAsiaTheme="minorEastAsia"/>
          <w:sz w:val="22"/>
          <w:szCs w:val="22"/>
          <w:lang w:eastAsia="ko-KR"/>
        </w:rPr>
      </w:pPr>
      <w:r w:rsidRPr="002F0C3B">
        <w:rPr>
          <w:rFonts w:eastAsiaTheme="minorEastAsia"/>
          <w:color w:val="000000"/>
          <w:sz w:val="22"/>
          <w:szCs w:val="22"/>
          <w:lang w:eastAsia="ko-KR"/>
        </w:rPr>
        <w:t>In South Korea, a large majority of the population has either hybrid or vaccine-induced immunity, with only 7.6% having previous infection alone and 9.9% with no immunity. When the Omicron variant emerged, the presumed population immunity was between 80% and 85%, although nearly half of the children were estimated to have no immunity</w:t>
      </w:r>
      <w:r>
        <w:rPr>
          <w:rFonts w:eastAsiaTheme="minorEastAsia"/>
          <w:color w:val="000000"/>
          <w:sz w:val="22"/>
          <w:szCs w:val="22"/>
          <w:lang w:eastAsia="ko-KR"/>
        </w:rPr>
        <w:t xml:space="preserve"> [</w:t>
      </w:r>
      <w:r w:rsidRPr="002F0C3B">
        <w:rPr>
          <w:rFonts w:eastAsiaTheme="minorEastAsia"/>
          <w:color w:val="FF0000"/>
          <w:sz w:val="22"/>
          <w:szCs w:val="22"/>
          <w:lang w:eastAsia="ko-KR"/>
        </w:rPr>
        <w:t>12</w:t>
      </w:r>
      <w:r>
        <w:rPr>
          <w:rFonts w:eastAsiaTheme="minorEastAsia"/>
          <w:color w:val="000000"/>
          <w:sz w:val="22"/>
          <w:szCs w:val="22"/>
          <w:lang w:eastAsia="ko-KR"/>
        </w:rPr>
        <w:t>]</w:t>
      </w:r>
      <w:r w:rsidRPr="002F0C3B">
        <w:rPr>
          <w:rFonts w:eastAsiaTheme="minorEastAsia"/>
          <w:color w:val="000000"/>
          <w:sz w:val="22"/>
          <w:szCs w:val="22"/>
          <w:lang w:eastAsia="ko-KR"/>
        </w:rPr>
        <w:t>.</w:t>
      </w:r>
      <w:r>
        <w:rPr>
          <w:rFonts w:eastAsiaTheme="minorEastAsia"/>
          <w:color w:val="000000"/>
          <w:sz w:val="22"/>
          <w:szCs w:val="22"/>
          <w:lang w:eastAsia="ko-KR"/>
        </w:rPr>
        <w:t xml:space="preserve"> </w:t>
      </w:r>
      <w:r w:rsidRPr="002F0C3B">
        <w:rPr>
          <w:rFonts w:eastAsiaTheme="minorEastAsia"/>
          <w:color w:val="000000"/>
          <w:sz w:val="22"/>
          <w:szCs w:val="22"/>
          <w:lang w:eastAsia="ko-KR"/>
        </w:rPr>
        <w:t xml:space="preserve">In this study, we directly compared anti-S levels and the relative incidence of breakthrough infections between groups with hybrid immunity and those with vaccine-induced immunity, given that neutralizing antibodies are a subset of spike (S) antibodies. We utilized data from a nationwide community-based cohort, </w:t>
      </w:r>
      <w:r w:rsidRPr="002F0C3B">
        <w:rPr>
          <w:rFonts w:eastAsiaTheme="minorEastAsia"/>
          <w:color w:val="000000"/>
          <w:sz w:val="22"/>
          <w:szCs w:val="22"/>
          <w:lang w:eastAsia="ko-KR"/>
        </w:rPr>
        <w:lastRenderedPageBreak/>
        <w:t>allowing for large-scale analysis across various age subgroups. This cohort enabled us to conduct follow-up assessments with repeated antibody testing in August and December 2022, alongside detailed demographic and clinical characterization.</w:t>
      </w:r>
      <w:r>
        <w:rPr>
          <w:rFonts w:eastAsiaTheme="minorEastAsia"/>
          <w:color w:val="000000"/>
          <w:sz w:val="22"/>
          <w:szCs w:val="22"/>
          <w:lang w:eastAsia="ko-KR"/>
        </w:rPr>
        <w:t xml:space="preserve"> </w:t>
      </w:r>
      <w:r w:rsidRPr="002F0C3B">
        <w:rPr>
          <w:rFonts w:eastAsiaTheme="minorEastAsia"/>
          <w:sz w:val="22"/>
          <w:szCs w:val="22"/>
          <w:lang w:eastAsia="ko-KR"/>
        </w:rPr>
        <w:t>The objectives of this research are threefold: First, 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02A33B75" w14:textId="77777777" w:rsidR="00D3651D" w:rsidRDefault="00D3651D" w:rsidP="00D3651D">
      <w:pPr>
        <w:pStyle w:val="Heading1"/>
        <w:tabs>
          <w:tab w:val="left" w:pos="633"/>
          <w:tab w:val="left" w:pos="634"/>
        </w:tabs>
        <w:spacing w:before="0" w:line="276" w:lineRule="auto"/>
        <w:rPr>
          <w:rFonts w:eastAsiaTheme="minorEastAsia"/>
          <w:sz w:val="22"/>
          <w:szCs w:val="22"/>
          <w:lang w:eastAsia="zh-CN"/>
        </w:rPr>
      </w:pPr>
    </w:p>
    <w:p w14:paraId="4B2CA25D" w14:textId="77777777" w:rsidR="00D3651D" w:rsidRPr="004567C4" w:rsidRDefault="00D3651D" w:rsidP="00D3651D">
      <w:pPr>
        <w:pStyle w:val="Heading1"/>
        <w:tabs>
          <w:tab w:val="left" w:pos="633"/>
          <w:tab w:val="left" w:pos="634"/>
        </w:tabs>
        <w:spacing w:before="0" w:after="0" w:line="276" w:lineRule="auto"/>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Methods</w:t>
      </w:r>
    </w:p>
    <w:p w14:paraId="0A5D9FBC" w14:textId="77777777" w:rsidR="00D3651D" w:rsidRPr="004567C4" w:rsidRDefault="00D3651D" w:rsidP="00D3651D">
      <w:pPr>
        <w:pStyle w:val="Heading2"/>
        <w:tabs>
          <w:tab w:val="left" w:pos="762"/>
          <w:tab w:val="left" w:pos="763"/>
        </w:tabs>
        <w:spacing w:before="0" w:after="0" w:line="276" w:lineRule="auto"/>
        <w:rPr>
          <w:rFonts w:ascii="Times New Roman" w:eastAsiaTheme="minorEastAsia" w:hAnsi="Times New Roman" w:cs="Times New Roman"/>
          <w:color w:val="000000" w:themeColor="text1"/>
          <w:sz w:val="22"/>
          <w:szCs w:val="22"/>
          <w:lang w:eastAsia="ko-KR"/>
        </w:rPr>
      </w:pPr>
      <w:bookmarkStart w:id="0" w:name="Sample_Collection_and_Definitions"/>
      <w:bookmarkEnd w:id="0"/>
    </w:p>
    <w:p w14:paraId="0E8BBCFB" w14:textId="77777777" w:rsidR="008D184F" w:rsidRDefault="00D3651D" w:rsidP="008D184F">
      <w:pPr>
        <w:pStyle w:val="Heading2"/>
        <w:tabs>
          <w:tab w:val="left" w:pos="762"/>
          <w:tab w:val="left" w:pos="763"/>
        </w:tabs>
        <w:spacing w:before="0" w:after="0" w:line="276" w:lineRule="auto"/>
        <w:jc w:val="both"/>
        <w:rPr>
          <w:rFonts w:ascii="Times New Roman" w:eastAsiaTheme="minorEastAsia" w:hAnsi="Times New Roman" w:cs="Times New Roman"/>
          <w:color w:val="000000" w:themeColor="text1"/>
          <w:spacing w:val="-3"/>
          <w:sz w:val="22"/>
          <w:szCs w:val="22"/>
          <w:lang w:eastAsia="ko-KR"/>
        </w:rPr>
      </w:pPr>
      <w:r w:rsidRPr="002F0C3B">
        <w:rPr>
          <w:rFonts w:ascii="Times New Roman" w:hAnsi="Times New Roman" w:cs="Times New Roman"/>
          <w:b/>
          <w:bCs/>
          <w:color w:val="000000" w:themeColor="text1"/>
          <w:sz w:val="22"/>
          <w:szCs w:val="22"/>
        </w:rPr>
        <w:t>Sample Collection and</w:t>
      </w:r>
      <w:r w:rsidRPr="002F0C3B">
        <w:rPr>
          <w:rFonts w:ascii="Times New Roman" w:hAnsi="Times New Roman" w:cs="Times New Roman"/>
          <w:b/>
          <w:bCs/>
          <w:color w:val="000000" w:themeColor="text1"/>
          <w:spacing w:val="6"/>
          <w:sz w:val="22"/>
          <w:szCs w:val="22"/>
        </w:rPr>
        <w:t xml:space="preserve"> </w:t>
      </w:r>
      <w:r w:rsidRPr="002F0C3B">
        <w:rPr>
          <w:rFonts w:ascii="Times New Roman" w:hAnsi="Times New Roman" w:cs="Times New Roman"/>
          <w:b/>
          <w:bCs/>
          <w:color w:val="000000" w:themeColor="text1"/>
          <w:sz w:val="22"/>
          <w:szCs w:val="22"/>
        </w:rPr>
        <w:t>Definitions</w:t>
      </w:r>
      <w:r w:rsidRPr="002F0C3B">
        <w:rPr>
          <w:rFonts w:ascii="Times New Roman" w:eastAsiaTheme="minorEastAsia" w:hAnsi="Times New Roman" w:cs="Times New Roman"/>
          <w:b/>
          <w:bCs/>
          <w:color w:val="000000" w:themeColor="text1"/>
          <w:sz w:val="22"/>
          <w:szCs w:val="22"/>
          <w:lang w:eastAsia="ko-KR"/>
        </w:rPr>
        <w:t>.</w:t>
      </w:r>
      <w:r w:rsidRPr="004567C4">
        <w:rPr>
          <w:rFonts w:ascii="Times New Roman" w:eastAsiaTheme="minorEastAsia" w:hAnsi="Times New Roman" w:cs="Times New Roman"/>
          <w:color w:val="000000" w:themeColor="text1"/>
          <w:sz w:val="22"/>
          <w:szCs w:val="22"/>
          <w:lang w:eastAsia="ko-KR"/>
        </w:rPr>
        <w:t xml:space="preserve"> A</w:t>
      </w:r>
      <w:r w:rsidRPr="004567C4">
        <w:rPr>
          <w:rFonts w:ascii="Times New Roman" w:hAnsi="Times New Roman" w:cs="Times New Roman"/>
          <w:color w:val="000000" w:themeColor="text1"/>
          <w:sz w:val="22"/>
          <w:szCs w:val="22"/>
        </w:rPr>
        <w:t xml:space="preserve"> nationwide community-based surveillance study was conducted </w:t>
      </w:r>
      <w:r w:rsidRPr="004567C4">
        <w:rPr>
          <w:rFonts w:ascii="Times New Roman" w:eastAsiaTheme="minorEastAsia" w:hAnsi="Times New Roman" w:cs="Times New Roman"/>
          <w:color w:val="000000" w:themeColor="text1"/>
          <w:sz w:val="22"/>
          <w:szCs w:val="22"/>
          <w:lang w:eastAsia="ko-KR"/>
        </w:rPr>
        <w:t>fr</w:t>
      </w:r>
      <w:r w:rsidRPr="004567C4">
        <w:rPr>
          <w:rFonts w:ascii="Times New Roman" w:hAnsi="Times New Roman" w:cs="Times New Roman"/>
          <w:color w:val="000000" w:themeColor="text1"/>
          <w:sz w:val="22"/>
          <w:szCs w:val="22"/>
        </w:rPr>
        <w:t xml:space="preserve">om August to December 2022, during the 6th and 7th </w:t>
      </w:r>
      <w:r w:rsidRPr="004567C4">
        <w:rPr>
          <w:rFonts w:ascii="Times New Roman" w:eastAsiaTheme="minorEastAsia" w:hAnsi="Times New Roman" w:cs="Times New Roman"/>
          <w:color w:val="000000" w:themeColor="text1"/>
          <w:sz w:val="22"/>
          <w:szCs w:val="22"/>
          <w:lang w:eastAsia="ko-KR"/>
        </w:rPr>
        <w:t xml:space="preserve">epidemic </w:t>
      </w:r>
      <w:r w:rsidRPr="004567C4">
        <w:rPr>
          <w:rFonts w:ascii="Times New Roman" w:hAnsi="Times New Roman" w:cs="Times New Roman"/>
          <w:color w:val="000000" w:themeColor="text1"/>
          <w:sz w:val="22"/>
          <w:szCs w:val="22"/>
        </w:rPr>
        <w:t xml:space="preserve">peaks of COVID-19 in South Korea. This study </w:t>
      </w:r>
      <w:r w:rsidRPr="004567C4">
        <w:rPr>
          <w:rFonts w:ascii="Times New Roman" w:hAnsi="Times New Roman" w:cs="Times New Roman"/>
          <w:color w:val="000000" w:themeColor="text1"/>
          <w:spacing w:val="-3"/>
          <w:sz w:val="22"/>
          <w:szCs w:val="22"/>
        </w:rPr>
        <w:t xml:space="preserve">involved </w:t>
      </w:r>
      <w:r w:rsidRPr="004567C4">
        <w:rPr>
          <w:rFonts w:ascii="Times New Roman" w:hAnsi="Times New Roman" w:cs="Times New Roman"/>
          <w:color w:val="000000" w:themeColor="text1"/>
          <w:sz w:val="22"/>
          <w:szCs w:val="22"/>
        </w:rPr>
        <w:t xml:space="preserve">258 public health centers and 113 private medical facilities across 259 cities and counties. </w:t>
      </w:r>
      <w:r w:rsidRPr="004567C4">
        <w:rPr>
          <w:rFonts w:ascii="Times New Roman" w:hAnsi="Times New Roman" w:cs="Times New Roman"/>
          <w:color w:val="000000" w:themeColor="text1"/>
          <w:spacing w:val="-12"/>
          <w:sz w:val="22"/>
          <w:szCs w:val="22"/>
        </w:rPr>
        <w:t xml:space="preserve">A </w:t>
      </w:r>
      <w:r w:rsidRPr="004567C4">
        <w:rPr>
          <w:rFonts w:ascii="Times New Roman" w:hAnsi="Times New Roman" w:cs="Times New Roman"/>
          <w:color w:val="000000" w:themeColor="text1"/>
          <w:sz w:val="22"/>
          <w:szCs w:val="22"/>
        </w:rPr>
        <w:t>representative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sample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of</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10,000</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individuals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aged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and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older</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randomly</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selected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from</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5,000 households.</w:t>
      </w:r>
      <w:r w:rsidRPr="004567C4">
        <w:rPr>
          <w:rFonts w:ascii="Times New Roman" w:hAnsi="Times New Roman" w:cs="Times New Roman"/>
          <w:color w:val="000000" w:themeColor="text1"/>
          <w:spacing w:val="6"/>
          <w:sz w:val="22"/>
          <w:szCs w:val="22"/>
        </w:rPr>
        <w:t xml:space="preserve"> </w:t>
      </w:r>
      <w:r w:rsidRPr="004567C4">
        <w:rPr>
          <w:rFonts w:ascii="Times New Roman" w:hAnsi="Times New Roman" w:cs="Times New Roman"/>
          <w:color w:val="000000" w:themeColor="text1"/>
          <w:sz w:val="22"/>
          <w:szCs w:val="22"/>
        </w:rPr>
        <w:t>Data</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collection</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conducted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through</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one-on-one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interviews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by</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trained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pacing w:val="-3"/>
          <w:sz w:val="22"/>
          <w:szCs w:val="22"/>
        </w:rPr>
        <w:t xml:space="preserve">surveyors </w:t>
      </w:r>
      <w:r w:rsidRPr="004567C4">
        <w:rPr>
          <w:rFonts w:ascii="Times New Roman" w:hAnsi="Times New Roman" w:cs="Times New Roman"/>
          <w:color w:val="000000" w:themeColor="text1"/>
          <w:sz w:val="22"/>
          <w:szCs w:val="22"/>
        </w:rPr>
        <w:t>using tablets to ensure</w:t>
      </w:r>
      <w:r w:rsidRPr="004567C4">
        <w:rPr>
          <w:rFonts w:ascii="Times New Roman" w:hAnsi="Times New Roman" w:cs="Times New Roman"/>
          <w:color w:val="000000" w:themeColor="text1"/>
          <w:spacing w:val="-5"/>
          <w:sz w:val="22"/>
          <w:szCs w:val="22"/>
        </w:rPr>
        <w:t xml:space="preserve"> </w:t>
      </w:r>
      <w:r w:rsidRPr="004567C4">
        <w:rPr>
          <w:rFonts w:ascii="Times New Roman" w:hAnsi="Times New Roman" w:cs="Times New Roman"/>
          <w:color w:val="000000" w:themeColor="text1"/>
          <w:spacing w:val="-3"/>
          <w:sz w:val="22"/>
          <w:szCs w:val="22"/>
        </w:rPr>
        <w:t>accuracy.</w:t>
      </w:r>
      <w:r w:rsidRPr="004567C4">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(REF). </w:t>
      </w:r>
    </w:p>
    <w:p w14:paraId="5B0FA358" w14:textId="77777777" w:rsidR="008D184F" w:rsidRPr="008D184F" w:rsidRDefault="008D184F" w:rsidP="008D184F">
      <w:pPr>
        <w:rPr>
          <w:rFonts w:eastAsiaTheme="minorEastAsia"/>
          <w:lang w:eastAsia="ko-KR"/>
        </w:rPr>
      </w:pPr>
    </w:p>
    <w:p w14:paraId="6CAC1B7B" w14:textId="77777777" w:rsidR="00D3651D" w:rsidRPr="004567C4" w:rsidRDefault="00D3651D" w:rsidP="00D3651D">
      <w:pPr>
        <w:pStyle w:val="BodyText"/>
        <w:spacing w:line="276" w:lineRule="auto"/>
        <w:ind w:right="795" w:firstLine="566"/>
        <w:jc w:val="both"/>
        <w:rPr>
          <w:rFonts w:eastAsiaTheme="minorEastAsia"/>
          <w:color w:val="000000" w:themeColor="text1"/>
          <w:sz w:val="22"/>
          <w:szCs w:val="22"/>
          <w:lang w:eastAsia="ko-KR"/>
        </w:rPr>
      </w:pPr>
    </w:p>
    <w:p w14:paraId="21A71F9E" w14:textId="77777777" w:rsidR="00D3651D" w:rsidRPr="00D051AD" w:rsidRDefault="00D3651D" w:rsidP="00D3651D">
      <w:pPr>
        <w:pStyle w:val="BodyText"/>
        <w:spacing w:line="276" w:lineRule="auto"/>
        <w:ind w:left="0"/>
        <w:rPr>
          <w:sz w:val="22"/>
          <w:szCs w:val="22"/>
        </w:rPr>
      </w:pPr>
      <w:r w:rsidRPr="00D051AD">
        <w:rPr>
          <w:noProof/>
          <w:sz w:val="22"/>
          <w:szCs w:val="22"/>
        </w:rPr>
        <w:drawing>
          <wp:inline distT="0" distB="0" distL="0" distR="0" wp14:anchorId="3459AAA3" wp14:editId="7D678777">
            <wp:extent cx="5820931" cy="2628900"/>
            <wp:effectExtent l="0" t="0" r="0" b="0"/>
            <wp:docPr id="1331624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876" name="Picture 1" descr="A screenshot of a computer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2374B376" w14:textId="77777777" w:rsidR="00D3651D" w:rsidRPr="00D051AD" w:rsidRDefault="00D3651D" w:rsidP="00D3651D">
      <w:pPr>
        <w:pStyle w:val="BodyText"/>
        <w:spacing w:line="276" w:lineRule="auto"/>
        <w:ind w:left="0"/>
        <w:rPr>
          <w:sz w:val="22"/>
          <w:szCs w:val="22"/>
        </w:rPr>
      </w:pPr>
    </w:p>
    <w:p w14:paraId="4F157F25" w14:textId="77777777" w:rsidR="00D3651D" w:rsidRDefault="00D3651D" w:rsidP="00D3651D">
      <w:pPr>
        <w:pStyle w:val="BodyText"/>
        <w:spacing w:line="276" w:lineRule="auto"/>
        <w:ind w:left="1872"/>
        <w:rPr>
          <w:rFonts w:eastAsiaTheme="minorEastAsia"/>
          <w:sz w:val="22"/>
          <w:szCs w:val="22"/>
          <w:lang w:eastAsia="ko-KR"/>
        </w:rPr>
      </w:pPr>
      <w:r w:rsidRPr="00D051AD">
        <w:rPr>
          <w:sz w:val="22"/>
          <w:szCs w:val="22"/>
        </w:rPr>
        <w:t>Figure 1: Flow Chart Illustrating the Cohort Study Design</w:t>
      </w:r>
    </w:p>
    <w:p w14:paraId="05B2325E" w14:textId="77777777" w:rsidR="004567C4" w:rsidRDefault="004567C4" w:rsidP="00D3651D">
      <w:pPr>
        <w:pStyle w:val="BodyText"/>
        <w:spacing w:line="276" w:lineRule="auto"/>
        <w:ind w:right="795"/>
        <w:jc w:val="both"/>
        <w:rPr>
          <w:rFonts w:eastAsiaTheme="minorEastAsia"/>
          <w:b/>
          <w:bCs/>
          <w:spacing w:val="-10"/>
          <w:sz w:val="22"/>
          <w:szCs w:val="22"/>
          <w:lang w:eastAsia="ko-KR"/>
        </w:rPr>
      </w:pPr>
      <w:bookmarkStart w:id="1" w:name="Cohort_Study_Design_and_Regression_Model"/>
      <w:bookmarkEnd w:id="1"/>
    </w:p>
    <w:p w14:paraId="52092952" w14:textId="62F0D97A" w:rsidR="008D184F" w:rsidRDefault="008D184F" w:rsidP="008D184F">
      <w:pPr>
        <w:pStyle w:val="BodyText"/>
        <w:spacing w:line="276" w:lineRule="auto"/>
        <w:ind w:left="0"/>
        <w:jc w:val="both"/>
        <w:rPr>
          <w:rFonts w:eastAsiaTheme="minorEastAsia"/>
          <w:color w:val="000000" w:themeColor="text1"/>
          <w:sz w:val="22"/>
          <w:szCs w:val="22"/>
          <w:lang w:eastAsia="ko-KR"/>
        </w:rPr>
      </w:pPr>
      <w:r w:rsidRPr="008D184F">
        <w:rPr>
          <w:rFonts w:eastAsiaTheme="minorEastAsia"/>
          <w:b/>
          <w:bCs/>
          <w:color w:val="000000" w:themeColor="text1"/>
          <w:spacing w:val="-10"/>
          <w:sz w:val="22"/>
          <w:szCs w:val="22"/>
          <w:lang w:eastAsia="ko-KR"/>
        </w:rPr>
        <w:t xml:space="preserve">Inclusion/Exclusion and matching criteria. </w:t>
      </w:r>
      <w:r w:rsidRPr="008D184F">
        <w:rPr>
          <w:rFonts w:eastAsiaTheme="minorEastAsia"/>
          <w:color w:val="000000" w:themeColor="text1"/>
          <w:spacing w:val="-10"/>
          <w:sz w:val="22"/>
          <w:szCs w:val="22"/>
          <w:lang w:eastAsia="ko-KR"/>
        </w:rPr>
        <w:t xml:space="preserve">In this analysis, we defined the cohort by the following </w:t>
      </w:r>
      <w:r w:rsidRPr="008D184F">
        <w:rPr>
          <w:rFonts w:eastAsiaTheme="minorEastAsia"/>
          <w:color w:val="000000" w:themeColor="text1"/>
          <w:sz w:val="22"/>
          <w:szCs w:val="22"/>
        </w:rPr>
        <w:t xml:space="preserve">four distinct immunity types: hybrid-induced immunity </w:t>
      </w:r>
      <w:r w:rsidRPr="008D184F">
        <w:rPr>
          <w:rFonts w:eastAsiaTheme="minorEastAsia"/>
          <w:color w:val="000000" w:themeColor="text1"/>
          <w:spacing w:val="5"/>
          <w:sz w:val="22"/>
          <w:szCs w:val="22"/>
        </w:rPr>
        <w:t>(</w:t>
      </w:r>
      <w:r w:rsidRPr="008D184F">
        <w:rPr>
          <w:rFonts w:eastAsiaTheme="minorEastAsia"/>
          <w:i/>
          <w:color w:val="000000" w:themeColor="text1"/>
          <w:spacing w:val="5"/>
          <w:sz w:val="22"/>
          <w:szCs w:val="22"/>
        </w:rPr>
        <w:t>S</w:t>
      </w:r>
      <w:r w:rsidRPr="008D184F">
        <w:rPr>
          <w:rFonts w:eastAsiaTheme="minorEastAsia"/>
          <w:color w:val="000000" w:themeColor="text1"/>
          <w:spacing w:val="5"/>
          <w:sz w:val="22"/>
          <w:szCs w:val="22"/>
          <w:vertAlign w:val="superscript"/>
        </w:rPr>
        <w:t>+</w:t>
      </w:r>
      <w:r w:rsidRPr="008D184F">
        <w:rPr>
          <w:rFonts w:eastAsiaTheme="minorEastAsia"/>
          <w:i/>
          <w:color w:val="000000" w:themeColor="text1"/>
          <w:spacing w:val="5"/>
          <w:sz w:val="22"/>
          <w:szCs w:val="22"/>
        </w:rPr>
        <w:t>N</w:t>
      </w:r>
      <w:r w:rsidRPr="008D184F">
        <w:rPr>
          <w:rFonts w:eastAsiaTheme="minorEastAsia"/>
          <w:i/>
          <w:color w:val="000000" w:themeColor="text1"/>
          <w:spacing w:val="-35"/>
          <w:sz w:val="22"/>
          <w:szCs w:val="22"/>
        </w:rPr>
        <w:t xml:space="preserve"> </w:t>
      </w:r>
      <w:r w:rsidRPr="008D184F">
        <w:rPr>
          <w:rFonts w:eastAsiaTheme="minorEastAsia"/>
          <w:color w:val="000000" w:themeColor="text1"/>
          <w:spacing w:val="3"/>
          <w:sz w:val="22"/>
          <w:szCs w:val="22"/>
          <w:vertAlign w:val="superscript"/>
        </w:rPr>
        <w:t>+</w:t>
      </w:r>
      <w:r w:rsidRPr="008D184F">
        <w:rPr>
          <w:rFonts w:eastAsiaTheme="minorEastAsia"/>
          <w:color w:val="000000" w:themeColor="text1"/>
          <w:spacing w:val="3"/>
          <w:sz w:val="22"/>
          <w:szCs w:val="22"/>
        </w:rPr>
        <w:t>),</w:t>
      </w:r>
      <w:r w:rsidRPr="008D184F">
        <w:rPr>
          <w:rFonts w:eastAsiaTheme="minorEastAsia"/>
          <w:color w:val="000000" w:themeColor="text1"/>
          <w:spacing w:val="3"/>
          <w:sz w:val="22"/>
          <w:szCs w:val="22"/>
          <w:lang w:eastAsia="ko-KR"/>
        </w:rPr>
        <w:t xml:space="preserve"> </w:t>
      </w:r>
      <w:r w:rsidRPr="008D184F">
        <w:rPr>
          <w:rFonts w:eastAsiaTheme="minorEastAsia"/>
          <w:color w:val="000000" w:themeColor="text1"/>
          <w:sz w:val="22"/>
          <w:szCs w:val="22"/>
        </w:rPr>
        <w:t>vaccine-induced immunity (</w:t>
      </w:r>
      <w:r w:rsidRPr="008D184F">
        <w:rPr>
          <w:rFonts w:eastAsiaTheme="minorEastAsia"/>
          <w:i/>
          <w:color w:val="000000" w:themeColor="text1"/>
          <w:sz w:val="22"/>
          <w:szCs w:val="22"/>
        </w:rPr>
        <w:t>S</w:t>
      </w:r>
      <w:r w:rsidRPr="008D184F">
        <w:rPr>
          <w:rFonts w:eastAsiaTheme="minorEastAsia"/>
          <w:color w:val="000000" w:themeColor="text1"/>
          <w:sz w:val="22"/>
          <w:szCs w:val="22"/>
          <w:vertAlign w:val="superscript"/>
        </w:rPr>
        <w:t>+</w:t>
      </w:r>
      <w:r w:rsidRPr="008D184F">
        <w:rPr>
          <w:rFonts w:eastAsiaTheme="minorEastAsia"/>
          <w:i/>
          <w:color w:val="000000" w:themeColor="text1"/>
          <w:sz w:val="22"/>
          <w:szCs w:val="22"/>
        </w:rPr>
        <w:t>N</w:t>
      </w:r>
      <w:r w:rsidRPr="008D184F">
        <w:rPr>
          <w:rFonts w:eastAsiaTheme="minorEastAsia"/>
          <w:i/>
          <w:color w:val="000000" w:themeColor="text1"/>
          <w:sz w:val="22"/>
          <w:szCs w:val="22"/>
          <w:vertAlign w:val="superscript"/>
        </w:rPr>
        <w:t>−</w:t>
      </w:r>
      <w:r w:rsidRPr="008D184F">
        <w:rPr>
          <w:rFonts w:eastAsiaTheme="minorEastAsia"/>
          <w:color w:val="000000" w:themeColor="text1"/>
          <w:sz w:val="22"/>
          <w:szCs w:val="22"/>
        </w:rPr>
        <w:t>), infection-induced immunity (</w:t>
      </w:r>
      <w:r w:rsidRPr="008D184F">
        <w:rPr>
          <w:rFonts w:eastAsiaTheme="minorEastAsia"/>
          <w:i/>
          <w:color w:val="000000" w:themeColor="text1"/>
          <w:sz w:val="22"/>
          <w:szCs w:val="22"/>
        </w:rPr>
        <w:t>S</w:t>
      </w:r>
      <w:r w:rsidRPr="008D184F">
        <w:rPr>
          <w:rFonts w:eastAsiaTheme="minorEastAsia"/>
          <w:i/>
          <w:color w:val="000000" w:themeColor="text1"/>
          <w:sz w:val="22"/>
          <w:szCs w:val="22"/>
          <w:vertAlign w:val="superscript"/>
        </w:rPr>
        <w:t>−</w:t>
      </w:r>
      <w:r w:rsidRPr="008D184F">
        <w:rPr>
          <w:rFonts w:eastAsiaTheme="minorEastAsia"/>
          <w:i/>
          <w:color w:val="000000" w:themeColor="text1"/>
          <w:sz w:val="22"/>
          <w:szCs w:val="22"/>
        </w:rPr>
        <w:t xml:space="preserve">N </w:t>
      </w:r>
      <w:r w:rsidRPr="008D184F">
        <w:rPr>
          <w:rFonts w:eastAsiaTheme="minorEastAsia"/>
          <w:color w:val="000000" w:themeColor="text1"/>
          <w:sz w:val="22"/>
          <w:szCs w:val="22"/>
          <w:vertAlign w:val="superscript"/>
        </w:rPr>
        <w:t>+</w:t>
      </w:r>
      <w:r w:rsidRPr="008D184F">
        <w:rPr>
          <w:rFonts w:eastAsiaTheme="minorEastAsia"/>
          <w:color w:val="000000" w:themeColor="text1"/>
          <w:sz w:val="22"/>
          <w:szCs w:val="22"/>
        </w:rPr>
        <w:t>), and naive (</w:t>
      </w:r>
      <w:r w:rsidRPr="008D184F">
        <w:rPr>
          <w:rFonts w:eastAsiaTheme="minorEastAsia"/>
          <w:i/>
          <w:color w:val="000000" w:themeColor="text1"/>
          <w:sz w:val="22"/>
          <w:szCs w:val="22"/>
        </w:rPr>
        <w:t>S</w:t>
      </w:r>
      <w:r w:rsidRPr="008D184F">
        <w:rPr>
          <w:rFonts w:eastAsiaTheme="minorEastAsia"/>
          <w:i/>
          <w:color w:val="000000" w:themeColor="text1"/>
          <w:sz w:val="22"/>
          <w:szCs w:val="22"/>
          <w:vertAlign w:val="superscript"/>
        </w:rPr>
        <w:t>−</w:t>
      </w:r>
      <w:r w:rsidRPr="008D184F">
        <w:rPr>
          <w:rFonts w:eastAsiaTheme="minorEastAsia"/>
          <w:i/>
          <w:color w:val="000000" w:themeColor="text1"/>
          <w:sz w:val="22"/>
          <w:szCs w:val="22"/>
        </w:rPr>
        <w:t>N</w:t>
      </w:r>
      <w:r w:rsidRPr="008D184F">
        <w:rPr>
          <w:rFonts w:eastAsiaTheme="minorEastAsia"/>
          <w:i/>
          <w:color w:val="000000" w:themeColor="text1"/>
          <w:sz w:val="22"/>
          <w:szCs w:val="22"/>
          <w:vertAlign w:val="superscript"/>
        </w:rPr>
        <w:t>−</w:t>
      </w:r>
      <w:r w:rsidRPr="008D184F">
        <w:rPr>
          <w:rFonts w:eastAsiaTheme="minorEastAsia"/>
          <w:color w:val="000000" w:themeColor="text1"/>
          <w:sz w:val="22"/>
          <w:szCs w:val="22"/>
        </w:rPr>
        <w:t>)</w:t>
      </w:r>
      <w:r w:rsidRPr="008D184F">
        <w:rPr>
          <w:rFonts w:eastAsiaTheme="minorEastAsia"/>
          <w:color w:val="000000" w:themeColor="text1"/>
          <w:sz w:val="22"/>
          <w:szCs w:val="22"/>
          <w:lang w:eastAsia="ko-KR"/>
        </w:rPr>
        <w:t xml:space="preserve"> </w:t>
      </w:r>
      <w:r w:rsidR="002F0C3B">
        <w:rPr>
          <w:rFonts w:eastAsiaTheme="minorEastAsia"/>
          <w:color w:val="000000" w:themeColor="text1"/>
          <w:sz w:val="22"/>
          <w:szCs w:val="22"/>
          <w:lang w:eastAsia="ko-KR"/>
        </w:rPr>
        <w:t>[</w:t>
      </w:r>
      <w:r w:rsidR="002F0C3B" w:rsidRPr="002F0C3B">
        <w:rPr>
          <w:rFonts w:eastAsiaTheme="minorEastAsia"/>
          <w:color w:val="FF0000"/>
          <w:sz w:val="22"/>
          <w:szCs w:val="22"/>
          <w:lang w:eastAsia="ko-KR"/>
        </w:rPr>
        <w:t>13</w:t>
      </w:r>
      <w:r w:rsidR="002F0C3B">
        <w:rPr>
          <w:rFonts w:eastAsiaTheme="minorEastAsia"/>
          <w:color w:val="000000" w:themeColor="text1"/>
          <w:sz w:val="22"/>
          <w:szCs w:val="22"/>
          <w:lang w:eastAsia="ko-KR"/>
        </w:rPr>
        <w:t xml:space="preserve">, </w:t>
      </w:r>
      <w:r w:rsidR="002F0C3B" w:rsidRPr="002F0C3B">
        <w:rPr>
          <w:rFonts w:eastAsiaTheme="minorEastAsia"/>
          <w:color w:val="FF0000"/>
          <w:sz w:val="22"/>
          <w:szCs w:val="22"/>
          <w:lang w:eastAsia="ko-KR"/>
        </w:rPr>
        <w:t>14</w:t>
      </w:r>
      <w:r w:rsidR="002F0C3B">
        <w:rPr>
          <w:rFonts w:eastAsiaTheme="minorEastAsia"/>
          <w:color w:val="000000" w:themeColor="text1"/>
          <w:sz w:val="22"/>
          <w:szCs w:val="22"/>
          <w:lang w:eastAsia="ko-KR"/>
        </w:rPr>
        <w:t>]</w:t>
      </w:r>
      <w:r w:rsidR="002F0C3B">
        <w:rPr>
          <w:rFonts w:eastAsiaTheme="minorEastAsia"/>
          <w:color w:val="000000" w:themeColor="text1"/>
          <w:sz w:val="22"/>
          <w:szCs w:val="22"/>
        </w:rPr>
        <w:t xml:space="preserve">. </w:t>
      </w:r>
      <w:r w:rsidRPr="008D184F">
        <w:rPr>
          <w:rFonts w:eastAsiaTheme="minorEastAsia"/>
          <w:color w:val="000000" w:themeColor="text1"/>
          <w:sz w:val="22"/>
          <w:szCs w:val="22"/>
        </w:rPr>
        <w:t xml:space="preserve">Notably, the hybrid-induced and vaccine-induced immunity groups comprised over </w:t>
      </w:r>
      <w:r w:rsidRPr="008D184F">
        <w:rPr>
          <w:rFonts w:eastAsiaTheme="minorEastAsia"/>
          <w:color w:val="000000" w:themeColor="text1"/>
          <w:spacing w:val="-4"/>
          <w:sz w:val="22"/>
          <w:szCs w:val="22"/>
        </w:rPr>
        <w:t xml:space="preserve">98% </w:t>
      </w:r>
      <w:r w:rsidRPr="008D184F">
        <w:rPr>
          <w:rFonts w:eastAsiaTheme="minorEastAsia"/>
          <w:color w:val="000000" w:themeColor="text1"/>
          <w:sz w:val="22"/>
          <w:szCs w:val="22"/>
        </w:rPr>
        <w:t>of the cohort population</w:t>
      </w:r>
      <w:r w:rsidRPr="008D184F">
        <w:rPr>
          <w:rFonts w:eastAsiaTheme="minorEastAsia"/>
          <w:color w:val="000000" w:themeColor="text1"/>
          <w:sz w:val="22"/>
          <w:szCs w:val="22"/>
          <w:lang w:eastAsia="ko-KR"/>
        </w:rPr>
        <w:t xml:space="preserve"> (Figure 1)</w:t>
      </w:r>
      <w:r w:rsidRPr="008D184F">
        <w:rPr>
          <w:rFonts w:eastAsiaTheme="minorEastAsia"/>
          <w:color w:val="000000" w:themeColor="text1"/>
          <w:sz w:val="22"/>
          <w:szCs w:val="22"/>
        </w:rPr>
        <w:t>. Consequently, subsequent research focused primarily on these two groups.</w:t>
      </w:r>
      <w:r w:rsidRPr="008D184F">
        <w:rPr>
          <w:rFonts w:eastAsiaTheme="minorEastAsia"/>
          <w:color w:val="000000" w:themeColor="text1"/>
          <w:sz w:val="22"/>
          <w:szCs w:val="22"/>
          <w:lang w:eastAsia="ko-KR"/>
        </w:rPr>
        <w:t xml:space="preserve"> The demographic and clinical characteristics of the two groups are described in Table 1. </w:t>
      </w:r>
    </w:p>
    <w:p w14:paraId="5A5A154B" w14:textId="77777777" w:rsidR="00484037" w:rsidRDefault="00484037" w:rsidP="008D184F">
      <w:pPr>
        <w:pStyle w:val="BodyText"/>
        <w:spacing w:line="276" w:lineRule="auto"/>
        <w:ind w:left="0"/>
        <w:jc w:val="both"/>
        <w:rPr>
          <w:rFonts w:eastAsiaTheme="minorEastAsia"/>
          <w:color w:val="000000" w:themeColor="text1"/>
          <w:sz w:val="22"/>
          <w:szCs w:val="22"/>
          <w:lang w:eastAsia="zh-CN"/>
        </w:rPr>
      </w:pPr>
    </w:p>
    <w:p w14:paraId="23FEEF00" w14:textId="70F9025E" w:rsidR="008D184F" w:rsidRDefault="00484037" w:rsidP="008D184F">
      <w:pPr>
        <w:pStyle w:val="BodyText"/>
        <w:spacing w:line="276" w:lineRule="auto"/>
        <w:ind w:left="0"/>
        <w:jc w:val="both"/>
        <w:rPr>
          <w:rFonts w:eastAsiaTheme="minorEastAsia"/>
          <w:color w:val="000000" w:themeColor="text1"/>
          <w:sz w:val="22"/>
          <w:szCs w:val="22"/>
          <w:lang w:eastAsia="ko-KR"/>
        </w:rPr>
      </w:pPr>
      <w:r>
        <w:rPr>
          <w:rFonts w:eastAsiaTheme="minorEastAsia"/>
          <w:noProof/>
          <w:color w:val="000000" w:themeColor="text1"/>
          <w:sz w:val="22"/>
          <w:szCs w:val="22"/>
          <w:lang w:eastAsia="ko-KR"/>
          <w14:ligatures w14:val="standardContextual"/>
        </w:rPr>
        <w:lastRenderedPageBreak/>
        <w:drawing>
          <wp:inline distT="0" distB="0" distL="0" distR="0" wp14:anchorId="1BDCB9BA" wp14:editId="095783CA">
            <wp:extent cx="6191250" cy="2894330"/>
            <wp:effectExtent l="0" t="0" r="6350" b="1270"/>
            <wp:docPr id="142190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09713" name="Picture 14219097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1250" cy="2894330"/>
                    </a:xfrm>
                    <a:prstGeom prst="rect">
                      <a:avLst/>
                    </a:prstGeom>
                  </pic:spPr>
                </pic:pic>
              </a:graphicData>
            </a:graphic>
          </wp:inline>
        </w:drawing>
      </w:r>
    </w:p>
    <w:p w14:paraId="12397975" w14:textId="77777777" w:rsidR="008D184F" w:rsidRPr="00D051AD" w:rsidRDefault="008D184F" w:rsidP="008D184F">
      <w:pPr>
        <w:pStyle w:val="BodyText"/>
        <w:spacing w:line="276" w:lineRule="auto"/>
        <w:ind w:left="2407"/>
        <w:rPr>
          <w:sz w:val="22"/>
          <w:szCs w:val="22"/>
        </w:rPr>
      </w:pPr>
      <w:r w:rsidRPr="00D051AD">
        <w:rPr>
          <w:sz w:val="22"/>
          <w:szCs w:val="22"/>
        </w:rPr>
        <w:t>Table 1: Summary table of cohort study design</w:t>
      </w:r>
    </w:p>
    <w:p w14:paraId="0729A2B0" w14:textId="77777777" w:rsidR="008D184F" w:rsidRDefault="008D184F" w:rsidP="008D184F">
      <w:pPr>
        <w:pStyle w:val="BodyText"/>
        <w:spacing w:line="276" w:lineRule="auto"/>
        <w:ind w:left="0"/>
        <w:jc w:val="both"/>
        <w:rPr>
          <w:rFonts w:eastAsiaTheme="minorEastAsia"/>
          <w:color w:val="000000" w:themeColor="text1"/>
          <w:sz w:val="22"/>
          <w:szCs w:val="22"/>
          <w:lang w:eastAsia="ko-KR"/>
        </w:rPr>
      </w:pPr>
    </w:p>
    <w:p w14:paraId="148AEFEF" w14:textId="42F7BCE9" w:rsidR="008D184F" w:rsidRDefault="002F0C3B" w:rsidP="008D184F">
      <w:pPr>
        <w:pStyle w:val="BodyText"/>
        <w:spacing w:line="276" w:lineRule="auto"/>
        <w:ind w:left="0"/>
        <w:jc w:val="both"/>
        <w:rPr>
          <w:rFonts w:eastAsiaTheme="minorEastAsia"/>
          <w:color w:val="000000" w:themeColor="text1"/>
          <w:sz w:val="22"/>
          <w:szCs w:val="22"/>
          <w:lang w:eastAsia="ko-KR"/>
        </w:rPr>
      </w:pPr>
      <w:r w:rsidRPr="002F0C3B">
        <w:rPr>
          <w:rFonts w:eastAsiaTheme="minorEastAsia"/>
          <w:color w:val="000000" w:themeColor="text1"/>
          <w:sz w:val="22"/>
          <w:szCs w:val="22"/>
          <w:lang w:eastAsia="ko-KR"/>
        </w:rPr>
        <w:t>We analyzed two primary outcomes: S antibody levels at the first and second surveillance points (Figure 2) and the occurrence of infection events between these points (Figure 3). To ensure the validity of our assessment of S antibody levels on COVID-19 protection (Figure 3), we implemented rigorous exclusion criteria. Individuals not participating in the second survey and those vaccinated between surveillance periods were excluded to maintain the relevance of initial S antibody levels. We employed a nested case-control (NCC) design [</w:t>
      </w:r>
      <w:r w:rsidRPr="002F0C3B">
        <w:rPr>
          <w:rFonts w:eastAsiaTheme="minorEastAsia"/>
          <w:color w:val="FF0000"/>
          <w:sz w:val="22"/>
          <w:szCs w:val="22"/>
          <w:lang w:eastAsia="ko-KR"/>
        </w:rPr>
        <w:t>15</w:t>
      </w:r>
      <w:r w:rsidRPr="002F0C3B">
        <w:rPr>
          <w:rFonts w:eastAsiaTheme="minorEastAsia"/>
          <w:color w:val="000000" w:themeColor="text1"/>
          <w:sz w:val="22"/>
          <w:szCs w:val="22"/>
          <w:lang w:eastAsia="ko-KR"/>
        </w:rPr>
        <w:t xml:space="preserve">, </w:t>
      </w:r>
      <w:r w:rsidRPr="002F0C3B">
        <w:rPr>
          <w:rFonts w:eastAsiaTheme="minorEastAsia"/>
          <w:color w:val="FF0000"/>
          <w:sz w:val="22"/>
          <w:szCs w:val="22"/>
          <w:lang w:eastAsia="ko-KR"/>
        </w:rPr>
        <w:t>16</w:t>
      </w:r>
      <w:r w:rsidRPr="002F0C3B">
        <w:rPr>
          <w:rFonts w:eastAsiaTheme="minorEastAsia"/>
          <w:color w:val="000000" w:themeColor="text1"/>
          <w:sz w:val="22"/>
          <w:szCs w:val="22"/>
          <w:lang w:eastAsia="ko-KR"/>
        </w:rPr>
        <w:t>], matching cases and controls by age and S antibody levels while treating other characteristics as potential confounders. This approach ensured robust comparisons and controlled for confounding variables in the logistic regression model.</w:t>
      </w:r>
    </w:p>
    <w:p w14:paraId="3404F432" w14:textId="77777777" w:rsidR="002F0C3B" w:rsidRPr="008D184F" w:rsidRDefault="002F0C3B" w:rsidP="008D184F">
      <w:pPr>
        <w:pStyle w:val="BodyText"/>
        <w:spacing w:line="276" w:lineRule="auto"/>
        <w:ind w:left="0"/>
        <w:jc w:val="both"/>
        <w:rPr>
          <w:rFonts w:eastAsiaTheme="minorEastAsia"/>
          <w:b/>
          <w:bCs/>
          <w:sz w:val="22"/>
          <w:szCs w:val="22"/>
          <w:lang w:eastAsia="ko-KR"/>
        </w:rPr>
      </w:pPr>
    </w:p>
    <w:p w14:paraId="664EFF74" w14:textId="0AF289D7" w:rsidR="008D184F" w:rsidRPr="008D184F" w:rsidRDefault="00D3651D" w:rsidP="002F0C3B">
      <w:pPr>
        <w:pStyle w:val="BodyText"/>
        <w:spacing w:line="276" w:lineRule="auto"/>
        <w:ind w:left="0"/>
        <w:jc w:val="both"/>
        <w:rPr>
          <w:rFonts w:eastAsiaTheme="minorEastAsia"/>
          <w:sz w:val="22"/>
          <w:szCs w:val="22"/>
          <w:lang w:eastAsia="ko-KR"/>
        </w:rPr>
      </w:pPr>
      <w:r w:rsidRPr="008D184F">
        <w:rPr>
          <w:rFonts w:eastAsiaTheme="minorEastAsia"/>
          <w:b/>
          <w:bCs/>
          <w:sz w:val="22"/>
          <w:szCs w:val="22"/>
          <w:lang w:eastAsia="ko-KR"/>
        </w:rPr>
        <w:t>Statistical analyses</w:t>
      </w:r>
      <w:r w:rsidRPr="008D184F">
        <w:rPr>
          <w:rFonts w:eastAsiaTheme="minorEastAsia"/>
          <w:sz w:val="22"/>
          <w:szCs w:val="22"/>
          <w:lang w:eastAsia="ko-KR"/>
        </w:rPr>
        <w:t xml:space="preserve">. </w:t>
      </w:r>
      <w:bookmarkStart w:id="2" w:name="Results"/>
      <w:bookmarkEnd w:id="2"/>
      <w:r w:rsidR="002F0C3B" w:rsidRPr="002F0C3B">
        <w:rPr>
          <w:rFonts w:eastAsiaTheme="minorEastAsia"/>
          <w:sz w:val="22"/>
          <w:szCs w:val="22"/>
          <w:lang w:eastAsia="ko-KR"/>
        </w:rPr>
        <w:t>We began by conducting descriptive analyses to generate trajectory plots that track the average changes in S antibody levels across different immunity groups and age subgroups following immunological events. This allowed us to visualize the dynamic changes in antibody levels over time. Following this, we performed Kaplan-Meier survival analyses to compare the protective efficacy of the two primary immunity groups, focusing on the probability of remaining free from COVID-19 infection after the initial surveillance period. The outcome within each group was defined as the infection status during the first and second surveillance periods.</w:t>
      </w:r>
      <w:r w:rsidR="002F0C3B">
        <w:rPr>
          <w:rFonts w:eastAsiaTheme="minorEastAsia"/>
          <w:sz w:val="22"/>
          <w:szCs w:val="22"/>
          <w:lang w:eastAsia="ko-KR"/>
        </w:rPr>
        <w:t xml:space="preserve"> </w:t>
      </w:r>
      <w:r w:rsidR="002F0C3B" w:rsidRPr="002F0C3B">
        <w:rPr>
          <w:rFonts w:eastAsiaTheme="minorEastAsia"/>
          <w:sz w:val="22"/>
          <w:szCs w:val="22"/>
          <w:lang w:eastAsia="ko-KR"/>
        </w:rPr>
        <w:t>To address potential imbalances in the case-control data and to control for confounding variables, we implemented the nested case-control (NCC) method using the R package ‘Epi’ [</w:t>
      </w:r>
      <w:r w:rsidR="002F0C3B" w:rsidRPr="002F0C3B">
        <w:rPr>
          <w:rFonts w:eastAsiaTheme="minorEastAsia"/>
          <w:color w:val="FF0000"/>
          <w:sz w:val="22"/>
          <w:szCs w:val="22"/>
          <w:lang w:eastAsia="ko-KR"/>
        </w:rPr>
        <w:t>17</w:t>
      </w:r>
      <w:r w:rsidR="002F0C3B" w:rsidRPr="002F0C3B">
        <w:rPr>
          <w:rFonts w:eastAsiaTheme="minorEastAsia"/>
          <w:sz w:val="22"/>
          <w:szCs w:val="22"/>
          <w:lang w:eastAsia="ko-KR"/>
        </w:rPr>
        <w:t>], adjusting the matching ratio from 1:6 to 1:3 between cases and controls. This adjustment was made based on the recommendations of Pearce [</w:t>
      </w:r>
      <w:r w:rsidR="002F0C3B" w:rsidRPr="002F0C3B">
        <w:rPr>
          <w:rFonts w:eastAsiaTheme="minorEastAsia"/>
          <w:color w:val="FF0000"/>
          <w:sz w:val="22"/>
          <w:szCs w:val="22"/>
          <w:lang w:eastAsia="ko-KR"/>
        </w:rPr>
        <w:t>15</w:t>
      </w:r>
      <w:r w:rsidR="002F0C3B" w:rsidRPr="002F0C3B">
        <w:rPr>
          <w:rFonts w:eastAsiaTheme="minorEastAsia"/>
          <w:sz w:val="22"/>
          <w:szCs w:val="22"/>
          <w:lang w:eastAsia="ko-KR"/>
        </w:rPr>
        <w:t>] to optimize the balance between statistical power and practical feasibility.</w:t>
      </w:r>
      <w:r w:rsidR="002F0C3B">
        <w:rPr>
          <w:rFonts w:eastAsiaTheme="minorEastAsia"/>
          <w:sz w:val="22"/>
          <w:szCs w:val="22"/>
          <w:lang w:eastAsia="ko-KR"/>
        </w:rPr>
        <w:t xml:space="preserve"> </w:t>
      </w:r>
      <w:r w:rsidR="002F0C3B" w:rsidRPr="002F0C3B">
        <w:rPr>
          <w:rFonts w:eastAsiaTheme="minorEastAsia"/>
          <w:sz w:val="22"/>
          <w:szCs w:val="22"/>
          <w:lang w:eastAsia="ko-KR"/>
        </w:rPr>
        <w:t>Furthermore, we employed Cox proportional hazards regression to investigate the effects of various variables on survival time, adjusting for potential confounders to provide a more comprehensive understanding of the associated risk factors. Finally, mixed-effects logistic regression models were used to evaluate the protective efficacy, defined as the probability of remaining infection-free, associated with S antibody levels across different immunity and age subgroups. This comprehensive approach allowed us to rigorously assess the impact of S antibody levels on COVID-19 protection across diverse populations.</w:t>
      </w:r>
    </w:p>
    <w:p w14:paraId="5E019DC3" w14:textId="77777777" w:rsidR="008D184F" w:rsidRDefault="008D184F" w:rsidP="008D184F">
      <w:pPr>
        <w:pStyle w:val="BodyText"/>
        <w:spacing w:line="276" w:lineRule="auto"/>
        <w:ind w:left="0"/>
        <w:jc w:val="both"/>
        <w:rPr>
          <w:rFonts w:eastAsiaTheme="minorEastAsia"/>
          <w:sz w:val="22"/>
          <w:szCs w:val="22"/>
          <w:lang w:eastAsia="ko-KR"/>
        </w:rPr>
      </w:pPr>
    </w:p>
    <w:p w14:paraId="4DF0709C" w14:textId="50D8B8A2" w:rsidR="00D3651D" w:rsidRDefault="00D3651D" w:rsidP="008D184F">
      <w:pPr>
        <w:pStyle w:val="BodyText"/>
        <w:spacing w:line="276" w:lineRule="auto"/>
        <w:ind w:left="0"/>
        <w:jc w:val="both"/>
        <w:rPr>
          <w:rFonts w:eastAsiaTheme="minorEastAsia"/>
          <w:color w:val="0E0E0E"/>
          <w:sz w:val="22"/>
          <w:szCs w:val="22"/>
          <w:lang w:eastAsia="ko-KR"/>
          <w14:ligatures w14:val="standardContextual"/>
        </w:rPr>
      </w:pPr>
      <w:r w:rsidRPr="00D051AD">
        <w:rPr>
          <w:b/>
          <w:bCs/>
          <w:sz w:val="22"/>
          <w:szCs w:val="22"/>
        </w:rPr>
        <w:t>Results</w:t>
      </w:r>
      <w:bookmarkStart w:id="3" w:name="Survival_Analysis_of_Immunity_Types_Acro"/>
      <w:bookmarkEnd w:id="3"/>
      <w:r w:rsidR="002F0C3B">
        <w:rPr>
          <w:rFonts w:eastAsiaTheme="minorEastAsia"/>
          <w:b/>
          <w:bCs/>
          <w:sz w:val="22"/>
          <w:szCs w:val="22"/>
          <w:lang w:eastAsia="ko-KR"/>
        </w:rPr>
        <w:t xml:space="preserve">. </w:t>
      </w:r>
      <w:r w:rsidR="00F57AB2" w:rsidRPr="00F57AB2">
        <w:rPr>
          <w:rFonts w:eastAsiaTheme="minorEastAsia"/>
          <w:color w:val="0E0E0E"/>
          <w:sz w:val="22"/>
          <w:szCs w:val="22"/>
          <w:lang w:eastAsia="ko-KR"/>
          <w14:ligatures w14:val="standardContextual"/>
        </w:rPr>
        <w:t xml:space="preserve">The trajectory plots of S antibody levels indicate that individuals in the hybrid-induced immunity group exhibit higher overall S antibody levels compared to those in the vaccine-induced group. Specifically, the hybrid group </w:t>
      </w:r>
      <w:proofErr w:type="gramStart"/>
      <w:r w:rsidR="00F57AB2" w:rsidRPr="00F57AB2">
        <w:rPr>
          <w:rFonts w:eastAsiaTheme="minorEastAsia"/>
          <w:color w:val="0E0E0E"/>
          <w:sz w:val="22"/>
          <w:szCs w:val="22"/>
          <w:lang w:eastAsia="ko-KR"/>
          <w14:ligatures w14:val="standardContextual"/>
        </w:rPr>
        <w:t>is able to</w:t>
      </w:r>
      <w:proofErr w:type="gramEnd"/>
      <w:r w:rsidR="00F57AB2" w:rsidRPr="00F57AB2">
        <w:rPr>
          <w:rFonts w:eastAsiaTheme="minorEastAsia"/>
          <w:color w:val="0E0E0E"/>
          <w:sz w:val="22"/>
          <w:szCs w:val="22"/>
          <w:lang w:eastAsia="ko-KR"/>
          <w14:ligatures w14:val="standardContextual"/>
        </w:rPr>
        <w:t xml:space="preserve">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EDFDDB2" w14:textId="77777777" w:rsidR="008D184F" w:rsidRPr="008D184F" w:rsidRDefault="008D184F" w:rsidP="008D184F">
      <w:pPr>
        <w:pStyle w:val="BodyText"/>
        <w:spacing w:line="276" w:lineRule="auto"/>
        <w:ind w:left="0"/>
        <w:jc w:val="both"/>
        <w:rPr>
          <w:rFonts w:eastAsiaTheme="minorEastAsia"/>
          <w:sz w:val="22"/>
          <w:szCs w:val="22"/>
          <w:lang w:eastAsia="ko-KR"/>
        </w:rPr>
      </w:pPr>
    </w:p>
    <w:p w14:paraId="6F512D3C" w14:textId="5D253DE7" w:rsidR="00B73E9A" w:rsidRPr="008D184F" w:rsidRDefault="008D184F" w:rsidP="008D184F">
      <w:pPr>
        <w:pStyle w:val="BodyText"/>
        <w:spacing w:line="276" w:lineRule="auto"/>
        <w:ind w:left="0" w:right="795"/>
        <w:jc w:val="both"/>
        <w:rPr>
          <w:rFonts w:eastAsiaTheme="minorEastAsia"/>
          <w:b/>
          <w:bCs/>
          <w:sz w:val="22"/>
          <w:szCs w:val="22"/>
          <w:lang w:eastAsia="ko-KR"/>
        </w:rPr>
      </w:pPr>
      <w:r>
        <w:rPr>
          <w:rFonts w:eastAsiaTheme="minorEastAsia"/>
          <w:b/>
          <w:bCs/>
          <w:noProof/>
          <w:sz w:val="22"/>
          <w:szCs w:val="22"/>
          <w:lang w:eastAsia="ko-KR"/>
          <w14:ligatures w14:val="standardContextual"/>
        </w:rPr>
        <w:lastRenderedPageBreak/>
        <w:drawing>
          <wp:inline distT="0" distB="0" distL="0" distR="0" wp14:anchorId="709C2FFA" wp14:editId="298337E2">
            <wp:extent cx="6191250" cy="3095625"/>
            <wp:effectExtent l="0" t="0" r="6350" b="3175"/>
            <wp:docPr id="112324647" name="Picture 10"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647" name="Picture 10" descr="A comparison of different colored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1250" cy="3095625"/>
                    </a:xfrm>
                    <a:prstGeom prst="rect">
                      <a:avLst/>
                    </a:prstGeom>
                  </pic:spPr>
                </pic:pic>
              </a:graphicData>
            </a:graphic>
          </wp:inline>
        </w:drawing>
      </w:r>
    </w:p>
    <w:p w14:paraId="1C1CF022" w14:textId="438F6637" w:rsidR="00D3651D" w:rsidRPr="00D051AD" w:rsidRDefault="00D3651D" w:rsidP="00D3651D">
      <w:pPr>
        <w:pStyle w:val="BodyText"/>
        <w:spacing w:line="276" w:lineRule="auto"/>
        <w:ind w:right="795" w:firstLine="566"/>
        <w:jc w:val="center"/>
        <w:rPr>
          <w:rFonts w:eastAsiaTheme="minorEastAsia"/>
          <w:sz w:val="22"/>
          <w:szCs w:val="22"/>
          <w:lang w:eastAsia="ko-KR"/>
        </w:rPr>
      </w:pPr>
      <w:r w:rsidRPr="00D051AD">
        <w:rPr>
          <w:sz w:val="22"/>
          <w:szCs w:val="22"/>
        </w:rPr>
        <w:t>Figure 2: Trajectory plot for different age group</w:t>
      </w:r>
      <w:r w:rsidRPr="00D051AD">
        <w:rPr>
          <w:rFonts w:eastAsiaTheme="minorEastAsia"/>
          <w:sz w:val="22"/>
          <w:szCs w:val="22"/>
          <w:lang w:eastAsia="ko-KR"/>
        </w:rPr>
        <w:t>s</w:t>
      </w:r>
    </w:p>
    <w:p w14:paraId="1D350B91" w14:textId="77777777" w:rsidR="00D3651D" w:rsidRPr="00D051AD" w:rsidRDefault="00D3651D" w:rsidP="00D3651D">
      <w:pPr>
        <w:pStyle w:val="BodyText"/>
        <w:spacing w:line="276" w:lineRule="auto"/>
        <w:ind w:right="795" w:firstLine="566"/>
        <w:jc w:val="center"/>
        <w:rPr>
          <w:rFonts w:eastAsiaTheme="minorEastAsia"/>
          <w:sz w:val="22"/>
          <w:szCs w:val="22"/>
          <w:lang w:eastAsia="ko-KR"/>
        </w:rPr>
      </w:pPr>
    </w:p>
    <w:p w14:paraId="43CB2FD3" w14:textId="77777777" w:rsidR="004567C4" w:rsidRDefault="004567C4" w:rsidP="00D3651D">
      <w:pPr>
        <w:widowControl/>
        <w:tabs>
          <w:tab w:val="num" w:pos="720"/>
        </w:tabs>
        <w:adjustRightInd w:val="0"/>
        <w:spacing w:line="276" w:lineRule="auto"/>
        <w:contextualSpacing/>
        <w:jc w:val="both"/>
        <w:rPr>
          <w:rFonts w:eastAsiaTheme="minorEastAsia"/>
          <w:lang w:eastAsia="ko-KR"/>
        </w:rPr>
      </w:pPr>
    </w:p>
    <w:p w14:paraId="54DD5F5E" w14:textId="77777777" w:rsidR="00F57AB2" w:rsidRDefault="00F57AB2" w:rsidP="00F57AB2">
      <w:pPr>
        <w:widowControl/>
        <w:tabs>
          <w:tab w:val="num" w:pos="720"/>
        </w:tabs>
        <w:adjustRightInd w:val="0"/>
        <w:spacing w:line="276" w:lineRule="auto"/>
        <w:contextualSpacing/>
        <w:jc w:val="both"/>
      </w:pPr>
      <w:r>
        <w:t>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Antibody decay is notably observed after the sixth month following the last immunological event for the vaccine group, with a more rapid decline in those over 60 and a greater magnitude of decline in those under 20 compared to the hybrid group.</w:t>
      </w:r>
    </w:p>
    <w:p w14:paraId="4BA07BE7" w14:textId="77777777" w:rsidR="00F57AB2" w:rsidRDefault="00F57AB2" w:rsidP="00F57AB2">
      <w:pPr>
        <w:widowControl/>
        <w:tabs>
          <w:tab w:val="num" w:pos="720"/>
        </w:tabs>
        <w:adjustRightInd w:val="0"/>
        <w:spacing w:line="276" w:lineRule="auto"/>
        <w:contextualSpacing/>
        <w:jc w:val="both"/>
      </w:pPr>
    </w:p>
    <w:p w14:paraId="04BB7A77" w14:textId="46E8D6FD" w:rsidR="00F57AB2" w:rsidRDefault="00F57AB2" w:rsidP="00F57AB2">
      <w:pPr>
        <w:widowControl/>
        <w:tabs>
          <w:tab w:val="num" w:pos="720"/>
        </w:tabs>
        <w:adjustRightInd w:val="0"/>
        <w:spacing w:line="276" w:lineRule="auto"/>
        <w:contextualSpacing/>
        <w:jc w:val="both"/>
        <w:rPr>
          <w:rFonts w:eastAsiaTheme="minorEastAsia"/>
        </w:rPr>
      </w:pPr>
      <w:r w:rsidRPr="00F57AB2">
        <w:rPr>
          <w:highlight w:val="yellow"/>
        </w:rPr>
        <w:t xml:space="preserve">When integrating the results from the trajectory plots and Kaplan-Meier survival analysis, it becomes evident that hybrid-induced immunity </w:t>
      </w:r>
      <w:r w:rsidR="008D184F" w:rsidRPr="00F57AB2">
        <w:rPr>
          <w:highlight w:val="yellow"/>
        </w:rPr>
        <w:t>can sustain</w:t>
      </w:r>
      <w:r w:rsidRPr="00F57AB2">
        <w:rPr>
          <w:highlight w:val="yellow"/>
        </w:rPr>
        <w:t xml:space="preserve"> high S antibody levels (over 10,000) for one year before decreasing to 7,000, whereas the S antibody level in the vaccine-induced group falls below the 5,000 </w:t>
      </w:r>
      <w:r w:rsidR="008D184F" w:rsidRPr="00F57AB2">
        <w:rPr>
          <w:highlight w:val="yellow"/>
        </w:rPr>
        <w:t>thresholds</w:t>
      </w:r>
      <w:r w:rsidRPr="00F57AB2">
        <w:rPr>
          <w:highlight w:val="yellow"/>
        </w:rPr>
        <w:t xml:space="preserve"> within six months post-vaccination. These patterns align with the </w:t>
      </w:r>
      <w:r w:rsidR="008D184F" w:rsidRPr="00F57AB2">
        <w:rPr>
          <w:highlight w:val="yellow"/>
        </w:rPr>
        <w:t>survival</w:t>
      </w:r>
      <w:r w:rsidRPr="00F57AB2">
        <w:rPr>
          <w:highlight w:val="yellow"/>
        </w:rPr>
        <w:t xml:space="preserve"> curves, as the probability of survival in vaccine-induced groups declines rapidly after six months. This suggests a strong correlation between S antibody levels and survival probabilities.</w:t>
      </w:r>
    </w:p>
    <w:p w14:paraId="5F48A75D" w14:textId="50EB25E3" w:rsidR="00D3651D" w:rsidRPr="00D051AD" w:rsidRDefault="00E84F8E" w:rsidP="007034C2">
      <w:pPr>
        <w:widowControl/>
        <w:tabs>
          <w:tab w:val="num" w:pos="720"/>
        </w:tabs>
        <w:adjustRightInd w:val="0"/>
        <w:spacing w:line="276" w:lineRule="auto"/>
        <w:contextualSpacing/>
        <w:jc w:val="center"/>
        <w:rPr>
          <w:rFonts w:eastAsiaTheme="minorEastAsia"/>
        </w:rPr>
      </w:pPr>
      <w:r>
        <w:rPr>
          <w:rFonts w:eastAsiaTheme="minorEastAsia"/>
          <w:noProof/>
          <w14:ligatures w14:val="standardContextual"/>
        </w:rPr>
        <w:lastRenderedPageBreak/>
        <w:drawing>
          <wp:inline distT="0" distB="0" distL="0" distR="0" wp14:anchorId="681967A7" wp14:editId="0C6C158B">
            <wp:extent cx="5721069" cy="4802764"/>
            <wp:effectExtent l="0" t="0" r="0" b="0"/>
            <wp:docPr id="3840514" name="Picture 1"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514" name="Picture 1" descr="A graph of a number of vaccinat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7666" cy="4858671"/>
                    </a:xfrm>
                    <a:prstGeom prst="rect">
                      <a:avLst/>
                    </a:prstGeom>
                  </pic:spPr>
                </pic:pic>
              </a:graphicData>
            </a:graphic>
          </wp:inline>
        </w:drawing>
      </w:r>
    </w:p>
    <w:p w14:paraId="3253AAA0" w14:textId="77777777" w:rsidR="00D3651D" w:rsidRPr="00D051AD" w:rsidRDefault="00D3651D" w:rsidP="00F57AB2">
      <w:pPr>
        <w:pStyle w:val="BodyText"/>
        <w:spacing w:line="276" w:lineRule="auto"/>
        <w:ind w:left="1191"/>
        <w:jc w:val="center"/>
        <w:rPr>
          <w:sz w:val="22"/>
          <w:szCs w:val="22"/>
        </w:rPr>
      </w:pPr>
      <w:r w:rsidRPr="00D051AD">
        <w:rPr>
          <w:sz w:val="22"/>
          <w:szCs w:val="22"/>
        </w:rPr>
        <w:t>Figure 3: Survival Plot for Hybrid-induced and Vaccine-induced Groups</w:t>
      </w:r>
    </w:p>
    <w:p w14:paraId="4EC58BEC" w14:textId="77777777" w:rsidR="00D3651D" w:rsidRPr="00D051AD" w:rsidRDefault="00D3651D" w:rsidP="00D3651D">
      <w:pPr>
        <w:pStyle w:val="BodyText"/>
        <w:spacing w:line="276" w:lineRule="auto"/>
        <w:ind w:left="0"/>
        <w:rPr>
          <w:sz w:val="22"/>
          <w:szCs w:val="22"/>
        </w:rPr>
      </w:pPr>
    </w:p>
    <w:p w14:paraId="31D52641" w14:textId="7C5A4037" w:rsidR="00D3651D" w:rsidRPr="00D051AD" w:rsidRDefault="00D3651D" w:rsidP="00D3651D">
      <w:pPr>
        <w:pStyle w:val="BodyText"/>
        <w:spacing w:line="276" w:lineRule="auto"/>
        <w:ind w:left="0"/>
        <w:rPr>
          <w:rFonts w:eastAsiaTheme="minorEastAsia"/>
          <w:sz w:val="22"/>
          <w:szCs w:val="22"/>
          <w:lang w:eastAsia="ko-KR"/>
        </w:rPr>
      </w:pPr>
      <w:bookmarkStart w:id="4" w:name="Infection_Risk_Factors_Analysis"/>
      <w:bookmarkEnd w:id="4"/>
      <w:r w:rsidRPr="00D051AD">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3"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592962E7" w14:textId="77777777" w:rsidR="00D3651D" w:rsidRPr="00D051AD" w:rsidRDefault="00D3651D" w:rsidP="00D3651D">
      <w:pPr>
        <w:pStyle w:val="BodyText"/>
        <w:spacing w:line="276" w:lineRule="auto"/>
        <w:ind w:left="2040"/>
        <w:rPr>
          <w:rFonts w:eastAsiaTheme="minorEastAsia"/>
          <w:sz w:val="22"/>
          <w:szCs w:val="22"/>
          <w:lang w:eastAsia="ko-KR"/>
        </w:rPr>
      </w:pPr>
      <w:r w:rsidRPr="00D051AD">
        <w:rPr>
          <w:sz w:val="22"/>
          <w:szCs w:val="22"/>
        </w:rPr>
        <w:t>Table 2: Cox Proportional Hazards Regression Results</w:t>
      </w:r>
    </w:p>
    <w:p w14:paraId="3F4A0E9B" w14:textId="77777777" w:rsidR="002F0C3B" w:rsidRDefault="002F0C3B" w:rsidP="008D184F">
      <w:pPr>
        <w:pStyle w:val="BodyText"/>
        <w:spacing w:line="276" w:lineRule="auto"/>
        <w:ind w:left="0"/>
        <w:jc w:val="both"/>
        <w:rPr>
          <w:sz w:val="22"/>
          <w:szCs w:val="22"/>
        </w:rPr>
      </w:pPr>
    </w:p>
    <w:p w14:paraId="55C53F4F" w14:textId="25300C06" w:rsidR="008D184F" w:rsidRPr="00D051AD" w:rsidRDefault="008D184F" w:rsidP="008D184F">
      <w:pPr>
        <w:pStyle w:val="BodyText"/>
        <w:spacing w:line="276" w:lineRule="auto"/>
        <w:ind w:left="0"/>
        <w:jc w:val="both"/>
        <w:rPr>
          <w:rFonts w:eastAsiaTheme="minorEastAsia"/>
          <w:sz w:val="22"/>
          <w:szCs w:val="22"/>
          <w:lang w:eastAsia="ko-KR"/>
        </w:rPr>
      </w:pPr>
      <w:r w:rsidRPr="00D051AD">
        <w:rPr>
          <w:sz w:val="22"/>
          <w:szCs w:val="22"/>
        </w:rPr>
        <w:t>The hazard ratio (exp(</w:t>
      </w:r>
      <w:proofErr w:type="spellStart"/>
      <w:r w:rsidRPr="00D051AD">
        <w:rPr>
          <w:sz w:val="22"/>
          <w:szCs w:val="22"/>
        </w:rPr>
        <w:t>coef</w:t>
      </w:r>
      <w:proofErr w:type="spellEnd"/>
      <w:r w:rsidRPr="00D051AD">
        <w:rPr>
          <w:sz w:val="22"/>
          <w:szCs w:val="22"/>
        </w:rPr>
        <w:t>))</w:t>
      </w:r>
      <w:r w:rsidRPr="00D051AD">
        <w:rPr>
          <w:rFonts w:eastAsiaTheme="minorEastAsia"/>
          <w:sz w:val="22"/>
          <w:szCs w:val="22"/>
          <w:lang w:eastAsia="ko-KR"/>
        </w:rPr>
        <w:t xml:space="preserve"> for hybrid group is significantly low as 0.09</w:t>
      </w:r>
      <w:r w:rsidRPr="00D051AD">
        <w:rPr>
          <w:sz w:val="22"/>
          <w:szCs w:val="22"/>
        </w:rPr>
        <w:t xml:space="preserve">, </w:t>
      </w:r>
      <w:r w:rsidRPr="00D051AD">
        <w:rPr>
          <w:rFonts w:eastAsiaTheme="minorEastAsia"/>
          <w:sz w:val="22"/>
          <w:szCs w:val="22"/>
          <w:lang w:eastAsia="ko-KR"/>
        </w:rPr>
        <w:t>indicating</w:t>
      </w:r>
      <w:r w:rsidRPr="00D051AD">
        <w:rPr>
          <w:sz w:val="22"/>
          <w:szCs w:val="22"/>
        </w:rPr>
        <w:t xml:space="preserve"> hybrid-induced immunity reduces the risk to approximately 9% of that for vaccine-induced immunity. For</w:t>
      </w:r>
      <w:r w:rsidRPr="00D051AD">
        <w:rPr>
          <w:spacing w:val="-10"/>
          <w:sz w:val="22"/>
          <w:szCs w:val="22"/>
        </w:rPr>
        <w:t xml:space="preserve"> </w:t>
      </w:r>
      <w:r w:rsidRPr="00D051AD">
        <w:rPr>
          <w:sz w:val="22"/>
          <w:szCs w:val="22"/>
        </w:rPr>
        <w:t>the,</w:t>
      </w:r>
      <w:r w:rsidRPr="00D051AD">
        <w:rPr>
          <w:spacing w:val="-9"/>
          <w:sz w:val="22"/>
          <w:szCs w:val="22"/>
        </w:rPr>
        <w:t xml:space="preserve"> </w:t>
      </w:r>
      <w:r w:rsidRPr="00D051AD">
        <w:rPr>
          <w:sz w:val="22"/>
          <w:szCs w:val="22"/>
        </w:rPr>
        <w:t>a</w:t>
      </w:r>
      <w:r w:rsidRPr="00D051AD">
        <w:rPr>
          <w:spacing w:val="-9"/>
          <w:sz w:val="22"/>
          <w:szCs w:val="22"/>
        </w:rPr>
        <w:t xml:space="preserve"> </w:t>
      </w:r>
      <w:r w:rsidRPr="00D051AD">
        <w:rPr>
          <w:sz w:val="22"/>
          <w:szCs w:val="22"/>
        </w:rPr>
        <w:t>hazard</w:t>
      </w:r>
      <w:r w:rsidRPr="00D051AD">
        <w:rPr>
          <w:spacing w:val="-10"/>
          <w:sz w:val="22"/>
          <w:szCs w:val="22"/>
        </w:rPr>
        <w:t xml:space="preserve"> </w:t>
      </w:r>
      <w:r w:rsidRPr="00D051AD">
        <w:rPr>
          <w:sz w:val="22"/>
          <w:szCs w:val="22"/>
        </w:rPr>
        <w:t>ratio</w:t>
      </w:r>
      <w:r w:rsidRPr="00D051AD">
        <w:rPr>
          <w:spacing w:val="-9"/>
          <w:sz w:val="22"/>
          <w:szCs w:val="22"/>
        </w:rPr>
        <w:t xml:space="preserve"> </w:t>
      </w:r>
      <w:r w:rsidRPr="00D051AD">
        <w:rPr>
          <w:rFonts w:eastAsiaTheme="minorEastAsia"/>
          <w:sz w:val="22"/>
          <w:szCs w:val="22"/>
          <w:lang w:eastAsia="ko-KR"/>
        </w:rPr>
        <w:t xml:space="preserve">of age groups&gt;20 show 42-69% lower risk of infection than age &lt;20 group with increasing risk trends with older age groups. </w:t>
      </w:r>
    </w:p>
    <w:p w14:paraId="3FF1DD8A" w14:textId="77777777" w:rsidR="009D2CEB" w:rsidRDefault="009D2CEB" w:rsidP="009D2CEB">
      <w:pPr>
        <w:pStyle w:val="BodyText"/>
        <w:spacing w:line="276" w:lineRule="auto"/>
        <w:ind w:left="0"/>
        <w:jc w:val="both"/>
        <w:rPr>
          <w:sz w:val="22"/>
          <w:szCs w:val="22"/>
        </w:rPr>
      </w:pPr>
    </w:p>
    <w:p w14:paraId="5E8C3263" w14:textId="3794BD2F" w:rsidR="004567C4" w:rsidRPr="009D2CEB" w:rsidRDefault="009D2CEB" w:rsidP="009D2CEB">
      <w:pPr>
        <w:pStyle w:val="BodyText"/>
        <w:spacing w:line="276" w:lineRule="auto"/>
        <w:ind w:left="0"/>
        <w:jc w:val="both"/>
        <w:rPr>
          <w:sz w:val="22"/>
          <w:szCs w:val="22"/>
        </w:rPr>
      </w:pPr>
      <w:r w:rsidRPr="00D051AD">
        <w:rPr>
          <w:rFonts w:eastAsiaTheme="minorEastAsia"/>
          <w:sz w:val="22"/>
          <w:szCs w:val="22"/>
          <w:lang w:eastAsia="ko-KR"/>
        </w:rPr>
        <w:t xml:space="preserve">The probability of remaining infection-free by S ab levels across immunity/age groups shows similar risk trends by immunity/age groups with the survival analyses. </w:t>
      </w:r>
      <w:r w:rsidRPr="00D051AD">
        <w:rPr>
          <w:sz w:val="22"/>
          <w:szCs w:val="22"/>
        </w:rPr>
        <w:t>In</w:t>
      </w:r>
      <w:r w:rsidRPr="00D051AD">
        <w:rPr>
          <w:spacing w:val="-14"/>
          <w:sz w:val="22"/>
          <w:szCs w:val="22"/>
        </w:rPr>
        <w:t xml:space="preserve"> </w:t>
      </w:r>
      <w:r w:rsidRPr="00D051AD">
        <w:rPr>
          <w:sz w:val="22"/>
          <w:szCs w:val="22"/>
        </w:rPr>
        <w:t>the</w:t>
      </w:r>
      <w:r w:rsidRPr="00D051AD">
        <w:rPr>
          <w:spacing w:val="-13"/>
          <w:sz w:val="22"/>
          <w:szCs w:val="22"/>
        </w:rPr>
        <w:t xml:space="preserve"> </w:t>
      </w:r>
      <w:r w:rsidRPr="00D051AD">
        <w:rPr>
          <w:sz w:val="22"/>
          <w:szCs w:val="22"/>
        </w:rPr>
        <w:t>vaccine-induced</w:t>
      </w:r>
      <w:r w:rsidRPr="00D051AD">
        <w:rPr>
          <w:spacing w:val="-14"/>
          <w:sz w:val="22"/>
          <w:szCs w:val="22"/>
        </w:rPr>
        <w:t xml:space="preserve"> </w:t>
      </w:r>
      <w:r w:rsidRPr="00D051AD">
        <w:rPr>
          <w:sz w:val="22"/>
          <w:szCs w:val="22"/>
        </w:rPr>
        <w:t>group,</w:t>
      </w:r>
      <w:r w:rsidRPr="00D051AD">
        <w:rPr>
          <w:spacing w:val="-12"/>
          <w:sz w:val="22"/>
          <w:szCs w:val="22"/>
        </w:rPr>
        <w:t xml:space="preserve"> </w:t>
      </w:r>
      <w:r w:rsidRPr="00D051AD">
        <w:rPr>
          <w:sz w:val="22"/>
          <w:szCs w:val="22"/>
        </w:rPr>
        <w:t>the</w:t>
      </w:r>
      <w:r w:rsidRPr="00D051AD">
        <w:rPr>
          <w:spacing w:val="-15"/>
          <w:sz w:val="22"/>
          <w:szCs w:val="22"/>
        </w:rPr>
        <w:t xml:space="preserve"> </w:t>
      </w:r>
      <w:r w:rsidRPr="00D051AD">
        <w:rPr>
          <w:sz w:val="22"/>
          <w:szCs w:val="22"/>
        </w:rPr>
        <w:t>probability</w:t>
      </w:r>
      <w:r w:rsidRPr="00D051AD">
        <w:rPr>
          <w:spacing w:val="-13"/>
          <w:sz w:val="22"/>
          <w:szCs w:val="22"/>
        </w:rPr>
        <w:t xml:space="preserve"> </w:t>
      </w:r>
      <w:r w:rsidRPr="00D051AD">
        <w:rPr>
          <w:sz w:val="22"/>
          <w:szCs w:val="22"/>
        </w:rPr>
        <w:t>of</w:t>
      </w:r>
      <w:r w:rsidRPr="00D051AD">
        <w:rPr>
          <w:spacing w:val="-15"/>
          <w:sz w:val="22"/>
          <w:szCs w:val="22"/>
        </w:rPr>
        <w:t xml:space="preserve"> </w:t>
      </w:r>
      <w:r w:rsidRPr="00D051AD">
        <w:rPr>
          <w:sz w:val="22"/>
          <w:szCs w:val="22"/>
        </w:rPr>
        <w:t>remaining</w:t>
      </w:r>
      <w:r w:rsidRPr="00D051AD">
        <w:rPr>
          <w:spacing w:val="-14"/>
          <w:sz w:val="22"/>
          <w:szCs w:val="22"/>
        </w:rPr>
        <w:t xml:space="preserve"> </w:t>
      </w:r>
      <w:r w:rsidRPr="00D051AD">
        <w:rPr>
          <w:sz w:val="22"/>
          <w:szCs w:val="22"/>
        </w:rPr>
        <w:t>infection-free decreases with higher S antibody levels</w:t>
      </w:r>
      <w:r w:rsidRPr="00D051AD">
        <w:rPr>
          <w:rFonts w:eastAsiaTheme="minorEastAsia"/>
          <w:sz w:val="22"/>
          <w:szCs w:val="22"/>
          <w:lang w:eastAsia="ko-KR"/>
        </w:rPr>
        <w:t xml:space="preserve"> across age groups, demonstrating the highest risk for age &lt;20 (60% of remaining infection-free with S ab level 5000 to </w:t>
      </w:r>
      <w:r w:rsidR="008D184F">
        <w:rPr>
          <w:rFonts w:eastAsiaTheme="minorEastAsia"/>
          <w:sz w:val="22"/>
          <w:szCs w:val="22"/>
          <w:lang w:eastAsia="ko-KR"/>
        </w:rPr>
        <w:t>75</w:t>
      </w:r>
      <w:r w:rsidRPr="00D051AD">
        <w:rPr>
          <w:rFonts w:eastAsiaTheme="minorEastAsia"/>
          <w:sz w:val="22"/>
          <w:szCs w:val="22"/>
          <w:lang w:eastAsia="ko-KR"/>
        </w:rPr>
        <w:t>% with 250,000) following &gt;60, 40-60, and 20-40 groups</w:t>
      </w:r>
      <w:r w:rsidR="008D184F">
        <w:rPr>
          <w:rFonts w:eastAsiaTheme="minorEastAsia"/>
          <w:sz w:val="22"/>
          <w:szCs w:val="22"/>
          <w:lang w:eastAsia="ko-KR"/>
        </w:rPr>
        <w:t xml:space="preserve"> </w:t>
      </w:r>
      <w:r w:rsidRPr="00D051AD">
        <w:rPr>
          <w:rFonts w:eastAsiaTheme="minorEastAsia"/>
          <w:sz w:val="22"/>
          <w:szCs w:val="22"/>
          <w:lang w:eastAsia="ko-KR"/>
        </w:rPr>
        <w:t>In other words, to have an 80% probability of remaining infection-free, age 20-40 requires an S ab level of at least 10,000, 40-60 groups as 150,000, and &gt;60 as 20,000 and &lt;20 as 250,000.</w:t>
      </w:r>
      <w:r w:rsidR="008D184F">
        <w:rPr>
          <w:rFonts w:eastAsiaTheme="minorEastAsia"/>
          <w:sz w:val="22"/>
          <w:szCs w:val="22"/>
          <w:lang w:eastAsia="ko-KR"/>
        </w:rPr>
        <w:t xml:space="preserve"> However, in the hybrid-induced group, whatever the age group and S ab level, the population maintain over 95% of </w:t>
      </w:r>
      <w:r w:rsidR="008D184F" w:rsidRPr="00D051AD">
        <w:rPr>
          <w:rFonts w:eastAsiaTheme="minorEastAsia"/>
          <w:sz w:val="22"/>
          <w:szCs w:val="22"/>
          <w:lang w:eastAsia="ko-KR"/>
        </w:rPr>
        <w:t>remaining infection-</w:t>
      </w:r>
      <w:r w:rsidR="008D184F" w:rsidRPr="00D051AD">
        <w:rPr>
          <w:rFonts w:eastAsiaTheme="minorEastAsia"/>
          <w:sz w:val="22"/>
          <w:szCs w:val="22"/>
          <w:lang w:eastAsia="ko-KR"/>
        </w:rPr>
        <w:lastRenderedPageBreak/>
        <w:t>free</w:t>
      </w:r>
      <w:r w:rsidR="008D184F">
        <w:rPr>
          <w:rFonts w:eastAsiaTheme="minorEastAsia"/>
          <w:sz w:val="22"/>
          <w:szCs w:val="22"/>
          <w:lang w:eastAsia="ko-KR"/>
        </w:rPr>
        <w:t xml:space="preserve"> during. </w:t>
      </w:r>
    </w:p>
    <w:p w14:paraId="09B82FFA" w14:textId="5C5EF62D" w:rsidR="00D3651D" w:rsidRPr="00D051AD" w:rsidRDefault="00D3651D" w:rsidP="00D3651D">
      <w:pPr>
        <w:pStyle w:val="BodyText"/>
        <w:spacing w:line="276" w:lineRule="auto"/>
        <w:ind w:left="168"/>
        <w:rPr>
          <w:sz w:val="22"/>
          <w:szCs w:val="22"/>
          <w:lang w:eastAsia="zh-CN"/>
        </w:rPr>
      </w:pPr>
    </w:p>
    <w:p w14:paraId="7A1533DA" w14:textId="2C715F4F" w:rsidR="00D3651D" w:rsidRPr="00D051AD" w:rsidRDefault="009D2CEB" w:rsidP="00D3651D">
      <w:pPr>
        <w:pStyle w:val="BodyText"/>
        <w:spacing w:line="276" w:lineRule="auto"/>
        <w:ind w:left="0"/>
        <w:rPr>
          <w:sz w:val="22"/>
          <w:szCs w:val="22"/>
        </w:rPr>
      </w:pPr>
      <w:r>
        <w:rPr>
          <w:noProof/>
          <w:sz w:val="22"/>
          <w:szCs w:val="22"/>
          <w14:ligatures w14:val="standardContextual"/>
        </w:rPr>
        <w:drawing>
          <wp:inline distT="0" distB="0" distL="0" distR="0" wp14:anchorId="1462368A" wp14:editId="6C5EBBCC">
            <wp:extent cx="6191250" cy="3108325"/>
            <wp:effectExtent l="0" t="0" r="6350" b="3175"/>
            <wp:docPr id="20308409" name="Picture 9"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9" name="Picture 9" descr="A group of graphs showing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1250" cy="3108325"/>
                    </a:xfrm>
                    <a:prstGeom prst="rect">
                      <a:avLst/>
                    </a:prstGeom>
                  </pic:spPr>
                </pic:pic>
              </a:graphicData>
            </a:graphic>
          </wp:inline>
        </w:drawing>
      </w:r>
    </w:p>
    <w:p w14:paraId="1A732E94" w14:textId="77777777" w:rsidR="00D3651D" w:rsidRPr="00D051AD" w:rsidRDefault="00D3651D" w:rsidP="00D3651D">
      <w:pPr>
        <w:pStyle w:val="BodyText"/>
        <w:spacing w:line="276" w:lineRule="auto"/>
        <w:ind w:right="552"/>
        <w:rPr>
          <w:rFonts w:eastAsiaTheme="minorEastAsia"/>
          <w:sz w:val="22"/>
          <w:szCs w:val="22"/>
          <w:lang w:eastAsia="ko-KR"/>
        </w:rPr>
      </w:pPr>
      <w:r w:rsidRPr="00D051AD">
        <w:rPr>
          <w:sz w:val="22"/>
          <w:szCs w:val="22"/>
        </w:rPr>
        <w:t xml:space="preserve">Figure </w:t>
      </w:r>
      <w:r w:rsidRPr="00D051AD">
        <w:rPr>
          <w:rFonts w:eastAsiaTheme="minorEastAsia"/>
          <w:sz w:val="22"/>
          <w:szCs w:val="22"/>
          <w:lang w:eastAsia="ko-KR"/>
        </w:rPr>
        <w:t>4</w:t>
      </w:r>
      <w:r w:rsidRPr="00D051AD">
        <w:rPr>
          <w:sz w:val="22"/>
          <w:szCs w:val="22"/>
        </w:rPr>
        <w:t>: Regression line comparison for vaccine-induced (left) and hybrid-induced (right) groups</w:t>
      </w:r>
    </w:p>
    <w:p w14:paraId="4FCEAB52"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468F5489" w14:textId="77777777" w:rsidR="00D3651D" w:rsidRPr="004567C4" w:rsidRDefault="00D3651D" w:rsidP="00D3651D">
      <w:pPr>
        <w:pStyle w:val="Heading1"/>
        <w:tabs>
          <w:tab w:val="left" w:pos="633"/>
          <w:tab w:val="left" w:pos="634"/>
        </w:tabs>
        <w:spacing w:before="0" w:after="0" w:line="276" w:lineRule="auto"/>
        <w:ind w:left="633" w:hanging="517"/>
        <w:rPr>
          <w:rFonts w:ascii="Times New Roman" w:hAnsi="Times New Roman" w:cs="Times New Roman"/>
          <w:b/>
          <w:bCs/>
          <w:color w:val="000000" w:themeColor="text1"/>
          <w:sz w:val="22"/>
          <w:szCs w:val="22"/>
        </w:rPr>
      </w:pPr>
      <w:bookmarkStart w:id="5" w:name="Discussion"/>
      <w:bookmarkEnd w:id="5"/>
      <w:r w:rsidRPr="004567C4">
        <w:rPr>
          <w:rFonts w:ascii="Times New Roman" w:hAnsi="Times New Roman" w:cs="Times New Roman"/>
          <w:b/>
          <w:bCs/>
          <w:color w:val="000000" w:themeColor="text1"/>
          <w:sz w:val="22"/>
          <w:szCs w:val="22"/>
        </w:rPr>
        <w:t>Discussion</w:t>
      </w:r>
    </w:p>
    <w:p w14:paraId="03AAED41" w14:textId="77777777" w:rsidR="00D3651D" w:rsidRPr="00D051AD" w:rsidRDefault="00D3651D" w:rsidP="00D3651D">
      <w:pPr>
        <w:pStyle w:val="Heading1"/>
        <w:tabs>
          <w:tab w:val="left" w:pos="633"/>
          <w:tab w:val="left" w:pos="634"/>
        </w:tabs>
        <w:spacing w:before="0" w:after="0" w:line="276" w:lineRule="auto"/>
        <w:rPr>
          <w:rFonts w:ascii="Times New Roman" w:hAnsi="Times New Roman" w:cs="Times New Roman"/>
          <w:sz w:val="22"/>
          <w:szCs w:val="22"/>
        </w:rPr>
      </w:pPr>
    </w:p>
    <w:p w14:paraId="4F5C9627" w14:textId="77777777" w:rsidR="00D3651D" w:rsidRPr="00D051AD" w:rsidRDefault="00D3651D" w:rsidP="00D3651D">
      <w:pPr>
        <w:pStyle w:val="BodyText"/>
        <w:spacing w:line="276" w:lineRule="auto"/>
        <w:ind w:firstLine="566"/>
        <w:jc w:val="both"/>
        <w:rPr>
          <w:rFonts w:eastAsiaTheme="minorEastAsia"/>
          <w:sz w:val="22"/>
          <w:szCs w:val="22"/>
          <w:lang w:eastAsia="ko-KR"/>
        </w:rPr>
      </w:pPr>
      <w:r w:rsidRPr="00D051AD">
        <w:rPr>
          <w:rFonts w:eastAsiaTheme="minorEastAsia"/>
          <w:color w:val="000000"/>
          <w:sz w:val="22"/>
          <w:szCs w:val="22"/>
          <w:lang w:eastAsia="ko-KR"/>
        </w:rPr>
        <w:t xml:space="preserve">Our study examined the protective effectiveness of COVID-19 infection across age group between hybrid and vaccine-induced in general population </w:t>
      </w:r>
      <w:r w:rsidRPr="00D051AD">
        <w:rPr>
          <w:rFonts w:eastAsiaTheme="minorEastAsia"/>
          <w:sz w:val="22"/>
          <w:szCs w:val="22"/>
          <w:lang w:eastAsia="ko-KR"/>
        </w:rPr>
        <w:t>based on community-based nationwide surveillance</w:t>
      </w:r>
      <w:r w:rsidRPr="00D051AD">
        <w:rPr>
          <w:rFonts w:eastAsiaTheme="minorEastAsia"/>
          <w:color w:val="000000"/>
          <w:sz w:val="22"/>
          <w:szCs w:val="22"/>
          <w:lang w:eastAsia="ko-KR"/>
        </w:rPr>
        <w:t xml:space="preserve">. </w:t>
      </w:r>
      <w:r w:rsidRPr="00D051AD">
        <w:rPr>
          <w:sz w:val="22"/>
          <w:szCs w:val="22"/>
        </w:rPr>
        <w:t xml:space="preserve">In this </w:t>
      </w:r>
      <w:r w:rsidRPr="00D051AD">
        <w:rPr>
          <w:spacing w:val="-3"/>
          <w:sz w:val="22"/>
          <w:szCs w:val="22"/>
        </w:rPr>
        <w:t xml:space="preserve">study, </w:t>
      </w:r>
      <w:r w:rsidRPr="00D051AD">
        <w:rPr>
          <w:sz w:val="22"/>
          <w:szCs w:val="22"/>
        </w:rPr>
        <w:t xml:space="preserve">we utilized nationwide community-based surveillance data </w:t>
      </w:r>
      <w:r w:rsidRPr="00D051AD">
        <w:rPr>
          <w:rFonts w:eastAsiaTheme="minorEastAsia"/>
          <w:sz w:val="22"/>
          <w:szCs w:val="22"/>
          <w:lang w:eastAsia="ko-KR"/>
        </w:rPr>
        <w:t xml:space="preserve">(large sample sizes and wide age spectrums) </w:t>
      </w:r>
      <w:r w:rsidRPr="00D051AD">
        <w:rPr>
          <w:sz w:val="22"/>
          <w:szCs w:val="22"/>
        </w:rPr>
        <w:t xml:space="preserve">from South </w:t>
      </w:r>
      <w:r w:rsidRPr="00D051AD">
        <w:rPr>
          <w:spacing w:val="-3"/>
          <w:sz w:val="22"/>
          <w:szCs w:val="22"/>
        </w:rPr>
        <w:t xml:space="preserve">Ko- </w:t>
      </w:r>
      <w:r w:rsidRPr="00D051AD">
        <w:rPr>
          <w:sz w:val="22"/>
          <w:szCs w:val="22"/>
        </w:rPr>
        <w:t>rea,</w:t>
      </w:r>
      <w:r w:rsidRPr="00D051AD">
        <w:rPr>
          <w:spacing w:val="-18"/>
          <w:sz w:val="22"/>
          <w:szCs w:val="22"/>
        </w:rPr>
        <w:t xml:space="preserve"> </w:t>
      </w:r>
      <w:r w:rsidRPr="00D051AD">
        <w:rPr>
          <w:sz w:val="22"/>
          <w:szCs w:val="22"/>
        </w:rPr>
        <w:t>involving</w:t>
      </w:r>
      <w:r w:rsidRPr="00D051AD">
        <w:rPr>
          <w:spacing w:val="-20"/>
          <w:sz w:val="22"/>
          <w:szCs w:val="22"/>
        </w:rPr>
        <w:t xml:space="preserve"> </w:t>
      </w:r>
      <w:r w:rsidRPr="00D051AD">
        <w:rPr>
          <w:sz w:val="22"/>
          <w:szCs w:val="22"/>
        </w:rPr>
        <w:t>10,000</w:t>
      </w:r>
      <w:r w:rsidRPr="00D051AD">
        <w:rPr>
          <w:spacing w:val="-20"/>
          <w:sz w:val="22"/>
          <w:szCs w:val="22"/>
        </w:rPr>
        <w:t xml:space="preserve"> </w:t>
      </w:r>
      <w:r w:rsidRPr="00D051AD">
        <w:rPr>
          <w:sz w:val="22"/>
          <w:szCs w:val="22"/>
        </w:rPr>
        <w:t>participants,</w:t>
      </w:r>
      <w:r w:rsidRPr="00D051AD">
        <w:rPr>
          <w:spacing w:val="-17"/>
          <w:sz w:val="22"/>
          <w:szCs w:val="22"/>
        </w:rPr>
        <w:t xml:space="preserve"> </w:t>
      </w:r>
      <w:r w:rsidRPr="00D051AD">
        <w:rPr>
          <w:rFonts w:eastAsiaTheme="minorEastAsia"/>
          <w:sz w:val="22"/>
          <w:szCs w:val="22"/>
          <w:lang w:eastAsia="ko-KR"/>
        </w:rPr>
        <w:t xml:space="preserve">with detailed demographic information and serological assessment twice after an epidemic wave of omicron variants. We defined the hybrid and vaccine group based on information from serology (S and N status) and self-reporting on previous vaccination and testing as accurately as possible, avoiding many sources of bias that would lead to differential misclassification of people as infected. We illustrated the S antibody level and associated protective efficacy against breakthrough infection over time by age group and immunity status. Based on the identified risk factors by the immunity groups, we quantified the probability of free from infection risk by age group so it can guide the specific vaccine prioritization and interval for age groups. </w:t>
      </w:r>
    </w:p>
    <w:p w14:paraId="2DF93135" w14:textId="77777777" w:rsidR="00D3651D" w:rsidRPr="00D051AD" w:rsidRDefault="00D3651D" w:rsidP="00D3651D">
      <w:pPr>
        <w:pStyle w:val="BodyText"/>
        <w:spacing w:line="276" w:lineRule="auto"/>
        <w:ind w:firstLine="566"/>
        <w:jc w:val="both"/>
        <w:rPr>
          <w:rFonts w:eastAsiaTheme="minorEastAsia"/>
          <w:sz w:val="22"/>
          <w:szCs w:val="22"/>
          <w:lang w:eastAsia="ko-KR"/>
        </w:rPr>
      </w:pPr>
    </w:p>
    <w:p w14:paraId="4BE18C54" w14:textId="6E59D4A6" w:rsidR="00D3651D" w:rsidRPr="00D051AD" w:rsidRDefault="00D3651D" w:rsidP="00D3651D">
      <w:pPr>
        <w:pStyle w:val="BodyText"/>
        <w:spacing w:line="276" w:lineRule="auto"/>
        <w:jc w:val="both"/>
        <w:rPr>
          <w:rFonts w:eastAsiaTheme="minorEastAsia"/>
          <w:sz w:val="22"/>
          <w:szCs w:val="22"/>
          <w:lang w:eastAsia="ko-KR"/>
        </w:rPr>
      </w:pPr>
      <w:r w:rsidRPr="00D051AD">
        <w:rPr>
          <w:rFonts w:eastAsiaTheme="minorEastAsia"/>
          <w:sz w:val="22"/>
          <w:szCs w:val="22"/>
          <w:lang w:eastAsia="ko-KR"/>
        </w:rPr>
        <w:t xml:space="preserve">Our study highlights significant differences in the efficacy of hybrid-induced and vaccine induced immunity in preventing COVID-19 infections across various age groups, which correlated with higher initial S antibody levels; After the Omicron wave, our data shows the highest breakthrough infection risk is younger (&lt;20 age) vaccine group, following &gt;60, 40-60 and 20-40. The high risk for younger (&lt;20 age) may be due to the increased exposure/contacts after omicron waves with the lift of the social distancing policy. This suggests that under new variants with the relaxation of measures across many countries, groups previously less exposed, for example, due to shielding guidance, may become more at risk. </w:t>
      </w:r>
      <w:r w:rsidRPr="00D051AD">
        <w:rPr>
          <w:sz w:val="22"/>
          <w:szCs w:val="22"/>
        </w:rPr>
        <w:t>In addition to assessing the risk of infection, we also investigated the risk of</w:t>
      </w:r>
      <w:r w:rsidRPr="00D051AD">
        <w:rPr>
          <w:rFonts w:eastAsiaTheme="minorEastAsia"/>
          <w:sz w:val="22"/>
          <w:szCs w:val="22"/>
          <w:lang w:eastAsia="ko-KR"/>
        </w:rPr>
        <w:t xml:space="preserve"> hospitalization</w:t>
      </w:r>
      <w:r w:rsidRPr="00D051AD">
        <w:rPr>
          <w:sz w:val="22"/>
          <w:szCs w:val="22"/>
        </w:rPr>
        <w:t xml:space="preserve"> among those infected. </w:t>
      </w:r>
      <w:r w:rsidRPr="00D051AD">
        <w:rPr>
          <w:rFonts w:eastAsiaTheme="minorEastAsia"/>
          <w:sz w:val="22"/>
          <w:szCs w:val="22"/>
          <w:lang w:eastAsia="ko-KR"/>
        </w:rPr>
        <w:t xml:space="preserve">While the hospitalization events were quite small (which </w:t>
      </w:r>
      <w:r w:rsidRPr="00D051AD">
        <w:rPr>
          <w:sz w:val="22"/>
          <w:szCs w:val="22"/>
        </w:rPr>
        <w:t>limited sample size precludes more detailed statistical</w:t>
      </w:r>
      <w:r w:rsidRPr="00D051AD">
        <w:rPr>
          <w:spacing w:val="-2"/>
          <w:sz w:val="22"/>
          <w:szCs w:val="22"/>
        </w:rPr>
        <w:t xml:space="preserve"> </w:t>
      </w:r>
      <w:r w:rsidRPr="00D051AD">
        <w:rPr>
          <w:sz w:val="22"/>
          <w:szCs w:val="22"/>
        </w:rPr>
        <w:t>analysis</w:t>
      </w:r>
      <w:r w:rsidRPr="00D051AD">
        <w:rPr>
          <w:rFonts w:eastAsiaTheme="minorEastAsia"/>
          <w:sz w:val="22"/>
          <w:szCs w:val="22"/>
          <w:lang w:eastAsia="ko-KR"/>
        </w:rPr>
        <w:t xml:space="preserve">), the result indicates that the </w:t>
      </w:r>
      <w:r w:rsidRPr="00D051AD">
        <w:rPr>
          <w:rFonts w:eastAsiaTheme="minorEastAsia"/>
          <w:spacing w:val="7"/>
          <w:sz w:val="22"/>
          <w:szCs w:val="22"/>
          <w:lang w:eastAsia="ko-KR"/>
        </w:rPr>
        <w:t>Infection hospitalization risks are higher for vaccines especially for age &gt; 60 after omicron waves</w:t>
      </w:r>
      <w:r w:rsidRPr="00D051AD">
        <w:rPr>
          <w:sz w:val="22"/>
          <w:szCs w:val="22"/>
        </w:rPr>
        <w:t>.</w:t>
      </w:r>
      <w:r w:rsidRPr="00D051AD">
        <w:rPr>
          <w:rFonts w:eastAsiaTheme="minorEastAsia"/>
          <w:sz w:val="22"/>
          <w:szCs w:val="22"/>
          <w:lang w:eastAsia="ko-KR"/>
        </w:rPr>
        <w:t xml:space="preserve"> (Appendix Table S1)</w:t>
      </w:r>
      <w:r w:rsidRPr="00D051AD">
        <w:rPr>
          <w:spacing w:val="7"/>
          <w:sz w:val="22"/>
          <w:szCs w:val="22"/>
        </w:rPr>
        <w:t xml:space="preserve"> </w:t>
      </w:r>
      <w:r w:rsidRPr="00D051AD">
        <w:rPr>
          <w:rFonts w:eastAsiaTheme="minorEastAsia"/>
          <w:sz w:val="22"/>
          <w:szCs w:val="22"/>
          <w:lang w:eastAsia="ko-KR"/>
        </w:rPr>
        <w:t xml:space="preserve">The high risk for older (&gt;60 age) may be due to the decreased immune system efficiency with age (as known as </w:t>
      </w:r>
      <w:proofErr w:type="spellStart"/>
      <w:r w:rsidRPr="00D051AD">
        <w:rPr>
          <w:rFonts w:eastAsiaTheme="minorEastAsia"/>
          <w:sz w:val="22"/>
          <w:szCs w:val="22"/>
          <w:lang w:eastAsia="ko-KR"/>
        </w:rPr>
        <w:t>immunosenescence</w:t>
      </w:r>
      <w:proofErr w:type="spellEnd"/>
      <w:r w:rsidRPr="00D051AD">
        <w:rPr>
          <w:rFonts w:eastAsiaTheme="minorEastAsia"/>
          <w:sz w:val="22"/>
          <w:szCs w:val="22"/>
          <w:lang w:eastAsia="ko-KR"/>
        </w:rPr>
        <w:t xml:space="preserve">). Previous studies showed individuals 60 years or </w:t>
      </w:r>
      <w:r w:rsidRPr="00D051AD">
        <w:rPr>
          <w:rFonts w:eastAsiaTheme="minorEastAsia"/>
          <w:sz w:val="22"/>
          <w:szCs w:val="22"/>
          <w:u w:val="single"/>
          <w:lang w:eastAsia="ko-KR"/>
        </w:rPr>
        <w:t xml:space="preserve">older had lower antibody levels </w:t>
      </w:r>
      <w:r w:rsidRPr="00D051AD">
        <w:rPr>
          <w:rFonts w:eastAsiaTheme="minorEastAsia"/>
          <w:sz w:val="22"/>
          <w:szCs w:val="22"/>
          <w:lang w:eastAsia="ko-KR"/>
        </w:rPr>
        <w:t xml:space="preserve">after vaccination compared to younger participants and increased age has been associated with reduced vaccine responses in </w:t>
      </w:r>
      <w:proofErr w:type="gramStart"/>
      <w:r w:rsidRPr="00D051AD">
        <w:rPr>
          <w:rFonts w:eastAsiaTheme="minorEastAsia"/>
          <w:sz w:val="22"/>
          <w:szCs w:val="22"/>
          <w:lang w:eastAsia="ko-KR"/>
        </w:rPr>
        <w:t>a number of</w:t>
      </w:r>
      <w:proofErr w:type="gramEnd"/>
      <w:r w:rsidRPr="00D051AD">
        <w:rPr>
          <w:rFonts w:eastAsiaTheme="minorEastAsia"/>
          <w:sz w:val="22"/>
          <w:szCs w:val="22"/>
          <w:lang w:eastAsia="ko-KR"/>
        </w:rPr>
        <w:t xml:space="preserve"> studies irrespective of vaccine type</w:t>
      </w:r>
      <w:r w:rsidR="002F0C3B">
        <w:rPr>
          <w:rFonts w:eastAsiaTheme="minorEastAsia"/>
          <w:sz w:val="22"/>
          <w:szCs w:val="22"/>
          <w:lang w:eastAsia="ko-KR"/>
        </w:rPr>
        <w:t xml:space="preserve"> [</w:t>
      </w:r>
      <w:r w:rsidR="002F0C3B" w:rsidRPr="002F0C3B">
        <w:rPr>
          <w:rFonts w:eastAsiaTheme="minorEastAsia"/>
          <w:color w:val="FF0000"/>
          <w:sz w:val="22"/>
          <w:szCs w:val="22"/>
          <w:lang w:eastAsia="ko-KR"/>
        </w:rPr>
        <w:t>18</w:t>
      </w:r>
      <w:r w:rsidR="002F0C3B">
        <w:rPr>
          <w:rFonts w:eastAsiaTheme="minorEastAsia"/>
          <w:sz w:val="22"/>
          <w:szCs w:val="22"/>
          <w:lang w:eastAsia="ko-KR"/>
        </w:rPr>
        <w:t>]</w:t>
      </w:r>
      <w:r w:rsidRPr="00D051AD">
        <w:rPr>
          <w:rFonts w:eastAsiaTheme="minorEastAsia"/>
          <w:sz w:val="22"/>
          <w:szCs w:val="22"/>
          <w:lang w:eastAsia="ko-KR"/>
        </w:rPr>
        <w:t>.</w:t>
      </w:r>
      <w:r w:rsidR="002F0C3B">
        <w:rPr>
          <w:sz w:val="22"/>
          <w:szCs w:val="22"/>
        </w:rPr>
        <w:t xml:space="preserve"> </w:t>
      </w:r>
      <w:r w:rsidRPr="00D051AD">
        <w:rPr>
          <w:rFonts w:eastAsiaTheme="minorEastAsia"/>
          <w:sz w:val="22"/>
          <w:szCs w:val="22"/>
          <w:lang w:eastAsia="ko-KR"/>
        </w:rPr>
        <w:t xml:space="preserve">A similar effect has been seen with antibody </w:t>
      </w:r>
      <w:r w:rsidRPr="00D051AD">
        <w:rPr>
          <w:rFonts w:eastAsiaTheme="minorEastAsia"/>
          <w:sz w:val="22"/>
          <w:szCs w:val="22"/>
          <w:lang w:eastAsia="ko-KR"/>
        </w:rPr>
        <w:lastRenderedPageBreak/>
        <w:t xml:space="preserve">responses after infection. </w:t>
      </w:r>
      <w:r w:rsidRPr="00964206">
        <w:rPr>
          <w:rFonts w:eastAsiaTheme="minorEastAsia"/>
          <w:sz w:val="22"/>
          <w:szCs w:val="22"/>
          <w:lang w:eastAsia="ko-KR"/>
        </w:rPr>
        <w:t xml:space="preserve">On the other hand, another study showed </w:t>
      </w:r>
      <w:r w:rsidRPr="00D051AD">
        <w:rPr>
          <w:rFonts w:eastAsiaTheme="minorEastAsia"/>
          <w:sz w:val="22"/>
          <w:szCs w:val="22"/>
          <w:u w:val="single"/>
          <w:lang w:eastAsia="ko-KR"/>
        </w:rPr>
        <w:t>no consistent associations of lower antibody levels with age</w:t>
      </w:r>
      <w:r w:rsidRPr="00D051AD">
        <w:rPr>
          <w:rFonts w:eastAsiaTheme="minorEastAsia"/>
          <w:sz w:val="22"/>
          <w:szCs w:val="22"/>
          <w:lang w:eastAsia="ko-KR"/>
        </w:rPr>
        <w:t xml:space="preserve">, but </w:t>
      </w:r>
      <w:r w:rsidRPr="00D051AD">
        <w:rPr>
          <w:rFonts w:eastAsiaTheme="minorEastAsia"/>
          <w:sz w:val="22"/>
          <w:szCs w:val="22"/>
          <w:u w:val="single"/>
          <w:lang w:eastAsia="ko-KR"/>
        </w:rPr>
        <w:t xml:space="preserve">a very strong age gradient </w:t>
      </w:r>
      <w:r w:rsidRPr="00D051AD">
        <w:rPr>
          <w:rFonts w:eastAsiaTheme="minorEastAsia"/>
          <w:sz w:val="22"/>
          <w:szCs w:val="22"/>
          <w:lang w:eastAsia="ko-KR"/>
        </w:rPr>
        <w:t>(lower incidence with older age) of post-vaccination infection based on cross-sectional samples from Apr 2021-Jan 2022 before omicron wave. Overall, these results are consistent with the risk of infection being a complex combination of SARS-CoV-2 case prevalence, individual immune response to vaccination, and individual level of exposure</w:t>
      </w:r>
      <w:r w:rsidR="002F0C3B">
        <w:rPr>
          <w:rFonts w:eastAsiaTheme="minorEastAsia"/>
          <w:sz w:val="22"/>
          <w:szCs w:val="22"/>
          <w:lang w:eastAsia="ko-KR"/>
        </w:rPr>
        <w:t xml:space="preserve"> [</w:t>
      </w:r>
      <w:r w:rsidR="002F0C3B" w:rsidRPr="002F0C3B">
        <w:rPr>
          <w:rFonts w:eastAsiaTheme="minorEastAsia"/>
          <w:color w:val="FF0000"/>
          <w:sz w:val="22"/>
          <w:szCs w:val="22"/>
          <w:lang w:eastAsia="ko-KR"/>
        </w:rPr>
        <w:t>19</w:t>
      </w:r>
      <w:r w:rsidR="002F0C3B">
        <w:rPr>
          <w:rFonts w:eastAsiaTheme="minorEastAsia"/>
          <w:sz w:val="22"/>
          <w:szCs w:val="22"/>
          <w:lang w:eastAsia="ko-KR"/>
        </w:rPr>
        <w:t>]</w:t>
      </w:r>
      <w:r w:rsidRPr="00D051AD">
        <w:rPr>
          <w:rFonts w:eastAsiaTheme="minorEastAsia"/>
          <w:sz w:val="22"/>
          <w:szCs w:val="22"/>
          <w:lang w:eastAsia="ko-KR"/>
        </w:rPr>
        <w:t xml:space="preserve">. </w:t>
      </w:r>
    </w:p>
    <w:p w14:paraId="26D156B2" w14:textId="77777777" w:rsidR="00D3651D" w:rsidRPr="00D051AD" w:rsidRDefault="00D3651D" w:rsidP="00D3651D">
      <w:pPr>
        <w:pStyle w:val="BodyText"/>
        <w:spacing w:line="276" w:lineRule="auto"/>
        <w:jc w:val="both"/>
        <w:rPr>
          <w:rFonts w:eastAsiaTheme="minorEastAsia"/>
          <w:sz w:val="22"/>
          <w:szCs w:val="22"/>
          <w:lang w:eastAsia="ko-KR"/>
        </w:rPr>
      </w:pPr>
    </w:p>
    <w:p w14:paraId="0662C43D" w14:textId="3662C19A" w:rsidR="00D3651D" w:rsidRPr="002F0C3B" w:rsidRDefault="002F0C3B" w:rsidP="00D3651D">
      <w:pPr>
        <w:pStyle w:val="BodyText"/>
        <w:spacing w:line="276" w:lineRule="auto"/>
        <w:rPr>
          <w:rFonts w:eastAsiaTheme="minorEastAsia"/>
          <w:sz w:val="22"/>
          <w:szCs w:val="22"/>
          <w:lang w:eastAsia="ko-KR"/>
        </w:rPr>
      </w:pPr>
      <w:r w:rsidRPr="002F0C3B">
        <w:rPr>
          <w:rFonts w:eastAsiaTheme="minorEastAsia"/>
          <w:sz w:val="22"/>
          <w:szCs w:val="22"/>
          <w:lang w:eastAsia="ko-KR"/>
        </w:rPr>
        <w:t>Our findings indicate that the need for and timing of booster doses may differ for individuals with hybrid immunity compared to those with vaccine-induced immunity, with the possibility of delaying booster doses by six months for those with hybrid immunity while still maintaining strong protection against severe disease. On a broader scale, the optimal number of vaccine doses and intervals may vary depending on the prevalence of vaccine-induced versus infection-induced immunity within a population, suggesting that booster strategies should account for both vaccination history and previous infections, alongside the clinical characteristics of those infections. Further research is needed to better understand the interaction between natural and vaccine-induced immunity, the effects of variant exposure, and the timing between exposures. These insights can help policymakers project population-level protection using local vaccination and seroprevalence data, thus informing the strategic use and timing of COVID-19 vaccinations as a vital public health tool.</w:t>
      </w:r>
    </w:p>
    <w:p w14:paraId="5F19A509" w14:textId="77777777" w:rsidR="002F0C3B" w:rsidRPr="002F0C3B" w:rsidRDefault="002F0C3B" w:rsidP="00D3651D">
      <w:pPr>
        <w:pStyle w:val="BodyText"/>
        <w:spacing w:line="276" w:lineRule="auto"/>
        <w:rPr>
          <w:rFonts w:eastAsiaTheme="minorEastAsia"/>
          <w:sz w:val="22"/>
          <w:szCs w:val="22"/>
          <w:lang w:eastAsia="ko-KR"/>
        </w:rPr>
      </w:pPr>
    </w:p>
    <w:p w14:paraId="5A805AE9" w14:textId="652286B6" w:rsidR="00D3651D" w:rsidRDefault="002F0C3B" w:rsidP="00D3651D">
      <w:pPr>
        <w:pStyle w:val="BodyText"/>
        <w:spacing w:line="276" w:lineRule="auto"/>
        <w:jc w:val="both"/>
        <w:rPr>
          <w:rFonts w:eastAsiaTheme="minorEastAsia"/>
          <w:color w:val="0E0E0E"/>
          <w:sz w:val="22"/>
          <w:szCs w:val="22"/>
          <w:lang w:eastAsia="ko-KR"/>
          <w14:ligatures w14:val="standardContextual"/>
        </w:rPr>
      </w:pPr>
      <w:r w:rsidRPr="002F0C3B">
        <w:rPr>
          <w:rFonts w:eastAsiaTheme="minorEastAsia"/>
          <w:color w:val="0E0E0E"/>
          <w:sz w:val="22"/>
          <w:szCs w:val="22"/>
          <w:lang w:eastAsia="ko-KR"/>
          <w14:ligatures w14:val="standardContextual"/>
        </w:rPr>
        <w:t xml:space="preserve">Our study has some limitations. Firstly, our analysis did not account for the sequence permutations and timing between vaccination and prior infection in individuals with hybrid immunity. As a result, the relative protection levels observed (specifically, the waning of S antibodies in the hybrid vs. vaccine-only groups) may vary depending on subgroup distributions and calendar time, including variant types and the epidemic stage, as noted in </w:t>
      </w:r>
      <w:proofErr w:type="spellStart"/>
      <w:r w:rsidRPr="002F0C3B">
        <w:rPr>
          <w:rFonts w:eastAsiaTheme="minorEastAsia"/>
          <w:color w:val="0E0E0E"/>
          <w:sz w:val="22"/>
          <w:szCs w:val="22"/>
          <w:lang w:eastAsia="ko-KR"/>
          <w14:ligatures w14:val="standardContextual"/>
        </w:rPr>
        <w:t>Bobrovitz’s</w:t>
      </w:r>
      <w:proofErr w:type="spellEnd"/>
      <w:r w:rsidRPr="002F0C3B">
        <w:rPr>
          <w:rFonts w:eastAsiaTheme="minorEastAsia"/>
          <w:color w:val="0E0E0E"/>
          <w:sz w:val="22"/>
          <w:szCs w:val="22"/>
          <w:lang w:eastAsia="ko-KR"/>
          <w14:ligatures w14:val="standardContextual"/>
        </w:rPr>
        <w:t xml:space="preserve"> research. While the relationship between neutralizing antibody levels and protection is generally robust, variants such as Beta require significantly higher antibody titers to achieve the same level of protection as the original strain. Additionally, we measured binding antibodies rather than neutralizing antibodies, which are arguably a better surrogate for immune protection. The antibody assays used in our study were developed before the emergence of Variants of Concern (</w:t>
      </w:r>
      <w:proofErr w:type="spellStart"/>
      <w:r w:rsidRPr="002F0C3B">
        <w:rPr>
          <w:rFonts w:eastAsiaTheme="minorEastAsia"/>
          <w:color w:val="0E0E0E"/>
          <w:sz w:val="22"/>
          <w:szCs w:val="22"/>
          <w:lang w:eastAsia="ko-KR"/>
          <w14:ligatures w14:val="standardContextual"/>
        </w:rPr>
        <w:t>VoCs</w:t>
      </w:r>
      <w:proofErr w:type="spellEnd"/>
      <w:r w:rsidRPr="002F0C3B">
        <w:rPr>
          <w:rFonts w:eastAsiaTheme="minorEastAsia"/>
          <w:color w:val="0E0E0E"/>
          <w:sz w:val="22"/>
          <w:szCs w:val="22"/>
          <w:lang w:eastAsia="ko-KR"/>
          <w14:ligatures w14:val="standardContextual"/>
        </w:rPr>
        <w:t xml:space="preserve">), raising questions about whether these assays, based on the original Wuhan-Hu-1 strain, accurately capture infections with other variants—a matter that should be evaluated in ongoing </w:t>
      </w:r>
      <w:proofErr w:type="spellStart"/>
      <w:r w:rsidRPr="002F0C3B">
        <w:rPr>
          <w:rFonts w:eastAsiaTheme="minorEastAsia"/>
          <w:color w:val="0E0E0E"/>
          <w:sz w:val="22"/>
          <w:szCs w:val="22"/>
          <w:lang w:eastAsia="ko-KR"/>
          <w14:ligatures w14:val="standardContextual"/>
        </w:rPr>
        <w:t>seroepidemiological</w:t>
      </w:r>
      <w:proofErr w:type="spellEnd"/>
      <w:r w:rsidRPr="002F0C3B">
        <w:rPr>
          <w:rFonts w:eastAsiaTheme="minorEastAsia"/>
          <w:color w:val="0E0E0E"/>
          <w:sz w:val="22"/>
          <w:szCs w:val="22"/>
          <w:lang w:eastAsia="ko-KR"/>
          <w14:ligatures w14:val="standardContextual"/>
        </w:rPr>
        <w:t xml:space="preserve"> studies. Potential sources of misclassification bias include the decay of neutralizing antibodies, the sensitivity and specificity of antibody testing, and the timing of testing relative to infection and vaccination. Furthermore, unmeasured bias in exposure may stem from the observational nature of the study, where individuals who chose to get vaccinated or had previous infections did so at different times, without controlling for possible differences in healthcare-seeking behavior or risk aversion among participants.</w:t>
      </w:r>
    </w:p>
    <w:p w14:paraId="1E680864" w14:textId="77777777" w:rsidR="002F0C3B" w:rsidRPr="002F0C3B" w:rsidRDefault="002F0C3B" w:rsidP="00D3651D">
      <w:pPr>
        <w:pStyle w:val="BodyText"/>
        <w:spacing w:line="276" w:lineRule="auto"/>
        <w:jc w:val="both"/>
        <w:rPr>
          <w:rFonts w:eastAsiaTheme="minorEastAsia"/>
          <w:sz w:val="22"/>
          <w:szCs w:val="22"/>
          <w:lang w:eastAsia="ko-KR"/>
        </w:rPr>
      </w:pPr>
    </w:p>
    <w:p w14:paraId="092C8A58" w14:textId="77777777" w:rsidR="00D3651D" w:rsidRPr="00D051AD" w:rsidRDefault="00D3651D" w:rsidP="00D3651D">
      <w:pPr>
        <w:pStyle w:val="BodyText"/>
        <w:spacing w:line="276" w:lineRule="auto"/>
        <w:jc w:val="both"/>
        <w:rPr>
          <w:rFonts w:eastAsiaTheme="minorEastAsia"/>
          <w:b/>
          <w:bCs/>
          <w:sz w:val="22"/>
          <w:szCs w:val="22"/>
          <w:lang w:eastAsia="zh-CN"/>
        </w:rPr>
      </w:pPr>
      <w:r w:rsidRPr="00D051AD">
        <w:rPr>
          <w:rFonts w:eastAsiaTheme="minorEastAsia"/>
          <w:b/>
          <w:bCs/>
          <w:sz w:val="22"/>
          <w:szCs w:val="22"/>
        </w:rPr>
        <w:t>Conclusions</w:t>
      </w:r>
    </w:p>
    <w:p w14:paraId="0CC40273" w14:textId="77777777" w:rsidR="00D3651D" w:rsidRPr="00D051AD" w:rsidRDefault="00D3651D" w:rsidP="00D3651D">
      <w:pPr>
        <w:pStyle w:val="BodyText"/>
        <w:spacing w:line="276" w:lineRule="auto"/>
        <w:jc w:val="both"/>
        <w:rPr>
          <w:rFonts w:eastAsiaTheme="minorEastAsia"/>
          <w:b/>
          <w:bCs/>
          <w:sz w:val="22"/>
          <w:szCs w:val="22"/>
        </w:rPr>
      </w:pPr>
    </w:p>
    <w:p w14:paraId="569EBD42" w14:textId="77777777" w:rsidR="00D3651D" w:rsidRDefault="00D3651D" w:rsidP="00D3651D">
      <w:pPr>
        <w:pStyle w:val="BodyText"/>
        <w:spacing w:line="276" w:lineRule="auto"/>
        <w:rPr>
          <w:rFonts w:eastAsiaTheme="minorEastAsia"/>
          <w:sz w:val="22"/>
          <w:szCs w:val="22"/>
          <w:lang w:eastAsia="ko-KR"/>
        </w:rPr>
      </w:pPr>
      <w:r w:rsidRPr="00D051AD">
        <w:rPr>
          <w:rFonts w:eastAsiaTheme="minorEastAsia"/>
          <w:sz w:val="22"/>
          <w:szCs w:val="22"/>
        </w:rPr>
        <w:t xml:space="preserve">In summary, in this large cohort study, we compared the antibody responses and their infection risks induced by different COVID-19 immunity statuses (hybrid and vaccine) across age groups. We showed that S ab waning and risk infection trends are highly correlated; hybrid group resulted in higher and longer-lasting antibody responses compared to vaccination alone, in the long term as well. </w:t>
      </w:r>
      <w:r w:rsidRPr="00D051AD">
        <w:rPr>
          <w:rFonts w:eastAsiaTheme="minorEastAsia"/>
          <w:sz w:val="22"/>
          <w:szCs w:val="22"/>
          <w:lang w:eastAsia="ko-KR"/>
        </w:rPr>
        <w:t xml:space="preserve"> </w:t>
      </w:r>
      <w:r w:rsidRPr="00D051AD">
        <w:rPr>
          <w:rFonts w:eastAsiaTheme="minorEastAsia"/>
          <w:sz w:val="22"/>
          <w:szCs w:val="22"/>
        </w:rPr>
        <w:t xml:space="preserve">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 In the hybrid group, however, 4th booster vaccines have a significantly higher infection risk than the primary vaccine group, highlighting the continuous vaccine compliance in this group.) Moreover, in addition to the S ab level and infection risk trend over time by age group, we quantified the probability of free from infection risk by age group so it can guide the specific vaccine prioritization and interval for age groups. Taken together, our results indicate that vaccination campaigns should be tailored according to individual immune status, previous history of SARS-CoV-2 infection, and characteristics of the population risk factors (age, gender) to achieve optimal </w:t>
      </w:r>
      <w:r w:rsidRPr="00D051AD">
        <w:rPr>
          <w:rFonts w:eastAsiaTheme="minorEastAsia"/>
          <w:sz w:val="22"/>
          <w:szCs w:val="22"/>
        </w:rPr>
        <w:lastRenderedPageBreak/>
        <w:t>responses and protection across individuals.</w:t>
      </w:r>
      <w:r w:rsidRPr="00D051AD">
        <w:rPr>
          <w:rFonts w:eastAsiaTheme="minorEastAsia"/>
          <w:sz w:val="22"/>
          <w:szCs w:val="22"/>
          <w:lang w:eastAsia="ko-KR"/>
        </w:rPr>
        <w:t xml:space="preserve"> </w:t>
      </w:r>
    </w:p>
    <w:p w14:paraId="1E3102FB" w14:textId="77777777" w:rsidR="004567C4" w:rsidRPr="00D051AD" w:rsidRDefault="004567C4" w:rsidP="00D3651D">
      <w:pPr>
        <w:pStyle w:val="BodyText"/>
        <w:spacing w:line="276" w:lineRule="auto"/>
        <w:rPr>
          <w:rFonts w:eastAsiaTheme="minorEastAsia"/>
          <w:sz w:val="22"/>
          <w:szCs w:val="22"/>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References</w:t>
      </w:r>
    </w:p>
    <w:p w14:paraId="101A6409" w14:textId="77777777" w:rsidR="008737AA" w:rsidRPr="008737AA" w:rsidRDefault="008737AA" w:rsidP="008737AA"/>
    <w:p w14:paraId="1B93AB09"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 Wei, Yuchen, et al. "Estimation of Vaccine Effectiveness of CoronaVac and BNT162b2 Against Severe Outcomes Over Time Among Patients With SARS-CoV-2 Omicron." *JAMA Network Open*, vol. 6, no. 2, 3 Feb. 2023, e2254777. https://doi.org/10.1001/jamanetworkopen.2022.54777.  </w:t>
      </w:r>
    </w:p>
    <w:p w14:paraId="0B154560"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[2] </w:t>
      </w:r>
      <w:proofErr w:type="spellStart"/>
      <w:r w:rsidRPr="008737AA">
        <w:rPr>
          <w:rFonts w:eastAsiaTheme="minorEastAsia"/>
          <w:sz w:val="20"/>
          <w:szCs w:val="20"/>
          <w:lang w:eastAsia="ko-KR"/>
          <w14:ligatures w14:val="standardContextual"/>
        </w:rPr>
        <w:t>Fabiani</w:t>
      </w:r>
      <w:proofErr w:type="spellEnd"/>
      <w:r w:rsidRPr="008737AA">
        <w:rPr>
          <w:rFonts w:eastAsiaTheme="minorEastAsia"/>
          <w:sz w:val="20"/>
          <w:szCs w:val="20"/>
          <w:lang w:eastAsia="ko-KR"/>
          <w14:ligatures w14:val="standardContextual"/>
        </w:rPr>
        <w:t xml:space="preserve">, Massimo, et al. "Effectiveness of mRNA Vaccines and Waning of Protection against SARS-CoV-2 Infection and Severe Covid-19 during Predominant Circulation of the Delta Variant in Italy: Retrospective Cohort Study." *BMJ*, vol. 376, 10 Feb. 2022, e069052. https://doi.org/10.1136/bmj-2021-069052.  </w:t>
      </w:r>
    </w:p>
    <w:p w14:paraId="4A1323D4"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[3] Andrews, Nick, et al. "Covid-19 Vaccine Effectiveness against the Omicron (B.1.1.529) Variant." *The New England Journal of Medicine*, 2 Mar. 2022, https://doi.org/10.1056/NEJMoa2119451.  </w:t>
      </w:r>
    </w:p>
    <w:p w14:paraId="5B525F72"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[4] </w:t>
      </w:r>
      <w:proofErr w:type="spellStart"/>
      <w:r w:rsidRPr="008737AA">
        <w:rPr>
          <w:rFonts w:eastAsiaTheme="minorEastAsia"/>
          <w:sz w:val="20"/>
          <w:szCs w:val="20"/>
          <w:lang w:eastAsia="ko-KR"/>
          <w14:ligatures w14:val="standardContextual"/>
        </w:rPr>
        <w:t>Soheili</w:t>
      </w:r>
      <w:proofErr w:type="spellEnd"/>
      <w:r w:rsidRPr="008737AA">
        <w:rPr>
          <w:rFonts w:eastAsiaTheme="minorEastAsia"/>
          <w:sz w:val="20"/>
          <w:szCs w:val="20"/>
          <w:lang w:eastAsia="ko-KR"/>
          <w14:ligatures w14:val="standardContextual"/>
        </w:rPr>
        <w:t xml:space="preserve">, Marzieh, et al. "The Efficacy and Effectiveness of COVID-19 Vaccines around the World: A Mini-Review and Meta-Analysis." *Annals of Clinical Microbiology and Antimicrobials*, vol. 22, 19 May 2023, p. 42. https://doi.org/10.1186/s12941-023-00594-y.  </w:t>
      </w:r>
    </w:p>
    <w:p w14:paraId="022473AE"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[5] Wu, Nana, et al. "Long-Term Effectiveness of COVID-19 Vaccines against Infections, </w:t>
      </w:r>
      <w:proofErr w:type="spellStart"/>
      <w:r w:rsidRPr="008737AA">
        <w:rPr>
          <w:rFonts w:eastAsiaTheme="minorEastAsia"/>
          <w:sz w:val="20"/>
          <w:szCs w:val="20"/>
          <w:lang w:eastAsia="ko-KR"/>
          <w14:ligatures w14:val="standardContextual"/>
        </w:rPr>
        <w:t>Hospitalisations</w:t>
      </w:r>
      <w:proofErr w:type="spellEnd"/>
      <w:r w:rsidRPr="008737AA">
        <w:rPr>
          <w:rFonts w:eastAsiaTheme="minorEastAsia"/>
          <w:sz w:val="20"/>
          <w:szCs w:val="20"/>
          <w:lang w:eastAsia="ko-KR"/>
          <w14:ligatures w14:val="standardContextual"/>
        </w:rPr>
        <w:t xml:space="preserve">, and Mortality in Adults: Findings from a Rapid Living Systematic Evidence Synthesis and Meta-Analysis up to </w:t>
      </w:r>
      <w:proofErr w:type="gramStart"/>
      <w:r w:rsidRPr="008737AA">
        <w:rPr>
          <w:rFonts w:eastAsiaTheme="minorEastAsia"/>
          <w:sz w:val="20"/>
          <w:szCs w:val="20"/>
          <w:lang w:eastAsia="ko-KR"/>
          <w14:ligatures w14:val="standardContextual"/>
        </w:rPr>
        <w:t>December,</w:t>
      </w:r>
      <w:proofErr w:type="gramEnd"/>
      <w:r w:rsidRPr="008737AA">
        <w:rPr>
          <w:rFonts w:eastAsiaTheme="minorEastAsia"/>
          <w:sz w:val="20"/>
          <w:szCs w:val="20"/>
          <w:lang w:eastAsia="ko-KR"/>
          <w14:ligatures w14:val="standardContextual"/>
        </w:rPr>
        <w:t xml:space="preserve"> 2022." *The Lancet Respiratory Medicine*, vol. 11, no. 5, 1 May 2023, pp. 439-52. https://doi.org/10.1016/S2213-2600(23)00015-2.  </w:t>
      </w:r>
    </w:p>
    <w:p w14:paraId="4B7696D4"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[6] </w:t>
      </w:r>
      <w:proofErr w:type="spellStart"/>
      <w:r w:rsidRPr="008737AA">
        <w:rPr>
          <w:rFonts w:eastAsiaTheme="minorEastAsia"/>
          <w:sz w:val="20"/>
          <w:szCs w:val="20"/>
          <w:lang w:eastAsia="ko-KR"/>
          <w14:ligatures w14:val="standardContextual"/>
        </w:rPr>
        <w:t>Bobrovitz</w:t>
      </w:r>
      <w:proofErr w:type="spellEnd"/>
      <w:r w:rsidRPr="008737AA">
        <w:rPr>
          <w:rFonts w:eastAsiaTheme="minorEastAsia"/>
          <w:sz w:val="20"/>
          <w:szCs w:val="20"/>
          <w:lang w:eastAsia="ko-KR"/>
          <w14:ligatures w14:val="standardContextual"/>
        </w:rPr>
        <w:t xml:space="preserve">, Niklas, et al. "Protective Effectiveness of Previous SARS-CoV-2 Infection and Hybrid Immunity against the Omicron Variant and Severe Disease: A Systematic Review and Meta-Regression." *The Lancet Infectious Diseases*, vol. 23, no. 5, 1 May 2023, pp. 556-67. https://doi.org/10.1016/S1473-3099(22)00801-5.  </w:t>
      </w:r>
    </w:p>
    <w:p w14:paraId="1F851AD6"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[7] Khoury, David S., et al. "Neutralizing Antibody Levels Are Highly Predictive of Immune Protection from Symptomatic SARS-CoV-2 Infection." *Nature Medicine*, vol. 27, no. 7, July 2021, pp. 1205-11. https://doi.org/10.1038/s41591-021-01377-8.  </w:t>
      </w:r>
    </w:p>
    <w:p w14:paraId="506349B9"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[8] Feng, </w:t>
      </w:r>
      <w:proofErr w:type="spellStart"/>
      <w:r w:rsidRPr="008737AA">
        <w:rPr>
          <w:rFonts w:eastAsiaTheme="minorEastAsia"/>
          <w:sz w:val="20"/>
          <w:szCs w:val="20"/>
          <w:lang w:eastAsia="ko-KR"/>
          <w14:ligatures w14:val="standardContextual"/>
        </w:rPr>
        <w:t>Shuo</w:t>
      </w:r>
      <w:proofErr w:type="spellEnd"/>
      <w:r w:rsidRPr="008737AA">
        <w:rPr>
          <w:rFonts w:eastAsiaTheme="minorEastAsia"/>
          <w:sz w:val="20"/>
          <w:szCs w:val="20"/>
          <w:lang w:eastAsia="ko-KR"/>
          <w14:ligatures w14:val="standardContextual"/>
        </w:rPr>
        <w:t xml:space="preserve">, et al. "Correlates of Protection against Symptomatic and Asymptomatic SARS-CoV-2 Infection." *Nature Medicine*, vol. 27, no. 11, Nov. 2021, pp. 2032-40. https://doi.org/10.1038/s41591-021-01540-1.  </w:t>
      </w:r>
    </w:p>
    <w:p w14:paraId="0C103113"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[9] Levin, </w:t>
      </w:r>
      <w:proofErr w:type="spellStart"/>
      <w:r w:rsidRPr="008737AA">
        <w:rPr>
          <w:rFonts w:eastAsiaTheme="minorEastAsia"/>
          <w:sz w:val="20"/>
          <w:szCs w:val="20"/>
          <w:lang w:eastAsia="ko-KR"/>
          <w14:ligatures w14:val="standardContextual"/>
        </w:rPr>
        <w:t>Einav</w:t>
      </w:r>
      <w:proofErr w:type="spellEnd"/>
      <w:r w:rsidRPr="008737AA">
        <w:rPr>
          <w:rFonts w:eastAsiaTheme="minorEastAsia"/>
          <w:sz w:val="20"/>
          <w:szCs w:val="20"/>
          <w:lang w:eastAsia="ko-KR"/>
          <w14:ligatures w14:val="standardContextual"/>
        </w:rPr>
        <w:t xml:space="preserve"> G., et al. "Waning Immune Humoral Response to BNT162b2 Covid-19 Vaccine over 6 Months." *The New England Journal of Medicine*, vol. 385, no. 24, 9 Dec. 2021, e84. https://doi.org/10.1056/NEJMoa2114583.  </w:t>
      </w:r>
    </w:p>
    <w:p w14:paraId="64376AD6"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[10] </w:t>
      </w:r>
      <w:proofErr w:type="spellStart"/>
      <w:r w:rsidRPr="008737AA">
        <w:rPr>
          <w:rFonts w:eastAsiaTheme="minorEastAsia"/>
          <w:sz w:val="20"/>
          <w:szCs w:val="20"/>
          <w:lang w:eastAsia="ko-KR"/>
          <w14:ligatures w14:val="standardContextual"/>
        </w:rPr>
        <w:t>Speiser</w:t>
      </w:r>
      <w:proofErr w:type="spellEnd"/>
      <w:r w:rsidRPr="008737AA">
        <w:rPr>
          <w:rFonts w:eastAsiaTheme="minorEastAsia"/>
          <w:sz w:val="20"/>
          <w:szCs w:val="20"/>
          <w:lang w:eastAsia="ko-KR"/>
          <w14:ligatures w14:val="standardContextual"/>
        </w:rPr>
        <w:t xml:space="preserve">, Daniel E., and Martin F. Bachmann. "COVID-19: Mechanisms of Vaccination and Immunity." *Vaccines*, vol. 8, no. 3, 22 July 2020, p. 404. https://doi.org/10.3390/vaccines8030404.  </w:t>
      </w:r>
    </w:p>
    <w:p w14:paraId="3D0A71C7"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[11] Earle, Kristen A., et al. "Evidence for Antibody as a Protective Correlate for COVID-19 Vaccines." *Vaccine*, vol. 39, no. 32, 22 July 2021, pp. 4423-28. https://doi.org/10.1016/j.vaccine.2021.05.063.  </w:t>
      </w:r>
    </w:p>
    <w:p w14:paraId="54BBB78F"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[12] Jang, Eun Jung, et al. "Presumed Population Immunity to SARS-CoV-2 in South Korea, April 2022." *</w:t>
      </w:r>
      <w:proofErr w:type="spellStart"/>
      <w:r w:rsidRPr="008737AA">
        <w:rPr>
          <w:rFonts w:eastAsiaTheme="minorEastAsia"/>
          <w:sz w:val="20"/>
          <w:szCs w:val="20"/>
          <w:lang w:eastAsia="ko-KR"/>
          <w14:ligatures w14:val="standardContextual"/>
        </w:rPr>
        <w:t>Osong</w:t>
      </w:r>
      <w:proofErr w:type="spellEnd"/>
      <w:r w:rsidRPr="008737AA">
        <w:rPr>
          <w:rFonts w:eastAsiaTheme="minorEastAsia"/>
          <w:sz w:val="20"/>
          <w:szCs w:val="20"/>
          <w:lang w:eastAsia="ko-KR"/>
          <w14:ligatures w14:val="standardContextual"/>
        </w:rPr>
        <w:t xml:space="preserve"> Public Health and Research Perspectives*, vol. 13, no. 5, Oct. 2022, pp. 377-81. https://doi.org/10.24171/j.phrp.2022.0209.  </w:t>
      </w:r>
    </w:p>
    <w:p w14:paraId="407DC1BD"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[13] </w:t>
      </w:r>
      <w:proofErr w:type="spellStart"/>
      <w:r w:rsidRPr="008737AA">
        <w:rPr>
          <w:rFonts w:eastAsiaTheme="minorEastAsia"/>
          <w:sz w:val="20"/>
          <w:szCs w:val="20"/>
          <w:lang w:eastAsia="ko-KR"/>
          <w14:ligatures w14:val="standardContextual"/>
        </w:rPr>
        <w:t>Steensels</w:t>
      </w:r>
      <w:proofErr w:type="spellEnd"/>
      <w:r w:rsidRPr="008737AA">
        <w:rPr>
          <w:rFonts w:eastAsiaTheme="minorEastAsia"/>
          <w:sz w:val="20"/>
          <w:szCs w:val="20"/>
          <w:lang w:eastAsia="ko-KR"/>
          <w14:ligatures w14:val="standardContextual"/>
        </w:rPr>
        <w:t xml:space="preserve">, Deborah, et al. "Comparison of SARS-CoV-2 Antibody Response Following Vaccination </w:t>
      </w:r>
      <w:proofErr w:type="gramStart"/>
      <w:r w:rsidRPr="008737AA">
        <w:rPr>
          <w:rFonts w:eastAsiaTheme="minorEastAsia"/>
          <w:sz w:val="20"/>
          <w:szCs w:val="20"/>
          <w:lang w:eastAsia="ko-KR"/>
          <w14:ligatures w14:val="standardContextual"/>
        </w:rPr>
        <w:t>With</w:t>
      </w:r>
      <w:proofErr w:type="gramEnd"/>
      <w:r w:rsidRPr="008737AA">
        <w:rPr>
          <w:rFonts w:eastAsiaTheme="minorEastAsia"/>
          <w:sz w:val="20"/>
          <w:szCs w:val="20"/>
          <w:lang w:eastAsia="ko-KR"/>
          <w14:ligatures w14:val="standardContextual"/>
        </w:rPr>
        <w:t xml:space="preserve"> BNT162b2 and mRNA-1273." *JAMA*, vol. 326, no. 15, 19 Oct. 2021, pp. 1533-35. https://doi.org/10.1001/jama.2021.15125.  </w:t>
      </w:r>
    </w:p>
    <w:p w14:paraId="337E52DE"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[14] Garcia-Beltran, Wilfredo F., et al. "mRNA-Based COVID-19 Vaccine Boosters Induce Neutralizing Immunity against SARS-CoV-2 Omicron Variant." *Cell*, vol. 185, no. 3, 3 Feb. 2022, pp. 457-466.e4. https://doi.org/10.1016/j.cell.2021.12.033.  </w:t>
      </w:r>
    </w:p>
    <w:p w14:paraId="103DD502"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[15] Pearce, Neil. "Analysis of Matched Case-Control Studies." *BMJ*, vol. 352, 25 Feb. 2016, i969. https://doi.org/10.1136/bmj.i969.  </w:t>
      </w:r>
    </w:p>
    <w:p w14:paraId="2F2176B5"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[16] Richardson, D. B. "An Incidence Density Sampling Program for Nested Case-Control Analyses." *Occupational and Environmental Medicine*, vol. 61, no. 12, Dec. 2004, e59. https://doi.org/10.1136/oem.2004.014472.  </w:t>
      </w:r>
    </w:p>
    <w:p w14:paraId="31D3D472"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[17] Carstensen, Bendix, et al. "Epi: Statistical Analysis in Epidemiology." *CRAN*, 18 July 2024, https://cran.r-project.org/web/packages/Epi/index.html.  </w:t>
      </w:r>
    </w:p>
    <w:p w14:paraId="2689F953"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[18] Eliakim-Raz, Noa, et al. "Three-Month Follow-up of Durability of Response to the Third Dose of the SARS-CoV-2 BNT162b2 Vaccine in Adults Aged 60 Years and Older: A Prospective Cohort Study." *BMJ Open*, vol. 12, no. 8, 1 Aug. 2022, e061584. https://doi.org/10.1136/bmjopen-2022-061584.  </w:t>
      </w:r>
    </w:p>
    <w:p w14:paraId="162EABD0" w14:textId="77777777" w:rsidR="008737AA" w:rsidRPr="008737AA" w:rsidRDefault="008737AA" w:rsidP="008737AA">
      <w:pPr>
        <w:widowControl/>
        <w:adjustRightInd w:val="0"/>
        <w:rPr>
          <w:rFonts w:eastAsiaTheme="minorEastAsia"/>
          <w:sz w:val="20"/>
          <w:szCs w:val="20"/>
          <w:lang w:eastAsia="ko-KR"/>
          <w14:ligatures w14:val="standardContextual"/>
        </w:rPr>
      </w:pPr>
      <w:r w:rsidRPr="008737AA">
        <w:rPr>
          <w:rFonts w:eastAsiaTheme="minorEastAsia"/>
          <w:sz w:val="20"/>
          <w:szCs w:val="20"/>
          <w:lang w:eastAsia="ko-KR"/>
          <w14:ligatures w14:val="standardContextual"/>
        </w:rPr>
        <w:t xml:space="preserve">[19] </w:t>
      </w:r>
      <w:proofErr w:type="spellStart"/>
      <w:r w:rsidRPr="008737AA">
        <w:rPr>
          <w:rFonts w:eastAsiaTheme="minorEastAsia"/>
          <w:sz w:val="20"/>
          <w:szCs w:val="20"/>
          <w:lang w:eastAsia="ko-KR"/>
          <w14:ligatures w14:val="standardContextual"/>
        </w:rPr>
        <w:t>Karachaliou</w:t>
      </w:r>
      <w:proofErr w:type="spellEnd"/>
      <w:r w:rsidRPr="008737AA">
        <w:rPr>
          <w:rFonts w:eastAsiaTheme="minorEastAsia"/>
          <w:sz w:val="20"/>
          <w:szCs w:val="20"/>
          <w:lang w:eastAsia="ko-KR"/>
          <w14:ligatures w14:val="standardContextual"/>
        </w:rPr>
        <w:t>, Marianna, et al. "SARS-CoV-2 Infection, Vaccination, and Antibody Response Trajectories in Adults: A Cohort Study in Catalonia." *BMC Medicine*, vol. 20, no. 1, 16 Sept. 2022, p. 347. https://doi.org/10.1186/s12916-022-02547-2.</w:t>
      </w:r>
    </w:p>
    <w:p w14:paraId="00E17331" w14:textId="77777777" w:rsidR="00D3651D" w:rsidRDefault="00D3651D" w:rsidP="00D3651D">
      <w:pPr>
        <w:pStyle w:val="Heading1"/>
        <w:spacing w:before="0" w:after="0" w:line="276" w:lineRule="auto"/>
        <w:ind w:left="117"/>
        <w:rPr>
          <w:rFonts w:ascii="Times New Roman" w:eastAsiaTheme="minorEastAsia" w:hAnsi="Times New Roman" w:cs="Times New Roman"/>
          <w:sz w:val="22"/>
          <w:szCs w:val="22"/>
          <w:lang w:eastAsia="ko-KR"/>
        </w:rPr>
      </w:pPr>
    </w:p>
    <w:p w14:paraId="092FFFBF" w14:textId="77777777" w:rsidR="008737AA" w:rsidRDefault="008737AA" w:rsidP="008737AA">
      <w:pPr>
        <w:rPr>
          <w:rFonts w:eastAsiaTheme="minorEastAsia"/>
          <w:lang w:eastAsia="ko-KR"/>
        </w:rPr>
      </w:pPr>
    </w:p>
    <w:p w14:paraId="033206BF" w14:textId="77777777" w:rsidR="008737AA"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058EFC84" w14:textId="77777777" w:rsidR="008737AA" w:rsidRDefault="008737AA" w:rsidP="008737AA">
      <w:pPr>
        <w:rPr>
          <w:rFonts w:eastAsiaTheme="minorEastAsia"/>
          <w:lang w:eastAsia="ko-KR"/>
        </w:rPr>
      </w:pPr>
    </w:p>
    <w:p w14:paraId="378A8F02" w14:textId="77777777" w:rsidR="008737AA" w:rsidRDefault="008737AA" w:rsidP="008737AA">
      <w:pPr>
        <w:rPr>
          <w:rFonts w:eastAsiaTheme="minorEastAsia"/>
          <w:lang w:eastAsia="ko-KR"/>
        </w:rPr>
      </w:pPr>
    </w:p>
    <w:p w14:paraId="78751DAB" w14:textId="77777777" w:rsidR="008737AA" w:rsidRDefault="008737AA" w:rsidP="008737AA">
      <w:pPr>
        <w:rPr>
          <w:rFonts w:eastAsiaTheme="minorEastAsia"/>
          <w:lang w:eastAsia="ko-KR"/>
        </w:rPr>
      </w:pPr>
    </w:p>
    <w:p w14:paraId="5E726706" w14:textId="77777777" w:rsidR="008737AA" w:rsidRDefault="008737AA" w:rsidP="008737AA">
      <w:pPr>
        <w:rPr>
          <w:rFonts w:eastAsiaTheme="minorEastAsia"/>
          <w:lang w:eastAsia="ko-KR"/>
        </w:rPr>
      </w:pPr>
    </w:p>
    <w:p w14:paraId="74A5DFBB" w14:textId="77777777" w:rsidR="008737AA" w:rsidRPr="008737AA" w:rsidRDefault="008737AA" w:rsidP="008737AA">
      <w:pPr>
        <w:rPr>
          <w:rFonts w:eastAsiaTheme="minorEastAsia"/>
          <w:lang w:eastAsia="ko-KR"/>
        </w:rPr>
      </w:pPr>
    </w:p>
    <w:p w14:paraId="640CDF76"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lastRenderedPageBreak/>
        <w:t xml:space="preserve">Based on the key demographic characteristics (Table 1), we conducted logistic regression to determine specific risk factors on infection events for hybrid and vaccine groups, respectively. </w:t>
      </w:r>
      <w:r w:rsidRPr="00D051AD">
        <w:rPr>
          <w:sz w:val="22"/>
          <w:szCs w:val="22"/>
        </w:rPr>
        <w:t>All</w:t>
      </w:r>
      <w:r w:rsidRPr="00D051AD">
        <w:rPr>
          <w:spacing w:val="-10"/>
          <w:sz w:val="22"/>
          <w:szCs w:val="22"/>
        </w:rPr>
        <w:t xml:space="preserve"> </w:t>
      </w:r>
      <w:r w:rsidRPr="00D051AD">
        <w:rPr>
          <w:sz w:val="22"/>
          <w:szCs w:val="22"/>
        </w:rPr>
        <w:t>available</w:t>
      </w:r>
      <w:r w:rsidRPr="00D051AD">
        <w:rPr>
          <w:spacing w:val="-11"/>
          <w:sz w:val="22"/>
          <w:szCs w:val="22"/>
        </w:rPr>
        <w:t xml:space="preserve"> </w:t>
      </w:r>
      <w:r w:rsidRPr="00D051AD">
        <w:rPr>
          <w:sz w:val="22"/>
          <w:szCs w:val="22"/>
        </w:rPr>
        <w:t>characteristics</w:t>
      </w:r>
      <w:r w:rsidRPr="00D051AD">
        <w:rPr>
          <w:spacing w:val="-10"/>
          <w:sz w:val="22"/>
          <w:szCs w:val="22"/>
        </w:rPr>
        <w:t xml:space="preserve"> </w:t>
      </w:r>
      <w:r w:rsidRPr="00D051AD">
        <w:rPr>
          <w:sz w:val="22"/>
          <w:szCs w:val="22"/>
        </w:rPr>
        <w:t>were</w:t>
      </w:r>
      <w:r w:rsidRPr="00D051AD">
        <w:rPr>
          <w:spacing w:val="-10"/>
          <w:sz w:val="22"/>
          <w:szCs w:val="22"/>
        </w:rPr>
        <w:t xml:space="preserve"> </w:t>
      </w:r>
      <w:r w:rsidRPr="00D051AD">
        <w:rPr>
          <w:sz w:val="22"/>
          <w:szCs w:val="22"/>
        </w:rPr>
        <w:t xml:space="preserve">converted to categorical variables, with the first subgroup designated as the reference </w:t>
      </w:r>
      <w:r w:rsidRPr="00D051AD">
        <w:rPr>
          <w:spacing w:val="-3"/>
          <w:sz w:val="22"/>
          <w:szCs w:val="22"/>
        </w:rPr>
        <w:t xml:space="preserve">category. </w:t>
      </w:r>
      <w:r w:rsidRPr="00D051AD">
        <w:rPr>
          <w:sz w:val="22"/>
          <w:szCs w:val="22"/>
        </w:rPr>
        <w:t>This al- lowed for the calculation of log odds ratios, where a higher log odds ratio indicates a greater infection</w:t>
      </w:r>
      <w:r w:rsidRPr="00D051AD">
        <w:rPr>
          <w:spacing w:val="-11"/>
          <w:sz w:val="22"/>
          <w:szCs w:val="22"/>
        </w:rPr>
        <w:t xml:space="preserve"> </w:t>
      </w:r>
      <w:r w:rsidRPr="00D051AD">
        <w:rPr>
          <w:sz w:val="22"/>
          <w:szCs w:val="22"/>
        </w:rPr>
        <w:t>risk</w:t>
      </w:r>
      <w:r w:rsidRPr="00D051AD">
        <w:rPr>
          <w:spacing w:val="-11"/>
          <w:sz w:val="22"/>
          <w:szCs w:val="22"/>
        </w:rPr>
        <w:t xml:space="preserve"> </w:t>
      </w:r>
      <w:r w:rsidRPr="00D051AD">
        <w:rPr>
          <w:sz w:val="22"/>
          <w:szCs w:val="22"/>
        </w:rPr>
        <w:t>compared</w:t>
      </w:r>
      <w:r w:rsidRPr="00D051AD">
        <w:rPr>
          <w:spacing w:val="-10"/>
          <w:sz w:val="22"/>
          <w:szCs w:val="22"/>
        </w:rPr>
        <w:t xml:space="preserve"> </w:t>
      </w:r>
      <w:r w:rsidRPr="00D051AD">
        <w:rPr>
          <w:sz w:val="22"/>
          <w:szCs w:val="22"/>
        </w:rPr>
        <w:t>to</w:t>
      </w:r>
      <w:r w:rsidRPr="00D051AD">
        <w:rPr>
          <w:spacing w:val="-11"/>
          <w:sz w:val="22"/>
          <w:szCs w:val="22"/>
        </w:rPr>
        <w:t xml:space="preserve"> </w:t>
      </w:r>
      <w:r w:rsidRPr="00D051AD">
        <w:rPr>
          <w:sz w:val="22"/>
          <w:szCs w:val="22"/>
        </w:rPr>
        <w:t>the</w:t>
      </w:r>
      <w:r w:rsidRPr="00D051AD">
        <w:rPr>
          <w:spacing w:val="-10"/>
          <w:sz w:val="22"/>
          <w:szCs w:val="22"/>
        </w:rPr>
        <w:t xml:space="preserve"> </w:t>
      </w:r>
      <w:r w:rsidRPr="00D051AD">
        <w:rPr>
          <w:sz w:val="22"/>
          <w:szCs w:val="22"/>
        </w:rPr>
        <w:t>reference</w:t>
      </w:r>
      <w:r w:rsidRPr="00D051AD">
        <w:rPr>
          <w:spacing w:val="-11"/>
          <w:sz w:val="22"/>
          <w:szCs w:val="22"/>
        </w:rPr>
        <w:t xml:space="preserve"> </w:t>
      </w:r>
      <w:r w:rsidRPr="00D051AD">
        <w:rPr>
          <w:sz w:val="22"/>
          <w:szCs w:val="22"/>
        </w:rPr>
        <w:t>group.</w:t>
      </w:r>
      <w:r w:rsidRPr="00D051AD">
        <w:rPr>
          <w:spacing w:val="8"/>
          <w:sz w:val="22"/>
          <w:szCs w:val="22"/>
        </w:rPr>
        <w:t xml:space="preserve"> </w:t>
      </w:r>
      <w:r w:rsidRPr="00D051AD">
        <w:rPr>
          <w:sz w:val="22"/>
          <w:szCs w:val="22"/>
        </w:rPr>
        <w:t>A</w:t>
      </w:r>
      <w:r w:rsidRPr="00D051AD">
        <w:rPr>
          <w:spacing w:val="-11"/>
          <w:sz w:val="22"/>
          <w:szCs w:val="22"/>
        </w:rPr>
        <w:t xml:space="preserve"> </w:t>
      </w:r>
      <w:r w:rsidRPr="00D051AD">
        <w:rPr>
          <w:sz w:val="22"/>
          <w:szCs w:val="22"/>
        </w:rPr>
        <w:t>log</w:t>
      </w:r>
      <w:r w:rsidRPr="00D051AD">
        <w:rPr>
          <w:spacing w:val="-10"/>
          <w:sz w:val="22"/>
          <w:szCs w:val="22"/>
        </w:rPr>
        <w:t xml:space="preserve"> </w:t>
      </w:r>
      <w:r w:rsidRPr="00D051AD">
        <w:rPr>
          <w:sz w:val="22"/>
          <w:szCs w:val="22"/>
        </w:rPr>
        <w:t>odds</w:t>
      </w:r>
      <w:r w:rsidRPr="00D051AD">
        <w:rPr>
          <w:spacing w:val="-11"/>
          <w:sz w:val="22"/>
          <w:szCs w:val="22"/>
        </w:rPr>
        <w:t xml:space="preserve"> </w:t>
      </w:r>
      <w:r w:rsidRPr="00D051AD">
        <w:rPr>
          <w:sz w:val="22"/>
          <w:szCs w:val="22"/>
        </w:rPr>
        <w:t>ratio</w:t>
      </w:r>
      <w:r w:rsidRPr="00D051AD">
        <w:rPr>
          <w:spacing w:val="-10"/>
          <w:sz w:val="22"/>
          <w:szCs w:val="22"/>
        </w:rPr>
        <w:t xml:space="preserve"> </w:t>
      </w:r>
      <w:r w:rsidRPr="00D051AD">
        <w:rPr>
          <w:sz w:val="22"/>
          <w:szCs w:val="22"/>
        </w:rPr>
        <w:t>of</w:t>
      </w:r>
      <w:r w:rsidRPr="00D051AD">
        <w:rPr>
          <w:spacing w:val="-11"/>
          <w:sz w:val="22"/>
          <w:szCs w:val="22"/>
        </w:rPr>
        <w:t xml:space="preserve"> </w:t>
      </w:r>
      <w:r w:rsidRPr="00D051AD">
        <w:rPr>
          <w:sz w:val="22"/>
          <w:szCs w:val="22"/>
        </w:rPr>
        <w:t>zero</w:t>
      </w:r>
      <w:r w:rsidRPr="00D051AD">
        <w:rPr>
          <w:spacing w:val="-10"/>
          <w:sz w:val="22"/>
          <w:szCs w:val="22"/>
        </w:rPr>
        <w:t xml:space="preserve"> </w:t>
      </w:r>
      <w:r w:rsidRPr="00D051AD">
        <w:rPr>
          <w:sz w:val="22"/>
          <w:szCs w:val="22"/>
        </w:rPr>
        <w:t>signifies</w:t>
      </w:r>
      <w:r w:rsidRPr="00D051AD">
        <w:rPr>
          <w:spacing w:val="-11"/>
          <w:sz w:val="22"/>
          <w:szCs w:val="22"/>
        </w:rPr>
        <w:t xml:space="preserve"> </w:t>
      </w:r>
      <w:r w:rsidRPr="00D051AD">
        <w:rPr>
          <w:sz w:val="22"/>
          <w:szCs w:val="22"/>
        </w:rPr>
        <w:t>equal</w:t>
      </w:r>
      <w:r w:rsidRPr="00D051AD">
        <w:rPr>
          <w:spacing w:val="-10"/>
          <w:sz w:val="22"/>
          <w:szCs w:val="22"/>
        </w:rPr>
        <w:t xml:space="preserve"> </w:t>
      </w:r>
      <w:r w:rsidRPr="00D051AD">
        <w:rPr>
          <w:sz w:val="22"/>
          <w:szCs w:val="22"/>
        </w:rPr>
        <w:t>risk</w:t>
      </w:r>
      <w:r w:rsidRPr="00D051AD">
        <w:rPr>
          <w:spacing w:val="-11"/>
          <w:sz w:val="22"/>
          <w:szCs w:val="22"/>
        </w:rPr>
        <w:t xml:space="preserve"> </w:t>
      </w:r>
      <w:r w:rsidRPr="00D051AD">
        <w:rPr>
          <w:spacing w:val="-3"/>
          <w:sz w:val="22"/>
          <w:szCs w:val="22"/>
        </w:rPr>
        <w:t xml:space="preserve">with </w:t>
      </w:r>
      <w:r w:rsidRPr="00D051AD">
        <w:rPr>
          <w:sz w:val="22"/>
          <w:szCs w:val="22"/>
        </w:rPr>
        <w:t>the reference</w:t>
      </w:r>
      <w:r w:rsidRPr="00D051AD">
        <w:rPr>
          <w:spacing w:val="-3"/>
          <w:sz w:val="22"/>
          <w:szCs w:val="22"/>
        </w:rPr>
        <w:t xml:space="preserve"> </w:t>
      </w:r>
      <w:r w:rsidRPr="00D051AD">
        <w:rPr>
          <w:sz w:val="22"/>
          <w:szCs w:val="22"/>
        </w:rPr>
        <w:t>group.</w:t>
      </w:r>
    </w:p>
    <w:p w14:paraId="5CE5A8B4"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7185E9D7" w14:textId="77777777" w:rsidR="00D3651D" w:rsidRDefault="00D3651D" w:rsidP="00D3651D">
      <w:pPr>
        <w:pStyle w:val="BodyText"/>
        <w:spacing w:line="276" w:lineRule="auto"/>
        <w:ind w:right="795" w:firstLine="566"/>
        <w:jc w:val="both"/>
        <w:rPr>
          <w:rFonts w:eastAsiaTheme="minorEastAsia"/>
          <w:sz w:val="22"/>
          <w:szCs w:val="22"/>
          <w:lang w:eastAsia="ko-KR"/>
        </w:rPr>
      </w:pPr>
      <w:r w:rsidRPr="00D051AD">
        <w:rPr>
          <w:sz w:val="22"/>
          <w:szCs w:val="22"/>
        </w:rPr>
        <w:t xml:space="preserve">Among all characteristics, age and S antibody level demonstrated the most significant association with individual infection status, exhibiting clear patterns and non-overlapping </w:t>
      </w:r>
      <w:r w:rsidRPr="00D051AD">
        <w:rPr>
          <w:spacing w:val="-4"/>
          <w:sz w:val="22"/>
          <w:szCs w:val="22"/>
        </w:rPr>
        <w:t xml:space="preserve">con- </w:t>
      </w:r>
      <w:proofErr w:type="spellStart"/>
      <w:r w:rsidRPr="00D051AD">
        <w:rPr>
          <w:sz w:val="22"/>
          <w:szCs w:val="22"/>
        </w:rPr>
        <w:t>fidence</w:t>
      </w:r>
      <w:proofErr w:type="spellEnd"/>
      <w:r w:rsidRPr="00D051AD">
        <w:rPr>
          <w:sz w:val="22"/>
          <w:szCs w:val="22"/>
        </w:rPr>
        <w:t xml:space="preserve"> intervals. </w:t>
      </w:r>
      <w:r w:rsidRPr="00D051AD">
        <w:rPr>
          <w:rFonts w:eastAsiaTheme="minorEastAsia"/>
          <w:sz w:val="22"/>
          <w:szCs w:val="22"/>
          <w:lang w:eastAsia="ko-KR"/>
        </w:rPr>
        <w:t xml:space="preserve">(Figure S1) </w:t>
      </w:r>
      <w:r w:rsidRPr="00D051AD">
        <w:rPr>
          <w:sz w:val="22"/>
          <w:szCs w:val="22"/>
        </w:rPr>
        <w:t>Notably, the youngest group exhibited the highest individual infection risks. Except for the youngest group, there was a positive correlation between age and infection</w:t>
      </w:r>
      <w:r w:rsidRPr="00D051AD">
        <w:rPr>
          <w:spacing w:val="-14"/>
          <w:sz w:val="22"/>
          <w:szCs w:val="22"/>
        </w:rPr>
        <w:t xml:space="preserve"> </w:t>
      </w:r>
      <w:r w:rsidRPr="00D051AD">
        <w:rPr>
          <w:sz w:val="22"/>
          <w:szCs w:val="22"/>
        </w:rPr>
        <w:t>risk, indicating</w:t>
      </w:r>
      <w:r w:rsidRPr="00D051AD">
        <w:rPr>
          <w:spacing w:val="-7"/>
          <w:sz w:val="22"/>
          <w:szCs w:val="22"/>
        </w:rPr>
        <w:t xml:space="preserve"> </w:t>
      </w:r>
      <w:r w:rsidRPr="00D051AD">
        <w:rPr>
          <w:sz w:val="22"/>
          <w:szCs w:val="22"/>
        </w:rPr>
        <w:t>that</w:t>
      </w:r>
      <w:r w:rsidRPr="00D051AD">
        <w:rPr>
          <w:spacing w:val="-8"/>
          <w:sz w:val="22"/>
          <w:szCs w:val="22"/>
        </w:rPr>
        <w:t xml:space="preserve"> </w:t>
      </w:r>
      <w:r w:rsidRPr="00D051AD">
        <w:rPr>
          <w:sz w:val="22"/>
          <w:szCs w:val="22"/>
        </w:rPr>
        <w:t>risk</w:t>
      </w:r>
      <w:r w:rsidRPr="00D051AD">
        <w:rPr>
          <w:spacing w:val="-6"/>
          <w:sz w:val="22"/>
          <w:szCs w:val="22"/>
        </w:rPr>
        <w:t xml:space="preserve"> </w:t>
      </w:r>
      <w:r w:rsidRPr="00D051AD">
        <w:rPr>
          <w:sz w:val="22"/>
          <w:szCs w:val="22"/>
        </w:rPr>
        <w:t>increases</w:t>
      </w:r>
      <w:r w:rsidRPr="00D051AD">
        <w:rPr>
          <w:spacing w:val="-7"/>
          <w:sz w:val="22"/>
          <w:szCs w:val="22"/>
        </w:rPr>
        <w:t xml:space="preserve"> </w:t>
      </w:r>
      <w:r w:rsidRPr="00D051AD">
        <w:rPr>
          <w:sz w:val="22"/>
          <w:szCs w:val="22"/>
        </w:rPr>
        <w:t>with</w:t>
      </w:r>
      <w:r w:rsidRPr="00D051AD">
        <w:rPr>
          <w:spacing w:val="-7"/>
          <w:sz w:val="22"/>
          <w:szCs w:val="22"/>
        </w:rPr>
        <w:t xml:space="preserve"> </w:t>
      </w:r>
      <w:r w:rsidRPr="00D051AD">
        <w:rPr>
          <w:sz w:val="22"/>
          <w:szCs w:val="22"/>
        </w:rPr>
        <w:t>age.</w:t>
      </w:r>
      <w:r w:rsidRPr="00D051AD">
        <w:rPr>
          <w:spacing w:val="9"/>
          <w:sz w:val="22"/>
          <w:szCs w:val="22"/>
        </w:rPr>
        <w:t xml:space="preserve"> </w:t>
      </w:r>
      <w:proofErr w:type="gramStart"/>
      <w:r w:rsidRPr="00D051AD">
        <w:rPr>
          <w:rFonts w:eastAsiaTheme="minorEastAsia"/>
          <w:sz w:val="22"/>
          <w:szCs w:val="22"/>
          <w:lang w:eastAsia="ko-KR"/>
        </w:rPr>
        <w:t>In order to</w:t>
      </w:r>
      <w:proofErr w:type="gramEnd"/>
      <w:r w:rsidRPr="00D051AD">
        <w:rPr>
          <w:rFonts w:eastAsiaTheme="minorEastAsia"/>
          <w:sz w:val="22"/>
          <w:szCs w:val="22"/>
          <w:lang w:eastAsia="ko-KR"/>
        </w:rPr>
        <w:t xml:space="preserve"> determine the risk </w:t>
      </w:r>
      <w:r w:rsidRPr="00D051AD">
        <w:rPr>
          <w:sz w:val="22"/>
          <w:szCs w:val="22"/>
        </w:rPr>
        <w:t>probability of remaining infection-free</w:t>
      </w:r>
      <w:r w:rsidRPr="00D051AD">
        <w:rPr>
          <w:rFonts w:eastAsiaTheme="minorEastAsia"/>
          <w:sz w:val="22"/>
          <w:szCs w:val="22"/>
          <w:lang w:eastAsia="ko-KR"/>
        </w:rPr>
        <w:t xml:space="preserve"> by </w:t>
      </w:r>
      <w:r w:rsidRPr="00D051AD">
        <w:rPr>
          <w:sz w:val="22"/>
          <w:szCs w:val="22"/>
        </w:rPr>
        <w:t>S antibody levels</w:t>
      </w:r>
      <w:r w:rsidRPr="00D051AD">
        <w:rPr>
          <w:rFonts w:eastAsiaTheme="minorEastAsia"/>
          <w:sz w:val="22"/>
          <w:szCs w:val="22"/>
          <w:lang w:eastAsia="ko-KR"/>
        </w:rPr>
        <w:t xml:space="preserve"> across age groups, we constructed l</w:t>
      </w:r>
      <w:r w:rsidRPr="00D051AD">
        <w:rPr>
          <w:sz w:val="22"/>
          <w:szCs w:val="22"/>
        </w:rPr>
        <w:t xml:space="preserve">ogistic </w:t>
      </w:r>
      <w:r w:rsidRPr="00D051AD">
        <w:rPr>
          <w:spacing w:val="-3"/>
          <w:sz w:val="22"/>
          <w:szCs w:val="22"/>
        </w:rPr>
        <w:t>regression</w:t>
      </w:r>
      <w:r w:rsidRPr="00D051AD">
        <w:rPr>
          <w:rFonts w:eastAsiaTheme="minorEastAsia"/>
          <w:spacing w:val="-3"/>
          <w:sz w:val="22"/>
          <w:szCs w:val="22"/>
          <w:lang w:eastAsia="ko-KR"/>
        </w:rPr>
        <w:t xml:space="preserve"> including </w:t>
      </w:r>
      <w:r w:rsidRPr="00D051AD">
        <w:rPr>
          <w:rFonts w:eastAsiaTheme="minorEastAsia"/>
          <w:sz w:val="22"/>
          <w:szCs w:val="22"/>
          <w:lang w:eastAsia="ko-KR"/>
        </w:rPr>
        <w:t>age only based on the finding. (Figure 4 and S2)</w:t>
      </w:r>
    </w:p>
    <w:p w14:paraId="3968BEE3" w14:textId="4BF4EAA9"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026FE5F5" w14:textId="77B3E8BF" w:rsidR="00D3651D" w:rsidRPr="00D051AD" w:rsidRDefault="00D3651D" w:rsidP="00D3651D">
      <w:pPr>
        <w:pStyle w:val="BodyText"/>
        <w:spacing w:line="276" w:lineRule="auto"/>
        <w:ind w:left="0"/>
        <w:rPr>
          <w:sz w:val="22"/>
          <w:szCs w:val="22"/>
        </w:rPr>
      </w:pPr>
      <w:r w:rsidRPr="00D051AD">
        <w:rPr>
          <w:noProof/>
          <w:sz w:val="22"/>
          <w:szCs w:val="22"/>
        </w:rPr>
        <w:drawing>
          <wp:anchor distT="0" distB="0" distL="0" distR="0" simplePos="0" relativeHeight="251663360" behindDoc="0" locked="0" layoutInCell="1" allowOverlap="1" wp14:anchorId="3AAE6307" wp14:editId="2295A01B">
            <wp:simplePos x="0" y="0"/>
            <wp:positionH relativeFrom="page">
              <wp:posOffset>1266825</wp:posOffset>
            </wp:positionH>
            <wp:positionV relativeFrom="paragraph">
              <wp:posOffset>90805</wp:posOffset>
            </wp:positionV>
            <wp:extent cx="5311775" cy="2332355"/>
            <wp:effectExtent l="0" t="0" r="0" b="0"/>
            <wp:wrapTopAndBottom/>
            <wp:docPr id="13" name="image7.jpeg"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graph with lines and numbers&#10;&#10;Description automatically generated"/>
                    <pic:cNvPicPr/>
                  </pic:nvPicPr>
                  <pic:blipFill>
                    <a:blip r:embed="rId15" cstate="print"/>
                    <a:stretch>
                      <a:fillRect/>
                    </a:stretch>
                  </pic:blipFill>
                  <pic:spPr>
                    <a:xfrm>
                      <a:off x="0" y="0"/>
                      <a:ext cx="5311775" cy="2332355"/>
                    </a:xfrm>
                    <a:prstGeom prst="rect">
                      <a:avLst/>
                    </a:prstGeom>
                  </pic:spPr>
                </pic:pic>
              </a:graphicData>
            </a:graphic>
            <wp14:sizeRelH relativeFrom="margin">
              <wp14:pctWidth>0</wp14:pctWidth>
            </wp14:sizeRelH>
            <wp14:sizeRelV relativeFrom="margin">
              <wp14:pctHeight>0</wp14:pctHeight>
            </wp14:sizeRelV>
          </wp:anchor>
        </w:drawing>
      </w:r>
    </w:p>
    <w:p w14:paraId="317B7DB7" w14:textId="790B6D49" w:rsidR="00D3651D" w:rsidRPr="003B359E" w:rsidRDefault="00D3651D" w:rsidP="003B359E">
      <w:pPr>
        <w:pStyle w:val="ListParagraph"/>
        <w:numPr>
          <w:ilvl w:val="2"/>
          <w:numId w:val="2"/>
        </w:numPr>
        <w:tabs>
          <w:tab w:val="left" w:pos="3835"/>
        </w:tabs>
        <w:spacing w:line="276" w:lineRule="auto"/>
        <w:ind w:left="3834" w:hanging="310"/>
        <w:contextualSpacing w:val="0"/>
      </w:pPr>
      <w:r w:rsidRPr="00D051AD">
        <w:t>Hybrid-induced</w:t>
      </w:r>
      <w:r w:rsidRPr="00D051AD">
        <w:rPr>
          <w:spacing w:val="-17"/>
        </w:rPr>
        <w:t xml:space="preserve"> </w:t>
      </w:r>
      <w:r w:rsidRPr="00D051AD">
        <w:t>group</w:t>
      </w:r>
    </w:p>
    <w:p w14:paraId="69929C96" w14:textId="77777777" w:rsidR="00D3651D" w:rsidRPr="00D051AD" w:rsidRDefault="00D3651D" w:rsidP="00D3651D">
      <w:pPr>
        <w:pStyle w:val="BodyText"/>
        <w:spacing w:line="276" w:lineRule="auto"/>
        <w:ind w:left="0"/>
        <w:rPr>
          <w:b/>
          <w:sz w:val="22"/>
          <w:szCs w:val="22"/>
        </w:rPr>
      </w:pPr>
    </w:p>
    <w:p w14:paraId="388E0ECB" w14:textId="77777777" w:rsidR="00D3651D" w:rsidRPr="00D051AD" w:rsidRDefault="00D3651D" w:rsidP="00D3651D">
      <w:pPr>
        <w:pStyle w:val="BodyText"/>
        <w:spacing w:line="276" w:lineRule="auto"/>
        <w:ind w:left="683"/>
        <w:rPr>
          <w:sz w:val="22"/>
          <w:szCs w:val="22"/>
        </w:rPr>
      </w:pPr>
      <w:r w:rsidRPr="00D051AD">
        <w:rPr>
          <w:noProof/>
          <w:sz w:val="22"/>
          <w:szCs w:val="22"/>
        </w:rPr>
        <w:drawing>
          <wp:inline distT="0" distB="0" distL="0" distR="0" wp14:anchorId="2F5A1E3F" wp14:editId="0F75BDE8">
            <wp:extent cx="5359271" cy="2463694"/>
            <wp:effectExtent l="0" t="0" r="0" b="0"/>
            <wp:docPr id="11" name="image6.jpeg" descr="A graph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graph with black and white lines&#10;&#10;Description automatically generated"/>
                    <pic:cNvPicPr/>
                  </pic:nvPicPr>
                  <pic:blipFill>
                    <a:blip r:embed="rId16" cstate="print"/>
                    <a:stretch>
                      <a:fillRect/>
                    </a:stretch>
                  </pic:blipFill>
                  <pic:spPr>
                    <a:xfrm>
                      <a:off x="0" y="0"/>
                      <a:ext cx="5359271" cy="2463694"/>
                    </a:xfrm>
                    <a:prstGeom prst="rect">
                      <a:avLst/>
                    </a:prstGeom>
                  </pic:spPr>
                </pic:pic>
              </a:graphicData>
            </a:graphic>
          </wp:inline>
        </w:drawing>
      </w:r>
    </w:p>
    <w:p w14:paraId="3CDA5597" w14:textId="65DAFD4B" w:rsidR="00D3651D" w:rsidRPr="00D051AD" w:rsidRDefault="00D3651D" w:rsidP="00D3651D">
      <w:pPr>
        <w:pStyle w:val="ListParagraph"/>
        <w:numPr>
          <w:ilvl w:val="2"/>
          <w:numId w:val="2"/>
        </w:numPr>
        <w:tabs>
          <w:tab w:val="left" w:pos="3793"/>
        </w:tabs>
        <w:spacing w:line="276" w:lineRule="auto"/>
        <w:ind w:hanging="298"/>
        <w:contextualSpacing w:val="0"/>
      </w:pPr>
      <w:r w:rsidRPr="00D051AD">
        <w:rPr>
          <w:w w:val="95"/>
        </w:rPr>
        <w:t>Vaccine-induced</w:t>
      </w:r>
      <w:r w:rsidR="00365F91">
        <w:rPr>
          <w:w w:val="95"/>
        </w:rPr>
        <w:t xml:space="preserve"> </w:t>
      </w:r>
      <w:r w:rsidRPr="00D051AD">
        <w:rPr>
          <w:w w:val="95"/>
        </w:rPr>
        <w:t>group</w:t>
      </w:r>
    </w:p>
    <w:p w14:paraId="1F126583" w14:textId="77777777" w:rsidR="00D3651D" w:rsidRPr="00D051AD" w:rsidRDefault="00D3651D" w:rsidP="00D3651D">
      <w:pPr>
        <w:tabs>
          <w:tab w:val="left" w:pos="3793"/>
        </w:tabs>
        <w:spacing w:line="276" w:lineRule="auto"/>
        <w:rPr>
          <w:rFonts w:eastAsiaTheme="minorEastAsia"/>
          <w:lang w:eastAsia="ko-KR"/>
        </w:rPr>
      </w:pPr>
    </w:p>
    <w:p w14:paraId="1FCD1C66" w14:textId="77777777" w:rsidR="00D3651D" w:rsidRPr="00D051AD" w:rsidRDefault="00D3651D" w:rsidP="00D3651D">
      <w:pPr>
        <w:tabs>
          <w:tab w:val="left" w:pos="3793"/>
        </w:tabs>
        <w:spacing w:line="276" w:lineRule="auto"/>
      </w:pPr>
      <w:r w:rsidRPr="00D051AD">
        <w:t xml:space="preserve">Figure </w:t>
      </w:r>
      <w:r w:rsidRPr="00D051AD">
        <w:rPr>
          <w:rFonts w:eastAsiaTheme="minorEastAsia"/>
          <w:lang w:eastAsia="ko-KR"/>
        </w:rPr>
        <w:t>S1</w:t>
      </w:r>
      <w:r w:rsidRPr="00D051AD">
        <w:t>: Forest plot displaying characteristic patterns: Top - Vaccine-induced group; Bottom - Hybrid-induced group</w:t>
      </w:r>
    </w:p>
    <w:p w14:paraId="1AC72550" w14:textId="6FEAA19C" w:rsidR="00D3651D" w:rsidRPr="00D051AD" w:rsidRDefault="00E84F8E" w:rsidP="00E84F8E">
      <w:pPr>
        <w:pStyle w:val="BodyText"/>
        <w:spacing w:line="276" w:lineRule="auto"/>
        <w:ind w:left="0"/>
        <w:jc w:val="center"/>
        <w:rPr>
          <w:b/>
          <w:sz w:val="22"/>
          <w:szCs w:val="22"/>
        </w:rPr>
      </w:pPr>
      <w:r>
        <w:rPr>
          <w:b/>
          <w:noProof/>
          <w:sz w:val="22"/>
          <w:szCs w:val="22"/>
          <w14:ligatures w14:val="standardContextual"/>
        </w:rPr>
        <w:lastRenderedPageBreak/>
        <w:drawing>
          <wp:inline distT="0" distB="0" distL="0" distR="0" wp14:anchorId="1746C227" wp14:editId="12086259">
            <wp:extent cx="4798206" cy="4798206"/>
            <wp:effectExtent l="0" t="0" r="2540" b="2540"/>
            <wp:docPr id="484918528" name="Picture 6"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8528" name="Picture 6" descr="A graph of a logistic regress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47583" cy="4847583"/>
                    </a:xfrm>
                    <a:prstGeom prst="rect">
                      <a:avLst/>
                    </a:prstGeom>
                  </pic:spPr>
                </pic:pic>
              </a:graphicData>
            </a:graphic>
          </wp:inline>
        </w:drawing>
      </w:r>
    </w:p>
    <w:p w14:paraId="64EF20A3" w14:textId="77777777" w:rsidR="00D3651D" w:rsidRPr="00D051AD" w:rsidRDefault="00D3651D" w:rsidP="00D3651D">
      <w:pPr>
        <w:pStyle w:val="BodyText"/>
        <w:spacing w:line="276" w:lineRule="auto"/>
        <w:ind w:left="2153"/>
        <w:rPr>
          <w:rFonts w:eastAsiaTheme="minorEastAsia"/>
          <w:sz w:val="22"/>
          <w:szCs w:val="22"/>
          <w:lang w:eastAsia="zh-CN"/>
        </w:rPr>
      </w:pPr>
      <w:r w:rsidRPr="00D051AD">
        <w:rPr>
          <w:sz w:val="22"/>
          <w:szCs w:val="22"/>
        </w:rPr>
        <w:t xml:space="preserve">Figure </w:t>
      </w:r>
      <w:r w:rsidRPr="00D051AD">
        <w:rPr>
          <w:rFonts w:eastAsiaTheme="minorEastAsia"/>
          <w:sz w:val="22"/>
          <w:szCs w:val="22"/>
          <w:lang w:eastAsia="ko-KR"/>
        </w:rPr>
        <w:t>S2</w:t>
      </w:r>
      <w:r w:rsidRPr="00D051AD">
        <w:rPr>
          <w:sz w:val="22"/>
          <w:szCs w:val="22"/>
        </w:rPr>
        <w:t>: ROC curves for logistic regression models</w:t>
      </w:r>
    </w:p>
    <w:p w14:paraId="3502B7BB" w14:textId="067688D5" w:rsidR="008D184F" w:rsidRPr="008D184F" w:rsidRDefault="00E84F8E" w:rsidP="008D184F">
      <w:pPr>
        <w:pStyle w:val="BodyText"/>
        <w:spacing w:line="276" w:lineRule="auto"/>
        <w:rPr>
          <w:rFonts w:eastAsiaTheme="minorEastAsia"/>
          <w:sz w:val="22"/>
          <w:szCs w:val="22"/>
          <w:lang w:eastAsia="zh-CN"/>
        </w:rPr>
      </w:pPr>
      <w:r w:rsidRPr="00E84F8E">
        <w:rPr>
          <w:rFonts w:eastAsiaTheme="minorEastAsia"/>
          <w:sz w:val="22"/>
          <w:szCs w:val="22"/>
          <w:lang w:eastAsia="ko-KR"/>
        </w:rPr>
        <w:t>The ROC curve analysis demonstrates that the mixed-effects</w:t>
      </w:r>
      <w:r>
        <w:rPr>
          <w:rFonts w:eastAsiaTheme="minorEastAsia"/>
          <w:sz w:val="22"/>
          <w:szCs w:val="22"/>
          <w:lang w:eastAsia="ko-KR"/>
        </w:rPr>
        <w:t xml:space="preserve"> logistic regression</w:t>
      </w:r>
      <w:r w:rsidRPr="00E84F8E">
        <w:rPr>
          <w:rFonts w:eastAsiaTheme="minorEastAsia"/>
          <w:sz w:val="22"/>
          <w:szCs w:val="22"/>
          <w:lang w:eastAsia="ko-KR"/>
        </w:rPr>
        <w:t xml:space="preserve"> model (red </w:t>
      </w:r>
      <w:r>
        <w:rPr>
          <w:rFonts w:eastAsiaTheme="minorEastAsia"/>
          <w:sz w:val="22"/>
          <w:szCs w:val="22"/>
          <w:lang w:eastAsia="ko-KR"/>
        </w:rPr>
        <w:t>curve</w:t>
      </w:r>
      <w:r w:rsidRPr="00E84F8E">
        <w:rPr>
          <w:rFonts w:eastAsiaTheme="minorEastAsia"/>
          <w:sz w:val="22"/>
          <w:szCs w:val="22"/>
          <w:lang w:eastAsia="ko-KR"/>
        </w:rPr>
        <w:t>)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Pr>
          <w:rFonts w:eastAsiaTheme="minorEastAsia"/>
          <w:sz w:val="22"/>
          <w:szCs w:val="22"/>
          <w:lang w:eastAsia="ko-KR"/>
        </w:rPr>
        <w:t>.</w:t>
      </w:r>
    </w:p>
    <w:p w14:paraId="645CA86A" w14:textId="77777777" w:rsidR="00E84F8E" w:rsidRPr="00D051AD" w:rsidRDefault="00E84F8E" w:rsidP="00E84F8E">
      <w:pPr>
        <w:pStyle w:val="BodyText"/>
        <w:spacing w:line="276" w:lineRule="auto"/>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B26D6C"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B26D6C" w:rsidRDefault="00D3651D" w:rsidP="00AA59CA">
            <w:pPr>
              <w:pStyle w:val="BodyText"/>
              <w:spacing w:line="276" w:lineRule="auto"/>
              <w:jc w:val="both"/>
              <w:rPr>
                <w:rFonts w:eastAsiaTheme="minorEastAsia"/>
                <w:sz w:val="20"/>
                <w:szCs w:val="20"/>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Total</w:t>
            </w:r>
          </w:p>
        </w:tc>
      </w:tr>
      <w:tr w:rsidR="00D3651D" w:rsidRPr="00B26D6C"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6DE8266A" w:rsidR="00D3651D" w:rsidRPr="00B26D6C" w:rsidRDefault="00484037" w:rsidP="00AA59CA">
            <w:pPr>
              <w:pStyle w:val="BodyText"/>
              <w:spacing w:line="276" w:lineRule="auto"/>
              <w:jc w:val="both"/>
              <w:rPr>
                <w:rFonts w:eastAsiaTheme="minorEastAsia"/>
                <w:sz w:val="20"/>
                <w:szCs w:val="20"/>
                <w:lang w:eastAsia="zh-CN"/>
              </w:rPr>
            </w:pPr>
            <w:r>
              <w:rPr>
                <w:rFonts w:eastAsiaTheme="minorEastAsia"/>
                <w:sz w:val="20"/>
                <w:szCs w:val="20"/>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43501849"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w:t>
            </w:r>
            <w:r w:rsidR="00484037">
              <w:rPr>
                <w:rFonts w:eastAsiaTheme="minorEastAsia"/>
                <w:sz w:val="20"/>
                <w:szCs w:val="20"/>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5FE842FD"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r w:rsidR="00484037">
              <w:rPr>
                <w:rFonts w:eastAsiaTheme="minorEastAsia"/>
                <w:sz w:val="20"/>
                <w:szCs w:val="20"/>
                <w:lang w:eastAsia="ko-KR"/>
              </w:rPr>
              <w:t>8</w:t>
            </w:r>
          </w:p>
        </w:tc>
      </w:tr>
      <w:tr w:rsidR="00D3651D" w:rsidRPr="00B26D6C"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r>
      <w:tr w:rsidR="00D3651D" w:rsidRPr="00B26D6C"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r>
      <w:tr w:rsidR="00D3651D" w:rsidRPr="00B26D6C"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0783DB82"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r w:rsidR="00484037">
              <w:rPr>
                <w:rFonts w:eastAsiaTheme="minorEastAsia"/>
                <w:sz w:val="20"/>
                <w:szCs w:val="20"/>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6DB4E60D"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6DDD49D5"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17</w:t>
            </w:r>
            <w:r w:rsidR="00484037">
              <w:rPr>
                <w:rFonts w:eastAsiaTheme="minorEastAsia"/>
                <w:sz w:val="20"/>
                <w:szCs w:val="20"/>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3A50CF15"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F363427"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585</w:t>
            </w:r>
          </w:p>
        </w:tc>
      </w:tr>
      <w:tr w:rsidR="00D3651D" w:rsidRPr="00B26D6C"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48C826AC"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8CFE3E8"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16</w:t>
            </w:r>
          </w:p>
        </w:tc>
      </w:tr>
      <w:tr w:rsidR="00D3651D" w:rsidRPr="00B26D6C"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0.03</w:t>
            </w:r>
          </w:p>
        </w:tc>
      </w:tr>
    </w:tbl>
    <w:p w14:paraId="75E1E1FC" w14:textId="77777777" w:rsidR="00D3651D" w:rsidRPr="00D051AD" w:rsidRDefault="00D3651D" w:rsidP="00D3651D">
      <w:pPr>
        <w:pStyle w:val="BodyText"/>
        <w:spacing w:line="276" w:lineRule="auto"/>
        <w:jc w:val="both"/>
        <w:rPr>
          <w:rFonts w:eastAsiaTheme="minorEastAsia"/>
          <w:sz w:val="22"/>
          <w:szCs w:val="22"/>
          <w:lang w:eastAsia="ko-KR"/>
        </w:rPr>
      </w:pPr>
    </w:p>
    <w:p w14:paraId="75A775A8" w14:textId="77777777" w:rsidR="00D3651D" w:rsidRPr="00D051AD" w:rsidRDefault="00D3651D" w:rsidP="00D3651D">
      <w:pPr>
        <w:pStyle w:val="BodyText"/>
        <w:spacing w:line="276" w:lineRule="auto"/>
        <w:jc w:val="center"/>
        <w:rPr>
          <w:rFonts w:eastAsiaTheme="minorEastAsia"/>
          <w:sz w:val="22"/>
          <w:szCs w:val="22"/>
          <w:lang w:eastAsia="ko-KR"/>
        </w:rPr>
      </w:pPr>
      <w:r w:rsidRPr="00D051AD">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D3651D">
      <w:pgSz w:w="11910" w:h="16840"/>
      <w:pgMar w:top="1300" w:right="620" w:bottom="1040" w:left="1300" w:header="0" w:footer="8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A6F82F" w14:textId="77777777" w:rsidR="007F618F" w:rsidRDefault="007F618F" w:rsidP="00D3651D">
      <w:r>
        <w:separator/>
      </w:r>
    </w:p>
  </w:endnote>
  <w:endnote w:type="continuationSeparator" w:id="0">
    <w:p w14:paraId="0521C6CB" w14:textId="77777777" w:rsidR="007F618F" w:rsidRDefault="007F618F"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WarnockPro-Regular">
    <w:altName w:val="Cambria"/>
    <w:panose1 w:val="020B0604020202020204"/>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344BE" w14:textId="77777777" w:rsidR="007F618F" w:rsidRDefault="007F618F" w:rsidP="00D3651D">
      <w:r>
        <w:separator/>
      </w:r>
    </w:p>
  </w:footnote>
  <w:footnote w:type="continuationSeparator" w:id="0">
    <w:p w14:paraId="3A66E81A" w14:textId="77777777" w:rsidR="007F618F" w:rsidRDefault="007F618F"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num w:numId="1" w16cid:durableId="713045352">
    <w:abstractNumId w:val="0"/>
  </w:num>
  <w:num w:numId="2" w16cid:durableId="387842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qgUAB4xF3iwAAAA="/>
  </w:docVars>
  <w:rsids>
    <w:rsidRoot w:val="00D3651D"/>
    <w:rsid w:val="00031BE9"/>
    <w:rsid w:val="000B4CFA"/>
    <w:rsid w:val="001363CD"/>
    <w:rsid w:val="001724C1"/>
    <w:rsid w:val="002454D0"/>
    <w:rsid w:val="002F0C3B"/>
    <w:rsid w:val="00365F91"/>
    <w:rsid w:val="003A2DFC"/>
    <w:rsid w:val="003B359E"/>
    <w:rsid w:val="00427DD0"/>
    <w:rsid w:val="004500DA"/>
    <w:rsid w:val="00453DCC"/>
    <w:rsid w:val="004567C4"/>
    <w:rsid w:val="00484037"/>
    <w:rsid w:val="004D6B1E"/>
    <w:rsid w:val="00560814"/>
    <w:rsid w:val="00563EA8"/>
    <w:rsid w:val="00642DD1"/>
    <w:rsid w:val="006821C4"/>
    <w:rsid w:val="006C4459"/>
    <w:rsid w:val="007034C2"/>
    <w:rsid w:val="0072734B"/>
    <w:rsid w:val="0073762E"/>
    <w:rsid w:val="007509F0"/>
    <w:rsid w:val="007D4A34"/>
    <w:rsid w:val="007F618F"/>
    <w:rsid w:val="008737AA"/>
    <w:rsid w:val="008B7B1F"/>
    <w:rsid w:val="008D184F"/>
    <w:rsid w:val="009206CF"/>
    <w:rsid w:val="00937ED7"/>
    <w:rsid w:val="00970A5C"/>
    <w:rsid w:val="009D2CEB"/>
    <w:rsid w:val="00B73E9A"/>
    <w:rsid w:val="00BC63FF"/>
    <w:rsid w:val="00CB2F15"/>
    <w:rsid w:val="00D15278"/>
    <w:rsid w:val="00D3651D"/>
    <w:rsid w:val="00E411C7"/>
    <w:rsid w:val="00E84F8E"/>
    <w:rsid w:val="00E85EE4"/>
    <w:rsid w:val="00EA4FDE"/>
    <w:rsid w:val="00F57AB2"/>
    <w:rsid w:val="00F856E1"/>
    <w:rsid w:val="00FB5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51D"/>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uchc.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11</Pages>
  <Words>4582</Words>
  <Characters>26119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Zhang, Franky</cp:lastModifiedBy>
  <cp:revision>27</cp:revision>
  <dcterms:created xsi:type="dcterms:W3CDTF">2024-07-26T18:47:00Z</dcterms:created>
  <dcterms:modified xsi:type="dcterms:W3CDTF">2024-08-12T04:32:00Z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ies>
</file>