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347DB2" w14:textId="77777777" w:rsidR="00D3651D" w:rsidRDefault="00D3651D" w:rsidP="005B7F6E">
      <w:pPr>
        <w:pStyle w:val="BodyText"/>
        <w:spacing w:line="360" w:lineRule="auto"/>
        <w:ind w:left="0"/>
        <w:rPr>
          <w:rFonts w:eastAsiaTheme="minorEastAsia"/>
          <w:b/>
          <w:sz w:val="32"/>
          <w:szCs w:val="12"/>
          <w:lang w:eastAsia="ko-KR"/>
        </w:rPr>
      </w:pPr>
      <w:r w:rsidRPr="00936392">
        <w:rPr>
          <w:b/>
          <w:sz w:val="32"/>
          <w:szCs w:val="12"/>
        </w:rPr>
        <w:t>Protective effectiveness of SARS-CoV-2 infection risk between hybrid and vaccine-induced immunity against the omicron variant</w:t>
      </w:r>
    </w:p>
    <w:p w14:paraId="54C6C82A" w14:textId="77777777" w:rsidR="00D3651D" w:rsidRDefault="00D3651D" w:rsidP="005B7F6E">
      <w:pPr>
        <w:pStyle w:val="BodyText"/>
        <w:spacing w:line="360" w:lineRule="auto"/>
        <w:ind w:left="0"/>
        <w:rPr>
          <w:rFonts w:eastAsiaTheme="minorEastAsia"/>
          <w:b/>
          <w:sz w:val="32"/>
          <w:szCs w:val="12"/>
          <w:lang w:eastAsia="ko-KR"/>
        </w:rPr>
      </w:pPr>
    </w:p>
    <w:p w14:paraId="68F9DD6E" w14:textId="26618B78" w:rsidR="00D3651D" w:rsidRPr="00936392" w:rsidRDefault="00D3651D" w:rsidP="005B7F6E">
      <w:pPr>
        <w:pStyle w:val="BodyText"/>
        <w:spacing w:line="360" w:lineRule="auto"/>
        <w:ind w:left="0"/>
        <w:rPr>
          <w:rFonts w:eastAsiaTheme="minorEastAsia"/>
          <w:bCs/>
          <w:sz w:val="22"/>
          <w:szCs w:val="6"/>
          <w:lang w:eastAsia="ko-KR"/>
        </w:rPr>
      </w:pPr>
      <w:r w:rsidRPr="00560814">
        <w:rPr>
          <w:rFonts w:eastAsiaTheme="minorEastAsia" w:hint="eastAsia"/>
          <w:b/>
          <w:sz w:val="22"/>
          <w:szCs w:val="6"/>
          <w:lang w:eastAsia="ko-KR"/>
        </w:rPr>
        <w:t>Authors (TBD):</w:t>
      </w:r>
      <w:r w:rsidRPr="00936392">
        <w:rPr>
          <w:rFonts w:eastAsiaTheme="minorEastAsia" w:hint="eastAsia"/>
          <w:bCs/>
          <w:sz w:val="22"/>
          <w:szCs w:val="6"/>
          <w:lang w:eastAsia="ko-KR"/>
        </w:rPr>
        <w:t xml:space="preserve"> Yifan Zhang</w:t>
      </w:r>
      <w:r w:rsidR="00640A37">
        <w:rPr>
          <w:rFonts w:eastAsiaTheme="minorEastAsia" w:hint="eastAsia"/>
          <w:bCs/>
          <w:sz w:val="22"/>
          <w:szCs w:val="6"/>
          <w:vertAlign w:val="superscript"/>
          <w:lang w:eastAsia="ko-KR"/>
        </w:rPr>
        <w:t>1</w:t>
      </w:r>
      <w:r w:rsidRPr="00936392">
        <w:rPr>
          <w:rFonts w:eastAsiaTheme="minorEastAsia" w:hint="eastAsia"/>
          <w:bCs/>
          <w:sz w:val="22"/>
          <w:szCs w:val="6"/>
          <w:lang w:eastAsia="ko-KR"/>
        </w:rPr>
        <w:t>, Won Chang</w:t>
      </w:r>
      <w:r w:rsidR="00640A37">
        <w:rPr>
          <w:rFonts w:eastAsiaTheme="minorEastAsia" w:hint="eastAsia"/>
          <w:bCs/>
          <w:sz w:val="22"/>
          <w:szCs w:val="6"/>
          <w:vertAlign w:val="superscript"/>
          <w:lang w:eastAsia="ko-KR"/>
        </w:rPr>
        <w:t>2</w:t>
      </w:r>
      <w:r w:rsidRPr="00936392">
        <w:rPr>
          <w:rFonts w:eastAsiaTheme="minorEastAsia" w:hint="eastAsia"/>
          <w:bCs/>
          <w:sz w:val="22"/>
          <w:szCs w:val="6"/>
          <w:lang w:eastAsia="ko-KR"/>
        </w:rPr>
        <w:t>, Kevin Diekhuis</w:t>
      </w:r>
      <w:r w:rsidR="00640A37">
        <w:rPr>
          <w:rFonts w:eastAsiaTheme="minorEastAsia" w:hint="eastAsia"/>
          <w:bCs/>
          <w:sz w:val="22"/>
          <w:szCs w:val="6"/>
          <w:vertAlign w:val="superscript"/>
          <w:lang w:eastAsia="ko-KR"/>
        </w:rPr>
        <w:t>3</w:t>
      </w:r>
      <w:r w:rsidRPr="00936392">
        <w:rPr>
          <w:rFonts w:eastAsiaTheme="minorEastAsia" w:hint="eastAsia"/>
          <w:bCs/>
          <w:sz w:val="22"/>
          <w:szCs w:val="6"/>
          <w:lang w:eastAsia="ko-KR"/>
        </w:rPr>
        <w:t xml:space="preserve">, </w:t>
      </w:r>
      <w:proofErr w:type="spellStart"/>
      <w:r w:rsidRPr="00936392">
        <w:rPr>
          <w:rFonts w:eastAsiaTheme="minorEastAsia" w:hint="eastAsia"/>
          <w:bCs/>
          <w:sz w:val="22"/>
          <w:szCs w:val="6"/>
          <w:lang w:eastAsia="ko-KR"/>
        </w:rPr>
        <w:t>Jaehun</w:t>
      </w:r>
      <w:proofErr w:type="spellEnd"/>
      <w:r w:rsidRPr="00936392">
        <w:rPr>
          <w:rFonts w:eastAsiaTheme="minorEastAsia" w:hint="eastAsia"/>
          <w:bCs/>
          <w:sz w:val="22"/>
          <w:szCs w:val="6"/>
          <w:lang w:eastAsia="ko-KR"/>
        </w:rPr>
        <w:t xml:space="preserve"> Jung</w:t>
      </w:r>
      <w:r w:rsidR="00640A37">
        <w:rPr>
          <w:rFonts w:eastAsiaTheme="minorEastAsia" w:hint="eastAsia"/>
          <w:bCs/>
          <w:sz w:val="22"/>
          <w:szCs w:val="6"/>
          <w:vertAlign w:val="superscript"/>
          <w:lang w:eastAsia="ko-KR"/>
        </w:rPr>
        <w:t>4</w:t>
      </w:r>
      <w:r w:rsidRPr="00936392">
        <w:rPr>
          <w:rFonts w:eastAsiaTheme="minorEastAsia" w:hint="eastAsia"/>
          <w:bCs/>
          <w:sz w:val="22"/>
          <w:szCs w:val="6"/>
          <w:lang w:eastAsia="ko-KR"/>
        </w:rPr>
        <w:t>, Youngji Jo</w:t>
      </w:r>
      <w:r w:rsidR="00640A37">
        <w:rPr>
          <w:rFonts w:eastAsiaTheme="minorEastAsia" w:hint="eastAsia"/>
          <w:bCs/>
          <w:sz w:val="22"/>
          <w:szCs w:val="6"/>
          <w:vertAlign w:val="superscript"/>
          <w:lang w:eastAsia="ko-KR"/>
        </w:rPr>
        <w:t>3</w:t>
      </w:r>
      <w:r w:rsidRPr="00936392">
        <w:rPr>
          <w:rFonts w:eastAsiaTheme="minorEastAsia" w:hint="eastAsia"/>
          <w:bCs/>
          <w:sz w:val="22"/>
          <w:szCs w:val="6"/>
          <w:lang w:eastAsia="ko-KR"/>
        </w:rPr>
        <w:t xml:space="preserve">*, </w:t>
      </w:r>
      <w:proofErr w:type="spellStart"/>
      <w:r w:rsidRPr="00936392">
        <w:rPr>
          <w:rFonts w:eastAsiaTheme="minorEastAsia" w:hint="eastAsia"/>
          <w:bCs/>
          <w:sz w:val="22"/>
          <w:szCs w:val="6"/>
          <w:lang w:eastAsia="ko-KR"/>
        </w:rPr>
        <w:t>Donghyun</w:t>
      </w:r>
      <w:proofErr w:type="spellEnd"/>
      <w:r w:rsidRPr="00936392">
        <w:rPr>
          <w:rFonts w:eastAsiaTheme="minorEastAsia" w:hint="eastAsia"/>
          <w:bCs/>
          <w:sz w:val="22"/>
          <w:szCs w:val="6"/>
          <w:lang w:eastAsia="ko-KR"/>
        </w:rPr>
        <w:t xml:space="preserve"> Kim</w:t>
      </w:r>
      <w:r w:rsidR="00640A37">
        <w:rPr>
          <w:rFonts w:eastAsiaTheme="minorEastAsia" w:hint="eastAsia"/>
          <w:bCs/>
          <w:sz w:val="22"/>
          <w:szCs w:val="6"/>
          <w:vertAlign w:val="superscript"/>
          <w:lang w:eastAsia="ko-KR"/>
        </w:rPr>
        <w:t>5</w:t>
      </w:r>
      <w:r w:rsidRPr="00936392">
        <w:rPr>
          <w:rFonts w:eastAsiaTheme="minorEastAsia" w:hint="eastAsia"/>
          <w:bCs/>
          <w:sz w:val="22"/>
          <w:szCs w:val="6"/>
          <w:lang w:eastAsia="ko-KR"/>
        </w:rPr>
        <w:t>*</w:t>
      </w:r>
    </w:p>
    <w:p w14:paraId="54B0AD8F" w14:textId="77777777" w:rsidR="00D3651D" w:rsidRDefault="00D3651D" w:rsidP="005B7F6E">
      <w:pPr>
        <w:pStyle w:val="BodyText"/>
        <w:spacing w:line="360" w:lineRule="auto"/>
        <w:ind w:left="0"/>
        <w:rPr>
          <w:rFonts w:eastAsiaTheme="minorEastAsia"/>
          <w:b/>
          <w:sz w:val="32"/>
          <w:szCs w:val="12"/>
          <w:lang w:eastAsia="ko-KR"/>
        </w:rPr>
      </w:pPr>
    </w:p>
    <w:p w14:paraId="18FF36AC" w14:textId="77777777" w:rsidR="00D3651D" w:rsidRPr="00936392" w:rsidRDefault="00D3651D" w:rsidP="005B7F6E">
      <w:pPr>
        <w:pStyle w:val="BodyText"/>
        <w:spacing w:line="360" w:lineRule="auto"/>
        <w:ind w:left="0"/>
        <w:rPr>
          <w:rFonts w:eastAsiaTheme="minorEastAsia"/>
          <w:b/>
          <w:sz w:val="22"/>
          <w:szCs w:val="22"/>
          <w:lang w:eastAsia="ko-KR"/>
        </w:rPr>
      </w:pPr>
      <w:r w:rsidRPr="00936392">
        <w:rPr>
          <w:rFonts w:eastAsiaTheme="minorEastAsia" w:hint="eastAsia"/>
          <w:b/>
          <w:sz w:val="22"/>
          <w:szCs w:val="22"/>
          <w:lang w:eastAsia="ko-KR"/>
        </w:rPr>
        <w:t>Affiliations</w:t>
      </w:r>
    </w:p>
    <w:p w14:paraId="0261358E" w14:textId="04A8530F" w:rsidR="00D3651D" w:rsidRDefault="00D3651D" w:rsidP="00640A37">
      <w:pPr>
        <w:pStyle w:val="BodyText"/>
        <w:numPr>
          <w:ilvl w:val="0"/>
          <w:numId w:val="5"/>
        </w:numPr>
        <w:spacing w:line="360" w:lineRule="auto"/>
        <w:rPr>
          <w:rFonts w:eastAsiaTheme="minorEastAsia"/>
          <w:sz w:val="22"/>
          <w:szCs w:val="22"/>
          <w:lang w:eastAsia="ko-KR"/>
        </w:rPr>
      </w:pPr>
      <w:r w:rsidRPr="00936392">
        <w:rPr>
          <w:sz w:val="22"/>
          <w:szCs w:val="22"/>
        </w:rPr>
        <w:t>Department of Statistics, University of Connecticut</w:t>
      </w:r>
    </w:p>
    <w:p w14:paraId="28289397" w14:textId="40007146" w:rsidR="00640A37" w:rsidRPr="00640A37" w:rsidRDefault="00640A37" w:rsidP="00640A37">
      <w:pPr>
        <w:pStyle w:val="BodyText"/>
        <w:numPr>
          <w:ilvl w:val="0"/>
          <w:numId w:val="5"/>
        </w:numPr>
        <w:spacing w:line="360" w:lineRule="auto"/>
        <w:rPr>
          <w:rFonts w:eastAsiaTheme="minorEastAsia" w:hint="eastAsia"/>
          <w:sz w:val="22"/>
          <w:szCs w:val="22"/>
          <w:lang w:eastAsia="ko-KR"/>
        </w:rPr>
      </w:pPr>
      <w:r>
        <w:rPr>
          <w:rFonts w:eastAsiaTheme="minorEastAsia" w:hint="eastAsia"/>
          <w:sz w:val="22"/>
          <w:szCs w:val="22"/>
          <w:lang w:eastAsia="ko-KR"/>
        </w:rPr>
        <w:t>Department of Statistics, Seoul National University</w:t>
      </w:r>
    </w:p>
    <w:p w14:paraId="66502AC0" w14:textId="3301F324" w:rsidR="00D3651D" w:rsidRDefault="00D3651D" w:rsidP="00640A37">
      <w:pPr>
        <w:pStyle w:val="BodyText"/>
        <w:numPr>
          <w:ilvl w:val="0"/>
          <w:numId w:val="5"/>
        </w:numPr>
        <w:spacing w:before="13" w:line="360" w:lineRule="auto"/>
        <w:ind w:right="2724"/>
        <w:jc w:val="both"/>
        <w:rPr>
          <w:rFonts w:eastAsiaTheme="minorEastAsia"/>
          <w:sz w:val="22"/>
          <w:szCs w:val="22"/>
          <w:lang w:eastAsia="ko-KR"/>
        </w:rPr>
      </w:pPr>
      <w:r w:rsidRPr="00936392">
        <w:rPr>
          <w:sz w:val="22"/>
          <w:szCs w:val="22"/>
        </w:rPr>
        <w:t xml:space="preserve">Department of Public Health Sciences, </w:t>
      </w:r>
      <w:r w:rsidR="00EC226C">
        <w:rPr>
          <w:rFonts w:eastAsiaTheme="minorEastAsia" w:hint="eastAsia"/>
          <w:sz w:val="22"/>
          <w:szCs w:val="22"/>
          <w:lang w:eastAsia="ko-KR"/>
        </w:rPr>
        <w:t xml:space="preserve">School of Medicine, </w:t>
      </w:r>
      <w:r w:rsidRPr="00936392">
        <w:rPr>
          <w:sz w:val="22"/>
          <w:szCs w:val="22"/>
        </w:rPr>
        <w:t>UConn Health</w:t>
      </w:r>
    </w:p>
    <w:p w14:paraId="711B6722" w14:textId="619180E7" w:rsidR="00EC226C" w:rsidRDefault="00EC226C" w:rsidP="00640A37">
      <w:pPr>
        <w:pStyle w:val="BodyText"/>
        <w:numPr>
          <w:ilvl w:val="0"/>
          <w:numId w:val="5"/>
        </w:numPr>
        <w:spacing w:before="13" w:line="360" w:lineRule="auto"/>
        <w:ind w:right="2724"/>
        <w:jc w:val="both"/>
        <w:rPr>
          <w:rFonts w:eastAsiaTheme="minorEastAsia" w:hint="eastAsia"/>
          <w:sz w:val="22"/>
          <w:szCs w:val="22"/>
          <w:lang w:eastAsia="ko-KR"/>
        </w:rPr>
      </w:pPr>
      <w:r>
        <w:rPr>
          <w:rFonts w:eastAsiaTheme="minorEastAsia" w:hint="eastAsia"/>
          <w:sz w:val="22"/>
          <w:szCs w:val="22"/>
          <w:lang w:eastAsia="ko-KR"/>
        </w:rPr>
        <w:t xml:space="preserve">Department of Preventive Medicine, </w:t>
      </w:r>
      <w:r w:rsidR="00640A37">
        <w:rPr>
          <w:rFonts w:eastAsiaTheme="minorEastAsia" w:hint="eastAsia"/>
          <w:sz w:val="22"/>
          <w:szCs w:val="22"/>
          <w:lang w:eastAsia="ko-KR"/>
        </w:rPr>
        <w:t>School of Medicine, Korea University</w:t>
      </w:r>
    </w:p>
    <w:p w14:paraId="5B4F4EC5" w14:textId="6D2E4BA0" w:rsidR="00EC226C" w:rsidRPr="00EC226C" w:rsidRDefault="00640A37" w:rsidP="00640A37">
      <w:pPr>
        <w:pStyle w:val="BodyText"/>
        <w:numPr>
          <w:ilvl w:val="0"/>
          <w:numId w:val="5"/>
        </w:numPr>
        <w:spacing w:before="13" w:line="360" w:lineRule="auto"/>
        <w:ind w:right="2724"/>
        <w:jc w:val="both"/>
        <w:rPr>
          <w:rFonts w:eastAsiaTheme="minorEastAsia"/>
          <w:sz w:val="22"/>
          <w:szCs w:val="22"/>
          <w:lang w:eastAsia="ko-KR"/>
        </w:rPr>
      </w:pPr>
      <w:r>
        <w:rPr>
          <w:rFonts w:eastAsiaTheme="minorEastAsia" w:hint="eastAsia"/>
          <w:sz w:val="22"/>
          <w:szCs w:val="22"/>
          <w:lang w:eastAsia="ko-KR"/>
        </w:rPr>
        <w:t xml:space="preserve">Department of XX, </w:t>
      </w:r>
      <w:r w:rsidR="00EC226C">
        <w:rPr>
          <w:rFonts w:eastAsiaTheme="minorEastAsia" w:hint="eastAsia"/>
          <w:sz w:val="22"/>
          <w:szCs w:val="22"/>
          <w:lang w:eastAsia="ko-KR"/>
        </w:rPr>
        <w:t xml:space="preserve">School of Medicine, </w:t>
      </w:r>
      <w:proofErr w:type="spellStart"/>
      <w:r w:rsidR="00EC226C">
        <w:rPr>
          <w:rFonts w:eastAsiaTheme="minorEastAsia" w:hint="eastAsia"/>
          <w:sz w:val="22"/>
          <w:szCs w:val="22"/>
          <w:lang w:eastAsia="ko-KR"/>
        </w:rPr>
        <w:t>Hanlim</w:t>
      </w:r>
      <w:proofErr w:type="spellEnd"/>
      <w:r w:rsidR="00EC226C">
        <w:rPr>
          <w:rFonts w:eastAsiaTheme="minorEastAsia" w:hint="eastAsia"/>
          <w:sz w:val="22"/>
          <w:szCs w:val="22"/>
          <w:lang w:eastAsia="ko-KR"/>
        </w:rPr>
        <w:t xml:space="preserve"> University</w:t>
      </w:r>
    </w:p>
    <w:p w14:paraId="2C85015D" w14:textId="77777777" w:rsidR="00D3651D" w:rsidRPr="00936392" w:rsidRDefault="00D3651D" w:rsidP="005B7F6E">
      <w:pPr>
        <w:pStyle w:val="BodyText"/>
        <w:spacing w:before="13" w:line="360" w:lineRule="auto"/>
        <w:ind w:left="0" w:right="2724"/>
        <w:jc w:val="both"/>
        <w:rPr>
          <w:rFonts w:eastAsiaTheme="minorEastAsia"/>
          <w:lang w:eastAsia="ko-KR"/>
        </w:rPr>
      </w:pPr>
    </w:p>
    <w:p w14:paraId="4F71015F" w14:textId="4C6E099D" w:rsidR="00D3651D" w:rsidRPr="0072734B" w:rsidRDefault="009206CF" w:rsidP="005B7F6E">
      <w:pPr>
        <w:pStyle w:val="BodyText"/>
        <w:spacing w:line="360" w:lineRule="auto"/>
        <w:ind w:left="0"/>
        <w:rPr>
          <w:rFonts w:eastAsiaTheme="minorEastAsia"/>
          <w:b/>
          <w:sz w:val="22"/>
          <w:szCs w:val="6"/>
          <w:lang w:eastAsia="ko-KR"/>
        </w:rPr>
      </w:pPr>
      <w:r>
        <w:rPr>
          <w:rFonts w:eastAsiaTheme="minorEastAsia" w:hint="eastAsia"/>
          <w:b/>
          <w:sz w:val="22"/>
          <w:szCs w:val="6"/>
          <w:lang w:eastAsia="ko-KR"/>
        </w:rPr>
        <w:t>Corresponding authors</w:t>
      </w:r>
      <w:r w:rsidR="00D3651D" w:rsidRPr="0072734B">
        <w:rPr>
          <w:rFonts w:eastAsiaTheme="minorEastAsia" w:hint="eastAsia"/>
          <w:b/>
          <w:sz w:val="22"/>
          <w:szCs w:val="6"/>
          <w:lang w:eastAsia="ko-KR"/>
        </w:rPr>
        <w:t>:</w:t>
      </w:r>
    </w:p>
    <w:p w14:paraId="4052DE58" w14:textId="254E91F0" w:rsidR="0072734B" w:rsidRDefault="00000000" w:rsidP="005B7F6E">
      <w:pPr>
        <w:pStyle w:val="BodyText"/>
        <w:spacing w:before="13" w:line="360" w:lineRule="auto"/>
        <w:ind w:left="0" w:right="2724"/>
        <w:rPr>
          <w:rFonts w:eastAsiaTheme="minorEastAsia"/>
          <w:sz w:val="22"/>
          <w:szCs w:val="22"/>
          <w:lang w:eastAsia="ko-KR"/>
        </w:rPr>
      </w:pPr>
      <w:hyperlink r:id="rId8" w:history="1">
        <w:r w:rsidR="009206CF" w:rsidRPr="005D1B90">
          <w:rPr>
            <w:rStyle w:val="Hyperlink"/>
            <w:rFonts w:eastAsiaTheme="minorEastAsia" w:hint="eastAsia"/>
            <w:sz w:val="22"/>
            <w:szCs w:val="22"/>
            <w:lang w:eastAsia="ko-KR"/>
          </w:rPr>
          <w:t>jo@uchc.edu</w:t>
        </w:r>
      </w:hyperlink>
    </w:p>
    <w:p w14:paraId="5510E424" w14:textId="258932AC" w:rsidR="009206CF" w:rsidRPr="0072734B" w:rsidRDefault="004D6B1E" w:rsidP="005B7F6E">
      <w:pPr>
        <w:pStyle w:val="BodyText"/>
        <w:spacing w:before="13" w:line="360" w:lineRule="auto"/>
        <w:ind w:left="0" w:right="2724"/>
        <w:rPr>
          <w:rFonts w:eastAsiaTheme="minorEastAsia"/>
          <w:sz w:val="22"/>
          <w:szCs w:val="22"/>
          <w:lang w:eastAsia="ko-KR"/>
        </w:rPr>
      </w:pPr>
      <w:r>
        <w:rPr>
          <w:rFonts w:eastAsiaTheme="minorEastAsia" w:hint="eastAsia"/>
          <w:sz w:val="22"/>
          <w:szCs w:val="22"/>
          <w:lang w:eastAsia="ko-KR"/>
        </w:rPr>
        <w:t xml:space="preserve">To add </w:t>
      </w:r>
      <w:proofErr w:type="spellStart"/>
      <w:r>
        <w:rPr>
          <w:rFonts w:eastAsiaTheme="minorEastAsia" w:hint="eastAsia"/>
          <w:sz w:val="22"/>
          <w:szCs w:val="22"/>
          <w:lang w:eastAsia="ko-KR"/>
        </w:rPr>
        <w:t>Donghyun</w:t>
      </w:r>
      <w:proofErr w:type="spellEnd"/>
      <w:r>
        <w:rPr>
          <w:rFonts w:eastAsiaTheme="minorEastAsia" w:hint="eastAsia"/>
          <w:sz w:val="22"/>
          <w:szCs w:val="22"/>
          <w:lang w:eastAsia="ko-KR"/>
        </w:rPr>
        <w:t xml:space="preserve"> Kim email</w:t>
      </w:r>
    </w:p>
    <w:p w14:paraId="31EEC869" w14:textId="77777777" w:rsidR="00D3651D" w:rsidRDefault="00D3651D" w:rsidP="005B7F6E">
      <w:pPr>
        <w:pStyle w:val="BodyText"/>
        <w:spacing w:line="360" w:lineRule="auto"/>
        <w:ind w:left="0"/>
        <w:jc w:val="both"/>
        <w:rPr>
          <w:rFonts w:eastAsiaTheme="minorEastAsia"/>
          <w:b/>
          <w:bCs/>
          <w:color w:val="000000"/>
          <w:sz w:val="22"/>
          <w:szCs w:val="22"/>
          <w:lang w:eastAsia="ko-KR"/>
        </w:rPr>
      </w:pPr>
    </w:p>
    <w:p w14:paraId="4D649CE5" w14:textId="55A510C4" w:rsidR="009206CF" w:rsidRDefault="009206CF" w:rsidP="005B7F6E">
      <w:pPr>
        <w:pStyle w:val="BodyText"/>
        <w:spacing w:line="360" w:lineRule="auto"/>
        <w:ind w:left="0"/>
        <w:jc w:val="both"/>
        <w:rPr>
          <w:rFonts w:eastAsiaTheme="minorEastAsia"/>
          <w:b/>
          <w:bCs/>
          <w:color w:val="000000"/>
          <w:sz w:val="22"/>
          <w:szCs w:val="22"/>
          <w:lang w:eastAsia="ko-KR"/>
        </w:rPr>
      </w:pPr>
    </w:p>
    <w:p w14:paraId="1A1D4C2C" w14:textId="77777777" w:rsidR="0072734B" w:rsidRDefault="0072734B" w:rsidP="005B7F6E">
      <w:pPr>
        <w:pStyle w:val="BodyText"/>
        <w:spacing w:line="360" w:lineRule="auto"/>
        <w:ind w:left="0"/>
        <w:jc w:val="both"/>
        <w:rPr>
          <w:rFonts w:eastAsiaTheme="minorEastAsia"/>
          <w:b/>
          <w:bCs/>
          <w:color w:val="000000"/>
          <w:sz w:val="22"/>
          <w:szCs w:val="22"/>
          <w:lang w:eastAsia="ko-KR"/>
        </w:rPr>
      </w:pPr>
    </w:p>
    <w:p w14:paraId="201C0610" w14:textId="397C3A0B" w:rsidR="00D3651D" w:rsidRPr="008126BD" w:rsidRDefault="00D3651D" w:rsidP="005B7F6E">
      <w:pPr>
        <w:pStyle w:val="BodyText"/>
        <w:spacing w:line="360" w:lineRule="auto"/>
        <w:ind w:left="0"/>
        <w:jc w:val="both"/>
        <w:rPr>
          <w:rFonts w:eastAsiaTheme="minorEastAsia"/>
          <w:b/>
          <w:bCs/>
          <w:color w:val="000000"/>
          <w:sz w:val="22"/>
          <w:szCs w:val="22"/>
          <w:lang w:eastAsia="ko-KR"/>
        </w:rPr>
      </w:pPr>
      <w:r w:rsidRPr="008126BD">
        <w:rPr>
          <w:rFonts w:eastAsiaTheme="minorEastAsia" w:hint="eastAsia"/>
          <w:b/>
          <w:bCs/>
          <w:color w:val="000000"/>
          <w:sz w:val="22"/>
          <w:szCs w:val="22"/>
          <w:lang w:eastAsia="ko-KR"/>
        </w:rPr>
        <w:t>Abstract</w:t>
      </w:r>
      <w:r w:rsidR="00DD6957">
        <w:rPr>
          <w:rFonts w:eastAsiaTheme="minorEastAsia" w:hint="eastAsia"/>
          <w:b/>
          <w:bCs/>
          <w:color w:val="000000"/>
          <w:sz w:val="22"/>
          <w:szCs w:val="22"/>
          <w:lang w:eastAsia="ko-KR"/>
        </w:rPr>
        <w:t xml:space="preserve"> (3</w:t>
      </w:r>
      <w:r w:rsidR="00C76248">
        <w:rPr>
          <w:rFonts w:eastAsiaTheme="minorEastAsia" w:hint="eastAsia"/>
          <w:b/>
          <w:bCs/>
          <w:color w:val="000000"/>
          <w:sz w:val="22"/>
          <w:szCs w:val="22"/>
          <w:lang w:eastAsia="ko-KR"/>
        </w:rPr>
        <w:t>0</w:t>
      </w:r>
      <w:r w:rsidR="002533E9">
        <w:rPr>
          <w:rFonts w:eastAsiaTheme="minorEastAsia" w:hint="eastAsia"/>
          <w:b/>
          <w:bCs/>
          <w:color w:val="000000"/>
          <w:sz w:val="22"/>
          <w:szCs w:val="22"/>
          <w:lang w:eastAsia="ko-KR"/>
        </w:rPr>
        <w:t>4</w:t>
      </w:r>
      <w:r w:rsidR="00DD6957">
        <w:rPr>
          <w:rFonts w:eastAsiaTheme="minorEastAsia" w:hint="eastAsia"/>
          <w:b/>
          <w:bCs/>
          <w:color w:val="000000"/>
          <w:sz w:val="22"/>
          <w:szCs w:val="22"/>
          <w:lang w:eastAsia="ko-KR"/>
        </w:rPr>
        <w:t xml:space="preserve"> words)</w:t>
      </w:r>
    </w:p>
    <w:p w14:paraId="6E2160E9" w14:textId="77777777" w:rsidR="00D3651D" w:rsidRPr="008126BD" w:rsidRDefault="00D3651D" w:rsidP="005B7F6E">
      <w:pPr>
        <w:pStyle w:val="BodyText"/>
        <w:spacing w:line="360" w:lineRule="auto"/>
        <w:ind w:left="0"/>
        <w:jc w:val="both"/>
        <w:rPr>
          <w:rFonts w:eastAsiaTheme="minorEastAsia"/>
          <w:color w:val="000000"/>
          <w:sz w:val="22"/>
          <w:szCs w:val="22"/>
          <w:lang w:eastAsia="ko-KR"/>
        </w:rPr>
      </w:pPr>
    </w:p>
    <w:p w14:paraId="118FC754" w14:textId="313A2A69" w:rsidR="00D3651D" w:rsidRPr="008126BD" w:rsidRDefault="00D3651D" w:rsidP="005B7F6E">
      <w:pPr>
        <w:pStyle w:val="BodyText"/>
        <w:spacing w:line="360" w:lineRule="auto"/>
        <w:ind w:left="0"/>
        <w:contextualSpacing/>
        <w:jc w:val="both"/>
        <w:rPr>
          <w:rFonts w:eastAsiaTheme="minorEastAsia"/>
          <w:sz w:val="22"/>
          <w:szCs w:val="22"/>
          <w:lang w:eastAsia="ko-KR"/>
        </w:rPr>
      </w:pPr>
      <w:r w:rsidRPr="008126BD">
        <w:rPr>
          <w:rFonts w:eastAsiaTheme="minorEastAsia" w:hint="eastAsia"/>
          <w:b/>
          <w:bCs/>
          <w:color w:val="000000"/>
          <w:sz w:val="22"/>
          <w:szCs w:val="22"/>
          <w:lang w:eastAsia="ko-KR"/>
        </w:rPr>
        <w:t>Background.</w:t>
      </w:r>
      <w:r w:rsidRPr="008126BD">
        <w:rPr>
          <w:rFonts w:eastAsiaTheme="minorEastAsia" w:hint="eastAsia"/>
          <w:color w:val="000000"/>
          <w:sz w:val="22"/>
          <w:szCs w:val="22"/>
          <w:lang w:eastAsia="ko-KR"/>
        </w:rPr>
        <w:t xml:space="preserve"> </w:t>
      </w:r>
      <w:r w:rsidR="005C5BA9" w:rsidRPr="005C5BA9">
        <w:rPr>
          <w:rFonts w:eastAsiaTheme="minorEastAsia"/>
          <w:color w:val="000000"/>
          <w:sz w:val="22"/>
          <w:szCs w:val="22"/>
          <w:lang w:eastAsia="ko-KR"/>
        </w:rPr>
        <w:t>Immunogenicity research indicates that the effectiveness of vaccines might decline over tim</w:t>
      </w:r>
      <w:r w:rsidR="005C5BA9">
        <w:rPr>
          <w:rFonts w:eastAsiaTheme="minorEastAsia" w:hint="eastAsia"/>
          <w:color w:val="000000"/>
          <w:sz w:val="22"/>
          <w:szCs w:val="22"/>
          <w:lang w:eastAsia="ko-KR"/>
        </w:rPr>
        <w:t>e</w:t>
      </w:r>
      <w:r w:rsidR="005C5BA9" w:rsidRPr="00A42CCC">
        <w:rPr>
          <w:rFonts w:eastAsiaTheme="minorEastAsia"/>
          <w:color w:val="000000"/>
          <w:sz w:val="22"/>
          <w:szCs w:val="22"/>
        </w:rPr>
        <w:t xml:space="preserve">, </w:t>
      </w:r>
      <w:r w:rsidR="005C5BA9">
        <w:rPr>
          <w:rFonts w:eastAsiaTheme="minorEastAsia" w:hint="eastAsia"/>
          <w:color w:val="000000"/>
          <w:sz w:val="22"/>
          <w:szCs w:val="22"/>
          <w:lang w:eastAsia="ko-KR"/>
        </w:rPr>
        <w:t>although</w:t>
      </w:r>
      <w:r w:rsidR="005C5BA9" w:rsidRPr="00A42CCC">
        <w:rPr>
          <w:rFonts w:eastAsiaTheme="minorEastAsia"/>
          <w:sz w:val="22"/>
          <w:szCs w:val="22"/>
          <w:lang w:eastAsia="ko-KR"/>
        </w:rPr>
        <w:t xml:space="preserve"> </w:t>
      </w:r>
      <w:r w:rsidR="005C5BA9" w:rsidRPr="005C5BA9">
        <w:rPr>
          <w:rFonts w:eastAsiaTheme="minorEastAsia"/>
          <w:sz w:val="22"/>
          <w:szCs w:val="22"/>
          <w:lang w:eastAsia="ko-KR"/>
        </w:rPr>
        <w:t xml:space="preserve">it is not clear how this reduction translates to </w:t>
      </w:r>
      <w:r w:rsidR="005C5BA9">
        <w:rPr>
          <w:rFonts w:eastAsiaTheme="minorEastAsia" w:hint="eastAsia"/>
          <w:sz w:val="22"/>
          <w:szCs w:val="22"/>
          <w:lang w:eastAsia="ko-KR"/>
        </w:rPr>
        <w:t xml:space="preserve">protective </w:t>
      </w:r>
      <w:r w:rsidR="005C5BA9" w:rsidRPr="005C5BA9">
        <w:rPr>
          <w:rFonts w:eastAsiaTheme="minorEastAsia"/>
          <w:sz w:val="22"/>
          <w:szCs w:val="22"/>
          <w:lang w:eastAsia="ko-KR"/>
        </w:rPr>
        <w:t>effectiveness</w:t>
      </w:r>
      <w:r w:rsidR="005C5BA9">
        <w:rPr>
          <w:rFonts w:eastAsiaTheme="minorEastAsia" w:hint="eastAsia"/>
          <w:sz w:val="22"/>
          <w:szCs w:val="22"/>
          <w:lang w:eastAsia="ko-KR"/>
        </w:rPr>
        <w:t xml:space="preserve"> against breakthrough infections. </w:t>
      </w:r>
      <w:r w:rsidR="002533E9">
        <w:rPr>
          <w:rFonts w:eastAsiaTheme="minorEastAsia" w:hint="eastAsia"/>
          <w:color w:val="000000"/>
          <w:sz w:val="22"/>
          <w:szCs w:val="22"/>
          <w:lang w:eastAsia="ko-KR"/>
        </w:rPr>
        <w:t xml:space="preserve">We </w:t>
      </w:r>
      <w:r w:rsidRPr="008126BD">
        <w:rPr>
          <w:rFonts w:eastAsiaTheme="minorEastAsia"/>
          <w:color w:val="000000"/>
          <w:sz w:val="22"/>
          <w:szCs w:val="22"/>
          <w:lang w:eastAsia="ko-KR"/>
        </w:rPr>
        <w:t xml:space="preserve">examined the </w:t>
      </w:r>
      <w:r w:rsidR="00C64F32">
        <w:rPr>
          <w:rFonts w:eastAsiaTheme="minorEastAsia" w:hint="eastAsia"/>
          <w:color w:val="000000"/>
          <w:sz w:val="22"/>
          <w:szCs w:val="22"/>
          <w:lang w:eastAsia="ko-KR"/>
        </w:rPr>
        <w:t xml:space="preserve">antibody decay trend and associated </w:t>
      </w:r>
      <w:r w:rsidRPr="008126BD">
        <w:rPr>
          <w:rFonts w:eastAsiaTheme="minorEastAsia"/>
          <w:color w:val="000000"/>
          <w:sz w:val="22"/>
          <w:szCs w:val="22"/>
          <w:lang w:eastAsia="ko-KR"/>
        </w:rPr>
        <w:t>infection</w:t>
      </w:r>
      <w:r w:rsidR="002533E9">
        <w:rPr>
          <w:rFonts w:eastAsiaTheme="minorEastAsia" w:hint="eastAsia"/>
          <w:color w:val="000000"/>
          <w:sz w:val="22"/>
          <w:szCs w:val="22"/>
          <w:lang w:eastAsia="ko-KR"/>
        </w:rPr>
        <w:t xml:space="preserve"> risks</w:t>
      </w:r>
      <w:r w:rsidRPr="008126BD">
        <w:rPr>
          <w:rFonts w:eastAsiaTheme="minorEastAsia"/>
          <w:color w:val="000000"/>
          <w:sz w:val="22"/>
          <w:szCs w:val="22"/>
          <w:lang w:eastAsia="ko-KR"/>
        </w:rPr>
        <w:t xml:space="preserve"> across age groups between hybrid and vaccine-induced</w:t>
      </w:r>
      <w:r w:rsidR="003234E7">
        <w:rPr>
          <w:rFonts w:eastAsiaTheme="minorEastAsia" w:hint="eastAsia"/>
          <w:color w:val="000000"/>
          <w:sz w:val="22"/>
          <w:szCs w:val="22"/>
          <w:lang w:eastAsia="ko-KR"/>
        </w:rPr>
        <w:t xml:space="preserve"> immu</w:t>
      </w:r>
      <w:r w:rsidR="002533E9">
        <w:rPr>
          <w:rFonts w:eastAsiaTheme="minorEastAsia" w:hint="eastAsia"/>
          <w:color w:val="000000"/>
          <w:sz w:val="22"/>
          <w:szCs w:val="22"/>
          <w:lang w:eastAsia="ko-KR"/>
        </w:rPr>
        <w:t>ne</w:t>
      </w:r>
      <w:r w:rsidRPr="008126BD">
        <w:rPr>
          <w:rFonts w:eastAsiaTheme="minorEastAsia"/>
          <w:color w:val="000000"/>
          <w:sz w:val="22"/>
          <w:szCs w:val="22"/>
          <w:lang w:eastAsia="ko-KR"/>
        </w:rPr>
        <w:t xml:space="preserve"> </w:t>
      </w:r>
      <w:r w:rsidR="002533E9">
        <w:rPr>
          <w:rFonts w:eastAsiaTheme="minorEastAsia"/>
          <w:color w:val="000000"/>
          <w:sz w:val="22"/>
          <w:szCs w:val="22"/>
          <w:lang w:eastAsia="ko-KR"/>
        </w:rPr>
        <w:t>populations</w:t>
      </w:r>
      <w:r w:rsidRPr="008126BD">
        <w:rPr>
          <w:rFonts w:eastAsiaTheme="minorEastAsia" w:hint="eastAsia"/>
          <w:color w:val="000000"/>
          <w:sz w:val="22"/>
          <w:szCs w:val="22"/>
          <w:lang w:eastAsia="ko-KR"/>
        </w:rPr>
        <w:t xml:space="preserve"> </w:t>
      </w:r>
      <w:r w:rsidRPr="008126BD">
        <w:rPr>
          <w:rFonts w:eastAsiaTheme="minorEastAsia"/>
          <w:sz w:val="22"/>
          <w:szCs w:val="22"/>
          <w:lang w:eastAsia="ko-KR"/>
        </w:rPr>
        <w:t>based on community-based nationwide surveillance</w:t>
      </w:r>
      <w:r w:rsidR="005C5BA9" w:rsidRPr="005C5BA9">
        <w:rPr>
          <w:rFonts w:eastAsiaTheme="minorEastAsia" w:hint="eastAsia"/>
          <w:color w:val="000000"/>
          <w:sz w:val="22"/>
          <w:szCs w:val="22"/>
          <w:lang w:eastAsia="ko-KR"/>
        </w:rPr>
        <w:t xml:space="preserve"> </w:t>
      </w:r>
      <w:r w:rsidR="005C5BA9">
        <w:rPr>
          <w:rFonts w:eastAsiaTheme="minorEastAsia" w:hint="eastAsia"/>
          <w:color w:val="000000"/>
          <w:sz w:val="22"/>
          <w:szCs w:val="22"/>
          <w:lang w:eastAsia="ko-KR"/>
        </w:rPr>
        <w:t>after the Omicron wave in South Korea</w:t>
      </w:r>
      <w:r w:rsidRPr="008126BD">
        <w:rPr>
          <w:rFonts w:eastAsiaTheme="minorEastAsia"/>
          <w:color w:val="000000"/>
          <w:sz w:val="22"/>
          <w:szCs w:val="22"/>
          <w:lang w:eastAsia="ko-KR"/>
        </w:rPr>
        <w:t xml:space="preserve">. </w:t>
      </w:r>
    </w:p>
    <w:p w14:paraId="53DE9E95" w14:textId="77777777" w:rsidR="00D3651D" w:rsidRPr="008126BD" w:rsidRDefault="00D3651D" w:rsidP="005B7F6E">
      <w:pPr>
        <w:widowControl/>
        <w:tabs>
          <w:tab w:val="num" w:pos="720"/>
        </w:tabs>
        <w:adjustRightInd w:val="0"/>
        <w:spacing w:line="360" w:lineRule="auto"/>
        <w:contextualSpacing/>
        <w:jc w:val="both"/>
        <w:rPr>
          <w:rFonts w:eastAsiaTheme="minorEastAsia"/>
          <w:lang w:eastAsia="ko-KR"/>
        </w:rPr>
      </w:pPr>
    </w:p>
    <w:p w14:paraId="2516F3F5" w14:textId="5457F162" w:rsidR="00A26F7E" w:rsidRDefault="00D3651D" w:rsidP="005B7F6E">
      <w:pPr>
        <w:widowControl/>
        <w:tabs>
          <w:tab w:val="num" w:pos="720"/>
        </w:tabs>
        <w:adjustRightInd w:val="0"/>
        <w:spacing w:line="360" w:lineRule="auto"/>
        <w:contextualSpacing/>
        <w:jc w:val="both"/>
        <w:rPr>
          <w:rFonts w:eastAsiaTheme="minorEastAsia"/>
          <w:lang w:eastAsia="ko-KR"/>
        </w:rPr>
      </w:pPr>
      <w:r w:rsidRPr="008126BD">
        <w:rPr>
          <w:rFonts w:eastAsiaTheme="minorEastAsia" w:hint="eastAsia"/>
          <w:b/>
          <w:bCs/>
          <w:lang w:eastAsia="ko-KR"/>
        </w:rPr>
        <w:t>Methods:</w:t>
      </w:r>
      <w:r w:rsidRPr="008126BD">
        <w:rPr>
          <w:rFonts w:eastAsiaTheme="minorEastAsia" w:hint="eastAsia"/>
          <w:lang w:eastAsia="ko-KR"/>
        </w:rPr>
        <w:t xml:space="preserve"> </w:t>
      </w:r>
      <w:r w:rsidRPr="008126BD">
        <w:rPr>
          <w:rFonts w:eastAsiaTheme="minorEastAsia"/>
          <w:lang w:eastAsia="ko-KR"/>
        </w:rPr>
        <w:t xml:space="preserve">We </w:t>
      </w:r>
      <w:r w:rsidR="00EC226C">
        <w:rPr>
          <w:rFonts w:eastAsiaTheme="minorEastAsia" w:hint="eastAsia"/>
          <w:lang w:eastAsia="ko-KR"/>
        </w:rPr>
        <w:t>c</w:t>
      </w:r>
      <w:r w:rsidR="000E1AF9">
        <w:rPr>
          <w:rFonts w:eastAsiaTheme="minorEastAsia" w:hint="eastAsia"/>
          <w:lang w:eastAsia="ko-KR"/>
        </w:rPr>
        <w:t xml:space="preserve">onstructed </w:t>
      </w:r>
      <w:r w:rsidR="000E1AF9">
        <w:rPr>
          <w:rFonts w:eastAsiaTheme="minorEastAsia"/>
          <w:lang w:eastAsia="ko-KR"/>
        </w:rPr>
        <w:t xml:space="preserve">a </w:t>
      </w:r>
      <w:r w:rsidR="000E1AF9">
        <w:rPr>
          <w:rFonts w:eastAsiaTheme="minorEastAsia" w:hint="eastAsia"/>
          <w:lang w:eastAsia="ko-KR"/>
        </w:rPr>
        <w:t xml:space="preserve">cohort of </w:t>
      </w:r>
      <w:r w:rsidRPr="008126BD">
        <w:rPr>
          <w:rFonts w:eastAsiaTheme="minorEastAsia"/>
          <w:lang w:eastAsia="ko-KR"/>
        </w:rPr>
        <w:t>the hybrid and vaccine group</w:t>
      </w:r>
      <w:r w:rsidR="00EC226C">
        <w:rPr>
          <w:rFonts w:eastAsiaTheme="minorEastAsia" w:hint="eastAsia"/>
          <w:lang w:eastAsia="ko-KR"/>
        </w:rPr>
        <w:t>s</w:t>
      </w:r>
      <w:r w:rsidRPr="008126BD">
        <w:rPr>
          <w:rFonts w:eastAsiaTheme="minorEastAsia"/>
          <w:lang w:eastAsia="ko-KR"/>
        </w:rPr>
        <w:t xml:space="preserve"> based on serology (S and N status)</w:t>
      </w:r>
      <w:r w:rsidR="00EC226C">
        <w:rPr>
          <w:rFonts w:eastAsiaTheme="minorEastAsia" w:hint="eastAsia"/>
          <w:lang w:eastAsia="ko-KR"/>
        </w:rPr>
        <w:t xml:space="preserve"> information</w:t>
      </w:r>
      <w:r w:rsidR="0010784D">
        <w:rPr>
          <w:rFonts w:eastAsiaTheme="minorEastAsia" w:hint="eastAsia"/>
          <w:lang w:eastAsia="ko-KR"/>
        </w:rPr>
        <w:t xml:space="preserve">. </w:t>
      </w:r>
      <w:r w:rsidR="0034613C">
        <w:rPr>
          <w:rFonts w:eastAsiaTheme="minorEastAsia" w:hint="eastAsia"/>
          <w:lang w:eastAsia="ko-KR"/>
        </w:rPr>
        <w:t xml:space="preserve">We then </w:t>
      </w:r>
      <w:r w:rsidR="0034613C" w:rsidRPr="002F0C3B">
        <w:rPr>
          <w:rFonts w:eastAsiaTheme="minorEastAsia"/>
          <w:lang w:eastAsia="ko-KR"/>
        </w:rPr>
        <w:t>performed Kaplan-Meier survival analyses</w:t>
      </w:r>
      <w:r w:rsidR="0034613C">
        <w:rPr>
          <w:rFonts w:eastAsiaTheme="minorEastAsia" w:hint="eastAsia"/>
          <w:lang w:eastAsia="ko-KR"/>
        </w:rPr>
        <w:t xml:space="preserve"> </w:t>
      </w:r>
      <w:r w:rsidR="00DD4FA9">
        <w:rPr>
          <w:rFonts w:eastAsiaTheme="minorEastAsia"/>
          <w:lang w:eastAsia="ko-KR"/>
        </w:rPr>
        <w:t xml:space="preserve">and </w:t>
      </w:r>
      <w:r w:rsidR="00DD4FA9" w:rsidRPr="002F0C3B">
        <w:rPr>
          <w:rFonts w:eastAsiaTheme="minorEastAsia"/>
          <w:lang w:eastAsia="ko-KR"/>
        </w:rPr>
        <w:t>Cox</w:t>
      </w:r>
      <w:r w:rsidR="0034613C" w:rsidRPr="002F0C3B">
        <w:rPr>
          <w:rFonts w:eastAsiaTheme="minorEastAsia"/>
          <w:lang w:eastAsia="ko-KR"/>
        </w:rPr>
        <w:t xml:space="preserve"> proportional hazards regression to compare the protective efficacy of the two groups, focusing on the probability of remaining free from infection after the initial surveillance period.</w:t>
      </w:r>
      <w:r w:rsidR="0034613C" w:rsidRPr="0034613C">
        <w:rPr>
          <w:rFonts w:eastAsiaTheme="minorEastAsia"/>
          <w:lang w:eastAsia="ko-KR"/>
        </w:rPr>
        <w:t xml:space="preserve"> </w:t>
      </w:r>
      <w:r w:rsidR="0034613C">
        <w:rPr>
          <w:rFonts w:eastAsiaTheme="minorEastAsia" w:hint="eastAsia"/>
          <w:lang w:eastAsia="ko-KR"/>
        </w:rPr>
        <w:t>We used</w:t>
      </w:r>
      <w:r w:rsidR="00A26F7E" w:rsidRPr="002F0C3B">
        <w:rPr>
          <w:rFonts w:eastAsiaTheme="minorEastAsia"/>
          <w:lang w:eastAsia="ko-KR"/>
        </w:rPr>
        <w:t xml:space="preserve"> mixed-effects logistic regression models to </w:t>
      </w:r>
      <w:r w:rsidR="0034613C">
        <w:rPr>
          <w:rFonts w:eastAsiaTheme="minorEastAsia" w:hint="eastAsia"/>
          <w:lang w:eastAsia="ko-KR"/>
        </w:rPr>
        <w:t>quantify</w:t>
      </w:r>
      <w:r w:rsidR="00A26F7E" w:rsidRPr="002F0C3B">
        <w:rPr>
          <w:rFonts w:eastAsiaTheme="minorEastAsia"/>
          <w:lang w:eastAsia="ko-KR"/>
        </w:rPr>
        <w:t xml:space="preserve"> the protective efficacy, defined as the probability of remaining infection-free, associated with antibody levels across age subgroups</w:t>
      </w:r>
      <w:r w:rsidR="0034613C">
        <w:rPr>
          <w:rFonts w:eastAsiaTheme="minorEastAsia" w:hint="eastAsia"/>
          <w:lang w:eastAsia="ko-KR"/>
        </w:rPr>
        <w:t xml:space="preserve"> by the immunity groups. </w:t>
      </w:r>
    </w:p>
    <w:p w14:paraId="0CC5CC2D" w14:textId="77777777" w:rsidR="00A26F7E" w:rsidRDefault="00A26F7E" w:rsidP="005B7F6E">
      <w:pPr>
        <w:widowControl/>
        <w:tabs>
          <w:tab w:val="num" w:pos="720"/>
        </w:tabs>
        <w:adjustRightInd w:val="0"/>
        <w:spacing w:line="360" w:lineRule="auto"/>
        <w:contextualSpacing/>
        <w:jc w:val="both"/>
        <w:rPr>
          <w:rFonts w:eastAsiaTheme="minorEastAsia"/>
          <w:lang w:eastAsia="ko-KR"/>
        </w:rPr>
      </w:pPr>
    </w:p>
    <w:p w14:paraId="4434F3A8" w14:textId="407178CA" w:rsidR="007A5C98" w:rsidRDefault="00D3651D" w:rsidP="005B7F6E">
      <w:pPr>
        <w:widowControl/>
        <w:tabs>
          <w:tab w:val="num" w:pos="720"/>
        </w:tabs>
        <w:adjustRightInd w:val="0"/>
        <w:spacing w:line="360" w:lineRule="auto"/>
        <w:contextualSpacing/>
        <w:jc w:val="both"/>
        <w:rPr>
          <w:rFonts w:eastAsiaTheme="minorEastAsia"/>
          <w:lang w:eastAsia="ko-KR"/>
        </w:rPr>
      </w:pPr>
      <w:r w:rsidRPr="008126BD">
        <w:rPr>
          <w:rFonts w:eastAsiaTheme="minorEastAsia" w:hint="eastAsia"/>
          <w:b/>
          <w:bCs/>
          <w:lang w:eastAsia="ko-KR"/>
        </w:rPr>
        <w:t>Results:</w:t>
      </w:r>
      <w:r w:rsidRPr="008126BD">
        <w:rPr>
          <w:rFonts w:eastAsiaTheme="minorEastAsia" w:hint="eastAsia"/>
          <w:lang w:eastAsia="ko-KR"/>
        </w:rPr>
        <w:t xml:space="preserve"> </w:t>
      </w:r>
      <w:r w:rsidR="0010784D">
        <w:rPr>
          <w:rFonts w:eastAsiaTheme="minorEastAsia" w:hint="eastAsia"/>
          <w:lang w:eastAsia="ko-KR"/>
        </w:rPr>
        <w:t>The</w:t>
      </w:r>
      <w:r w:rsidR="007A5C98">
        <w:rPr>
          <w:rFonts w:eastAsiaTheme="minorEastAsia"/>
        </w:rPr>
        <w:t xml:space="preserve"> hybrid group maintained about 2 times higher antibody levels</w:t>
      </w:r>
      <w:r w:rsidR="00A34C54">
        <w:rPr>
          <w:rFonts w:eastAsiaTheme="minorEastAsia" w:hint="eastAsia"/>
          <w:lang w:eastAsia="ko-KR"/>
        </w:rPr>
        <w:t xml:space="preserve"> (~10,000)</w:t>
      </w:r>
      <w:r w:rsidR="006F1135">
        <w:rPr>
          <w:rFonts w:eastAsiaTheme="minorEastAsia" w:hint="eastAsia"/>
          <w:lang w:eastAsia="ko-KR"/>
        </w:rPr>
        <w:t xml:space="preserve"> </w:t>
      </w:r>
      <w:r w:rsidR="005F7B31">
        <w:rPr>
          <w:rFonts w:eastAsiaTheme="minorEastAsia" w:hint="eastAsia"/>
          <w:lang w:eastAsia="ko-KR"/>
        </w:rPr>
        <w:t>at 12 months</w:t>
      </w:r>
      <w:r w:rsidR="006F1135">
        <w:rPr>
          <w:rFonts w:eastAsiaTheme="minorEastAsia" w:hint="eastAsia"/>
          <w:lang w:eastAsia="ko-KR"/>
        </w:rPr>
        <w:t xml:space="preserve"> </w:t>
      </w:r>
      <w:r w:rsidR="0010784D">
        <w:rPr>
          <w:rFonts w:eastAsiaTheme="minorEastAsia"/>
        </w:rPr>
        <w:t xml:space="preserve">from the last immunological events </w:t>
      </w:r>
      <w:r w:rsidRPr="008126BD">
        <w:rPr>
          <w:rFonts w:eastAsiaTheme="minorEastAsia"/>
        </w:rPr>
        <w:t xml:space="preserve">compared to </w:t>
      </w:r>
      <w:r w:rsidR="006F1135">
        <w:rPr>
          <w:rFonts w:eastAsiaTheme="minorEastAsia"/>
        </w:rPr>
        <w:t xml:space="preserve">the </w:t>
      </w:r>
      <w:r w:rsidRPr="008126BD">
        <w:rPr>
          <w:rFonts w:eastAsiaTheme="minorEastAsia"/>
        </w:rPr>
        <w:t>vaccin</w:t>
      </w:r>
      <w:r w:rsidR="005F7B31">
        <w:rPr>
          <w:rFonts w:eastAsiaTheme="minorEastAsia" w:hint="eastAsia"/>
          <w:lang w:eastAsia="ko-KR"/>
        </w:rPr>
        <w:t>e group</w:t>
      </w:r>
      <w:r w:rsidRPr="008126BD">
        <w:rPr>
          <w:rFonts w:eastAsiaTheme="minorEastAsia"/>
        </w:rPr>
        <w:t xml:space="preserve">. </w:t>
      </w:r>
      <w:r w:rsidRPr="008126BD">
        <w:rPr>
          <w:rFonts w:eastAsiaTheme="minorEastAsia"/>
          <w:lang w:eastAsia="ko-KR"/>
        </w:rPr>
        <w:t xml:space="preserve"> </w:t>
      </w:r>
      <w:r w:rsidR="000F7E0B">
        <w:rPr>
          <w:rFonts w:eastAsiaTheme="minorEastAsia" w:hint="eastAsia"/>
          <w:lang w:eastAsia="ko-KR"/>
        </w:rPr>
        <w:t xml:space="preserve">Although the antibody decay trend was </w:t>
      </w:r>
      <w:r w:rsidR="004A03B0">
        <w:rPr>
          <w:rFonts w:eastAsiaTheme="minorEastAsia" w:hint="eastAsia"/>
          <w:lang w:eastAsia="ko-KR"/>
        </w:rPr>
        <w:t xml:space="preserve">similar across age groups, </w:t>
      </w:r>
      <w:r w:rsidR="00776B42">
        <w:rPr>
          <w:rFonts w:eastAsiaTheme="minorEastAsia" w:hint="eastAsia"/>
          <w:lang w:eastAsia="ko-KR"/>
        </w:rPr>
        <w:t xml:space="preserve">the </w:t>
      </w:r>
      <w:r w:rsidR="007C2579">
        <w:rPr>
          <w:rFonts w:eastAsiaTheme="minorEastAsia" w:hint="eastAsia"/>
          <w:lang w:eastAsia="ko-KR"/>
        </w:rPr>
        <w:t>protection effectiveness</w:t>
      </w:r>
      <w:r w:rsidR="000F7E0B">
        <w:rPr>
          <w:rFonts w:eastAsiaTheme="minorEastAsia" w:hint="eastAsia"/>
          <w:lang w:eastAsia="ko-KR"/>
        </w:rPr>
        <w:t xml:space="preserve"> </w:t>
      </w:r>
      <w:r w:rsidR="007C2579">
        <w:rPr>
          <w:rFonts w:eastAsiaTheme="minorEastAsia" w:hint="eastAsia"/>
          <w:lang w:eastAsia="ko-KR"/>
        </w:rPr>
        <w:t xml:space="preserve">against infection </w:t>
      </w:r>
      <w:r w:rsidR="000F7E0B">
        <w:rPr>
          <w:rFonts w:eastAsiaTheme="minorEastAsia" w:hint="eastAsia"/>
          <w:lang w:eastAsia="ko-KR"/>
        </w:rPr>
        <w:t xml:space="preserve">was more </w:t>
      </w:r>
      <w:r w:rsidR="000F7E0B">
        <w:rPr>
          <w:rFonts w:eastAsiaTheme="minorEastAsia"/>
          <w:lang w:eastAsia="ko-KR"/>
        </w:rPr>
        <w:t>quickly</w:t>
      </w:r>
      <w:r w:rsidR="000F7E0B">
        <w:rPr>
          <w:rFonts w:eastAsiaTheme="minorEastAsia" w:hint="eastAsia"/>
          <w:lang w:eastAsia="ko-KR"/>
        </w:rPr>
        <w:t xml:space="preserve"> </w:t>
      </w:r>
      <w:r w:rsidR="007C2579">
        <w:rPr>
          <w:rFonts w:eastAsiaTheme="minorEastAsia" w:hint="eastAsia"/>
          <w:lang w:eastAsia="ko-KR"/>
        </w:rPr>
        <w:t>de</w:t>
      </w:r>
      <w:r w:rsidR="00776B42">
        <w:rPr>
          <w:rFonts w:eastAsiaTheme="minorEastAsia" w:hint="eastAsia"/>
          <w:lang w:eastAsia="ko-KR"/>
        </w:rPr>
        <w:t>creased</w:t>
      </w:r>
      <w:r w:rsidR="000F7E0B">
        <w:rPr>
          <w:rFonts w:eastAsiaTheme="minorEastAsia" w:hint="eastAsia"/>
          <w:lang w:eastAsia="ko-KR"/>
        </w:rPr>
        <w:t xml:space="preserve"> for </w:t>
      </w:r>
      <w:r w:rsidR="000F7E0B" w:rsidRPr="008126BD">
        <w:rPr>
          <w:rFonts w:eastAsiaTheme="minorEastAsia"/>
        </w:rPr>
        <w:t xml:space="preserve">the&gt;60 age group but </w:t>
      </w:r>
      <w:r w:rsidR="000F7E0B">
        <w:rPr>
          <w:rFonts w:eastAsiaTheme="minorEastAsia" w:hint="eastAsia"/>
          <w:lang w:eastAsia="ko-KR"/>
        </w:rPr>
        <w:t xml:space="preserve">in a </w:t>
      </w:r>
      <w:r w:rsidR="000F7E0B" w:rsidRPr="008126BD">
        <w:rPr>
          <w:rFonts w:eastAsiaTheme="minorEastAsia"/>
        </w:rPr>
        <w:lastRenderedPageBreak/>
        <w:t xml:space="preserve">greater magnitude for the &lt;20 </w:t>
      </w:r>
      <w:r w:rsidR="000E1AF9">
        <w:rPr>
          <w:rFonts w:eastAsiaTheme="minorEastAsia" w:hint="eastAsia"/>
          <w:lang w:eastAsia="ko-KR"/>
        </w:rPr>
        <w:t xml:space="preserve">age </w:t>
      </w:r>
      <w:r w:rsidR="000F7E0B" w:rsidRPr="008126BD">
        <w:rPr>
          <w:rFonts w:eastAsiaTheme="minorEastAsia"/>
        </w:rPr>
        <w:t>group</w:t>
      </w:r>
      <w:r w:rsidR="007A5C98">
        <w:rPr>
          <w:rFonts w:eastAsiaTheme="minorEastAsia" w:hint="eastAsia"/>
          <w:lang w:eastAsia="ko-KR"/>
        </w:rPr>
        <w:t xml:space="preserve"> over time</w:t>
      </w:r>
      <w:r w:rsidR="000F7E0B">
        <w:rPr>
          <w:rFonts w:eastAsiaTheme="minorEastAsia" w:hint="eastAsia"/>
          <w:lang w:eastAsia="ko-KR"/>
        </w:rPr>
        <w:t xml:space="preserve"> in </w:t>
      </w:r>
      <w:r w:rsidR="000F7E0B">
        <w:rPr>
          <w:rFonts w:eastAsiaTheme="minorEastAsia"/>
          <w:lang w:eastAsia="ko-KR"/>
        </w:rPr>
        <w:t xml:space="preserve">the </w:t>
      </w:r>
      <w:r w:rsidR="000F7E0B">
        <w:rPr>
          <w:rFonts w:eastAsiaTheme="minorEastAsia" w:hint="eastAsia"/>
          <w:lang w:eastAsia="ko-KR"/>
        </w:rPr>
        <w:t xml:space="preserve">vaccine group. </w:t>
      </w:r>
      <w:r w:rsidR="000E1AF9">
        <w:rPr>
          <w:rFonts w:eastAsiaTheme="minorEastAsia" w:hint="eastAsia"/>
          <w:lang w:eastAsia="ko-KR"/>
        </w:rPr>
        <w:t xml:space="preserve">Considering the time to infection, </w:t>
      </w:r>
      <w:r w:rsidR="00A34C54" w:rsidRPr="00D0236F">
        <w:rPr>
          <w:rFonts w:eastAsiaTheme="minorEastAsia"/>
          <w:lang w:eastAsia="ko-KR"/>
        </w:rPr>
        <w:t>&gt;20</w:t>
      </w:r>
      <w:r w:rsidR="00A34C54">
        <w:rPr>
          <w:rFonts w:eastAsiaTheme="minorEastAsia" w:hint="eastAsia"/>
          <w:lang w:eastAsia="ko-KR"/>
        </w:rPr>
        <w:t xml:space="preserve"> age group</w:t>
      </w:r>
      <w:r w:rsidR="00A34C54" w:rsidRPr="00D0236F">
        <w:rPr>
          <w:rFonts w:eastAsiaTheme="minorEastAsia"/>
          <w:lang w:eastAsia="ko-KR"/>
        </w:rPr>
        <w:t xml:space="preserve"> </w:t>
      </w:r>
      <w:r w:rsidR="00A34C54">
        <w:rPr>
          <w:rFonts w:eastAsiaTheme="minorEastAsia" w:hint="eastAsia"/>
          <w:lang w:eastAsia="ko-KR"/>
        </w:rPr>
        <w:t xml:space="preserve">shows </w:t>
      </w:r>
      <w:r w:rsidR="00A34C54" w:rsidRPr="00D0236F">
        <w:rPr>
          <w:rFonts w:eastAsiaTheme="minorEastAsia"/>
          <w:lang w:eastAsia="ko-KR"/>
        </w:rPr>
        <w:t xml:space="preserve">42-69% lower </w:t>
      </w:r>
      <w:r w:rsidR="00DE44D7">
        <w:rPr>
          <w:rFonts w:eastAsiaTheme="minorEastAsia" w:hint="eastAsia"/>
          <w:lang w:eastAsia="ko-KR"/>
        </w:rPr>
        <w:t>hazard ratio</w:t>
      </w:r>
      <w:r w:rsidR="00A34C54" w:rsidRPr="00D0236F">
        <w:rPr>
          <w:rFonts w:eastAsiaTheme="minorEastAsia"/>
          <w:lang w:eastAsia="ko-KR"/>
        </w:rPr>
        <w:t xml:space="preserve"> of infection than &lt;20 </w:t>
      </w:r>
      <w:r w:rsidR="000E1AF9">
        <w:rPr>
          <w:rFonts w:eastAsiaTheme="minorEastAsia" w:hint="eastAsia"/>
          <w:lang w:eastAsia="ko-KR"/>
        </w:rPr>
        <w:t xml:space="preserve">age </w:t>
      </w:r>
      <w:r w:rsidR="00A34C54" w:rsidRPr="00D0236F">
        <w:rPr>
          <w:rFonts w:eastAsiaTheme="minorEastAsia"/>
          <w:lang w:eastAsia="ko-KR"/>
        </w:rPr>
        <w:t>group with increasing risk trends with older age groups</w:t>
      </w:r>
      <w:r w:rsidR="00A34C54">
        <w:rPr>
          <w:rFonts w:eastAsiaTheme="minorEastAsia" w:hint="eastAsia"/>
          <w:lang w:eastAsia="ko-KR"/>
        </w:rPr>
        <w:t xml:space="preserve">. </w:t>
      </w:r>
      <w:r w:rsidR="000E1AF9">
        <w:rPr>
          <w:rFonts w:eastAsiaTheme="minorEastAsia" w:hint="eastAsia"/>
          <w:lang w:eastAsia="ko-KR"/>
        </w:rPr>
        <w:t>To expect &gt;</w:t>
      </w:r>
      <w:r w:rsidR="000E1AF9" w:rsidRPr="00D051AD">
        <w:rPr>
          <w:rFonts w:eastAsiaTheme="minorEastAsia"/>
          <w:lang w:eastAsia="ko-KR"/>
        </w:rPr>
        <w:t>80% probability of remaining infection-free</w:t>
      </w:r>
      <w:r w:rsidR="000E1AF9">
        <w:rPr>
          <w:rFonts w:eastAsiaTheme="minorEastAsia" w:hint="eastAsia"/>
          <w:lang w:eastAsia="ko-KR"/>
        </w:rPr>
        <w:t xml:space="preserve">, different </w:t>
      </w:r>
      <w:r w:rsidR="007A5C98">
        <w:rPr>
          <w:rFonts w:eastAsiaTheme="minorEastAsia" w:hint="eastAsia"/>
          <w:lang w:eastAsia="ko-KR"/>
        </w:rPr>
        <w:t xml:space="preserve">S antibody levels </w:t>
      </w:r>
      <w:r w:rsidR="000E1AF9">
        <w:rPr>
          <w:rFonts w:eastAsiaTheme="minorEastAsia" w:hint="eastAsia"/>
          <w:lang w:eastAsia="ko-KR"/>
        </w:rPr>
        <w:t>thresholds are estimated as &gt;</w:t>
      </w:r>
      <w:r w:rsidR="007A5C98">
        <w:rPr>
          <w:rFonts w:eastAsiaTheme="minorEastAsia" w:hint="eastAsia"/>
          <w:lang w:eastAsia="ko-KR"/>
        </w:rPr>
        <w:t xml:space="preserve">250,000, 20,000, and 15,000 for &lt;20, &gt;60, and 40-60 age groups. </w:t>
      </w:r>
    </w:p>
    <w:p w14:paraId="66328EF8" w14:textId="77777777" w:rsidR="000F7E0B" w:rsidRDefault="000F7E0B" w:rsidP="005B7F6E">
      <w:pPr>
        <w:widowControl/>
        <w:tabs>
          <w:tab w:val="num" w:pos="720"/>
        </w:tabs>
        <w:adjustRightInd w:val="0"/>
        <w:spacing w:line="360" w:lineRule="auto"/>
        <w:contextualSpacing/>
        <w:jc w:val="both"/>
        <w:rPr>
          <w:rFonts w:eastAsiaTheme="minorEastAsia"/>
        </w:rPr>
      </w:pPr>
    </w:p>
    <w:p w14:paraId="6D9BE02D" w14:textId="2B795FCF" w:rsidR="00D3651D" w:rsidRPr="008126BD" w:rsidRDefault="00D3651D" w:rsidP="005B7F6E">
      <w:pPr>
        <w:widowControl/>
        <w:tabs>
          <w:tab w:val="num" w:pos="720"/>
        </w:tabs>
        <w:adjustRightInd w:val="0"/>
        <w:spacing w:line="360" w:lineRule="auto"/>
        <w:contextualSpacing/>
        <w:jc w:val="both"/>
        <w:rPr>
          <w:rFonts w:eastAsiaTheme="minorEastAsia"/>
        </w:rPr>
      </w:pPr>
      <w:r w:rsidRPr="008126BD">
        <w:rPr>
          <w:rFonts w:eastAsiaTheme="minorEastAsia" w:hint="eastAsia"/>
          <w:b/>
          <w:bCs/>
          <w:lang w:eastAsia="ko-KR"/>
        </w:rPr>
        <w:t>Conclusion</w:t>
      </w:r>
      <w:r w:rsidRPr="008126BD">
        <w:rPr>
          <w:rFonts w:eastAsiaTheme="minorEastAsia" w:hint="eastAsia"/>
          <w:lang w:eastAsia="ko-KR"/>
        </w:rPr>
        <w:t xml:space="preserve">: </w:t>
      </w:r>
      <w:r w:rsidR="00FB45BE">
        <w:rPr>
          <w:rFonts w:eastAsiaTheme="minorEastAsia" w:hint="eastAsia"/>
          <w:lang w:eastAsia="ko-KR"/>
        </w:rPr>
        <w:t xml:space="preserve">The different infection </w:t>
      </w:r>
      <w:r w:rsidR="00FB45BE">
        <w:rPr>
          <w:rFonts w:eastAsiaTheme="minorEastAsia"/>
          <w:lang w:eastAsia="ko-KR"/>
        </w:rPr>
        <w:t>risks</w:t>
      </w:r>
      <w:r w:rsidR="00FB45BE">
        <w:rPr>
          <w:rFonts w:eastAsiaTheme="minorEastAsia" w:hint="eastAsia"/>
          <w:lang w:eastAsia="ko-KR"/>
        </w:rPr>
        <w:t xml:space="preserve"> across age groups reflect</w:t>
      </w:r>
      <w:r w:rsidR="004A03B0" w:rsidRPr="008126BD">
        <w:rPr>
          <w:rFonts w:eastAsiaTheme="minorEastAsia"/>
        </w:rPr>
        <w:t xml:space="preserve"> heterogeneous individual </w:t>
      </w:r>
      <w:r w:rsidR="005C1BCD">
        <w:rPr>
          <w:rFonts w:eastAsiaTheme="minorEastAsia" w:hint="eastAsia"/>
          <w:lang w:eastAsia="ko-KR"/>
        </w:rPr>
        <w:t>immune</w:t>
      </w:r>
      <w:r w:rsidR="004A03B0" w:rsidRPr="008126BD">
        <w:rPr>
          <w:rFonts w:eastAsiaTheme="minorEastAsia"/>
        </w:rPr>
        <w:t xml:space="preserve"> responses and levels of exposure.</w:t>
      </w:r>
      <w:r w:rsidR="004A03B0">
        <w:rPr>
          <w:rFonts w:eastAsiaTheme="minorEastAsia" w:hint="eastAsia"/>
          <w:lang w:eastAsia="ko-KR"/>
        </w:rPr>
        <w:t xml:space="preserve"> </w:t>
      </w:r>
      <w:r w:rsidR="00FB45BE">
        <w:rPr>
          <w:rFonts w:eastAsiaTheme="minorEastAsia" w:hint="eastAsia"/>
          <w:lang w:eastAsia="ko-KR"/>
        </w:rPr>
        <w:t xml:space="preserve">The </w:t>
      </w:r>
      <w:r w:rsidRPr="008126BD">
        <w:rPr>
          <w:rFonts w:eastAsiaTheme="minorEastAsia"/>
        </w:rPr>
        <w:t>vaccination campaigns should be tailored according to individual immune status, and characteristics of the population risk factors to achieve optimal protection across individuals.</w:t>
      </w:r>
    </w:p>
    <w:p w14:paraId="0FF408D3" w14:textId="77777777" w:rsidR="00D3651D" w:rsidRDefault="00D3651D" w:rsidP="005B7F6E">
      <w:pPr>
        <w:pStyle w:val="BodyText"/>
        <w:spacing w:line="360" w:lineRule="auto"/>
        <w:ind w:left="0"/>
        <w:contextualSpacing/>
        <w:jc w:val="both"/>
      </w:pPr>
    </w:p>
    <w:p w14:paraId="20033E7A" w14:textId="77777777" w:rsidR="00D3651D" w:rsidRDefault="00D3651D" w:rsidP="005B7F6E">
      <w:pPr>
        <w:spacing w:line="360" w:lineRule="auto"/>
        <w:jc w:val="both"/>
        <w:rPr>
          <w:rFonts w:eastAsiaTheme="minorEastAsia"/>
          <w:lang w:eastAsia="ko-KR"/>
        </w:rPr>
      </w:pPr>
    </w:p>
    <w:p w14:paraId="37808E29" w14:textId="77777777" w:rsidR="00D3651D" w:rsidRPr="00D051AD" w:rsidRDefault="00D3651D" w:rsidP="005B7F6E">
      <w:pPr>
        <w:spacing w:line="360" w:lineRule="auto"/>
        <w:jc w:val="both"/>
        <w:rPr>
          <w:b/>
          <w:bCs/>
          <w:sz w:val="24"/>
        </w:rPr>
      </w:pPr>
      <w:r w:rsidRPr="00D051AD">
        <w:rPr>
          <w:b/>
          <w:bCs/>
        </w:rPr>
        <w:t>Introduction</w:t>
      </w:r>
    </w:p>
    <w:p w14:paraId="59DA8B71" w14:textId="77777777" w:rsidR="00D3651D" w:rsidRDefault="00D3651D" w:rsidP="005B7F6E">
      <w:pPr>
        <w:pStyle w:val="BodyText"/>
        <w:kinsoku w:val="0"/>
        <w:overflowPunct w:val="0"/>
        <w:spacing w:before="74" w:line="360" w:lineRule="auto"/>
        <w:ind w:firstLine="566"/>
        <w:jc w:val="both"/>
        <w:rPr>
          <w:rFonts w:ascii="WarnockPro-Regular" w:eastAsiaTheme="minorEastAsia" w:hAnsi="WarnockPro-Regular" w:cs="WarnockPro-Regular"/>
          <w:color w:val="000000"/>
          <w:sz w:val="20"/>
          <w:szCs w:val="20"/>
        </w:rPr>
      </w:pPr>
    </w:p>
    <w:p w14:paraId="30245202" w14:textId="55723FB9" w:rsidR="00D3651D" w:rsidRPr="00D0236F" w:rsidRDefault="00A42CCC" w:rsidP="005B7F6E">
      <w:pPr>
        <w:pStyle w:val="BodyText"/>
        <w:kinsoku w:val="0"/>
        <w:overflowPunct w:val="0"/>
        <w:spacing w:line="360" w:lineRule="auto"/>
        <w:ind w:left="0"/>
        <w:jc w:val="both"/>
        <w:rPr>
          <w:rFonts w:eastAsiaTheme="minorEastAsia"/>
          <w:color w:val="000000"/>
          <w:sz w:val="22"/>
          <w:szCs w:val="22"/>
          <w:lang w:eastAsia="ko-KR"/>
        </w:rPr>
      </w:pPr>
      <w:r w:rsidRPr="00D0236F">
        <w:rPr>
          <w:sz w:val="22"/>
          <w:szCs w:val="22"/>
        </w:rPr>
        <w:t>Both natural SARS-CoV-2 infection and COVID-19 vaccination play crucial roles in developing population-level immunity. [REF] While immune responses are complex and multifaceted, epidemiological studies often rely on measurable indicators like antibodies to assess population immunity and the durability of antibody responses following infection and/or vaccination</w:t>
      </w:r>
      <w:r w:rsidR="000C5051" w:rsidRPr="00D0236F">
        <w:rPr>
          <w:sz w:val="22"/>
          <w:szCs w:val="22"/>
          <w:lang w:eastAsia="zh-CN"/>
        </w:rPr>
        <w:t xml:space="preserve"> </w:t>
      </w:r>
      <w:r w:rsidR="000C5051" w:rsidRPr="00D0236F">
        <w:rPr>
          <w:sz w:val="22"/>
          <w:szCs w:val="22"/>
        </w:rPr>
        <w:fldChar w:fldCharType="begin"/>
      </w:r>
      <w:r w:rsidR="000C5051" w:rsidRPr="00D0236F">
        <w:rPr>
          <w:sz w:val="22"/>
          <w:szCs w:val="22"/>
        </w:rPr>
        <w:instrText xml:space="preserve"> ADDIN ZOTERO_ITEM CSL_CITATION {"citationID":"6LG8jsce","properties":{"formattedCitation":"[1]","plainCitation":"[1]","noteIndex":0},"citationItems":[{"id":82,"uris":["http://zotero.org/users/14790911/items/CE6VMUN7"],"itemData":{"id":82,"type":"article-journal","abstract":"Background\nHeterogeneity of the population in relation to infection, COVID-19 vaccination, and host characteristics is likely reflected in the underlying SARS-CoV-2 antibody responses.\n\nMethods\nWe measured IgM, IgA, and IgG levels against SARS-CoV-2 spike and nucleocapsid antigens in 1076 adults of a cohort study in Catalonia between June and November 2020 and a second time between May and July 2021. Questionnaire data and electronic health records on vaccination and COVID-19 testing were available in both periods. Data on several lifestyle, health-related, and sociodemographic characteristics were also available.\n\nResults\nAntibody seroreversion occurred in 35.8% of the 64 participants non-vaccinated and infected almost a year ago and was related to asymptomatic infection, age above 60 years, and smoking. Moreover, the analysis on kinetics revealed that among all responses, IgG RBD, IgA RBD, and IgG S2 decreased less within 1 year after infection. Among vaccinated, 2.1% did not present antibodies at the time of testing and approximately 1% had breakthrough infections post-vaccination. In the post-vaccination era, IgM responses and those against nucleoprotein were much less prevalent. In previously infected individuals, vaccination boosted the immune response and there was a slight but statistically significant increase in responses after a 2nd compared to the 1st dose. Infected vaccinated participants had superior antibody levels across time compared to naïve-vaccinated people. mRNA vaccines and, particularly the Spikevax, induced higher antibodies after 1st and 2nd doses compared to Vaxzevria or Janssen COVID-19 vaccines. In multivariable regression analyses, antibody responses after vaccination were predicted by the type of vaccine, infection age, sex, smoking, and mental and cardiovascular diseases.\n\nConclusions\nOur data support that infected people would benefit from vaccination. Results also indicate that hybrid immunity results in superior antibody responses and infection-naïve people would need a booster dose earlier than previously infected people. Mental diseases are associated with less efficient responses to vaccination.\n\nSupplementary Information\nThe online version contains supplementary material available at 10.1186/s12916-022-02547-2.","container-title":"BMC Medicine","DOI":"10.1186/s12916-022-02547-2","ISSN":"1741-7015","journalAbbreviation":"BMC Med","note":"PMID: 36109713\nPMCID: PMC9479347","page":"347","source":"PubMed Central","title":"SARS-CoV-2 infection, vaccination, and antibody response trajectories in adults: a cohort study in Catalonia","title-short":"SARS-CoV-2 infection, vaccination, and antibody response trajectories in adults","volume":"20","author":[{"family":"Karachaliou","given":"Marianna"},{"family":"Moncunill","given":"Gemma"},{"family":"Espinosa","given":"Ana"},{"family":"Castaño-Vinyals","given":"Gemma"},{"family":"Rubio","given":"Rocío"},{"family":"Vidal","given":"Marta"},{"family":"Jiménez","given":"Alfons"},{"family":"Prados","given":"Esther"},{"family":"Carreras","given":"Anna"},{"family":"Cortés","given":"Beatriz"},{"family":"Blay","given":"Natàlia"},{"family":"Bañuls","given":"Marc"},{"family":"Pleguezuelos","given":"Vanessa"},{"family":"Melero","given":"Natalia Rodrigo"},{"family":"Serra","given":"Pau"},{"family":"Parras","given":"Daniel"},{"family":"Izquierdo","given":"Luis"},{"family":"Santamaría","given":"Pere"},{"family":"Carolis","given":"Carlo"},{"family":"Papantoniou","given":"Kyriaki"},{"family":"Goldberg","given":"Ximena"},{"family":"Aguilar","given":"Ruth"},{"family":"Garcia-Aymerich","given":"Judith"},{"family":"Cid","given":"Rafael","non-dropping-particle":"de"},{"family":"Kogevinas","given":"Manolis"},{"family":"Dobaño","given":"Carlota"}],"issued":{"date-parts":[["2022",9,16]]}}}],"schema":"https://github.com/citation-style-language/schema/raw/master/csl-citation.json"} </w:instrText>
      </w:r>
      <w:r w:rsidR="000C5051" w:rsidRPr="00D0236F">
        <w:rPr>
          <w:sz w:val="22"/>
          <w:szCs w:val="22"/>
        </w:rPr>
        <w:fldChar w:fldCharType="separate"/>
      </w:r>
      <w:r w:rsidR="000C5051" w:rsidRPr="00D0236F">
        <w:rPr>
          <w:noProof/>
          <w:sz w:val="22"/>
          <w:szCs w:val="22"/>
        </w:rPr>
        <w:t>[1]</w:t>
      </w:r>
      <w:r w:rsidR="000C5051" w:rsidRPr="00D0236F">
        <w:rPr>
          <w:sz w:val="22"/>
          <w:szCs w:val="22"/>
        </w:rPr>
        <w:fldChar w:fldCharType="end"/>
      </w:r>
      <w:r w:rsidRPr="00D0236F">
        <w:rPr>
          <w:sz w:val="22"/>
          <w:szCs w:val="22"/>
        </w:rPr>
        <w:t>.</w:t>
      </w:r>
      <w:r w:rsidR="000C5051" w:rsidRPr="00D0236F">
        <w:rPr>
          <w:rFonts w:eastAsiaTheme="minorEastAsia"/>
          <w:color w:val="000000"/>
          <w:sz w:val="22"/>
          <w:szCs w:val="22"/>
          <w:lang w:eastAsia="zh-CN"/>
        </w:rPr>
        <w:t xml:space="preserve"> </w:t>
      </w:r>
      <w:commentRangeStart w:id="0"/>
      <w:commentRangeEnd w:id="0"/>
      <w:r w:rsidRPr="00D0236F">
        <w:rPr>
          <w:rStyle w:val="CommentReference"/>
          <w:sz w:val="22"/>
          <w:szCs w:val="22"/>
        </w:rPr>
        <w:commentReference w:id="0"/>
      </w:r>
      <w:r w:rsidR="005C5BA9" w:rsidRPr="00D0236F">
        <w:rPr>
          <w:rFonts w:eastAsiaTheme="minorEastAsia"/>
          <w:color w:val="000000"/>
          <w:sz w:val="22"/>
          <w:szCs w:val="22"/>
          <w:lang w:eastAsia="ko-KR"/>
        </w:rPr>
        <w:t>Immunogenicity research indicates that the effectiveness of vaccines might decline over time</w:t>
      </w:r>
      <w:r w:rsidR="00D3651D" w:rsidRPr="00D0236F">
        <w:rPr>
          <w:rFonts w:eastAsiaTheme="minorEastAsia"/>
          <w:color w:val="000000"/>
          <w:sz w:val="22"/>
          <w:szCs w:val="22"/>
        </w:rPr>
        <w:t>, as</w:t>
      </w:r>
      <w:r w:rsidR="00D3651D" w:rsidRPr="00D0236F">
        <w:rPr>
          <w:rFonts w:eastAsiaTheme="minorEastAsia"/>
          <w:color w:val="000000"/>
          <w:sz w:val="22"/>
          <w:szCs w:val="22"/>
          <w:lang w:eastAsia="ko-KR"/>
        </w:rPr>
        <w:t xml:space="preserve"> </w:t>
      </w:r>
      <w:r w:rsidR="00D3651D" w:rsidRPr="00D0236F">
        <w:rPr>
          <w:rFonts w:eastAsiaTheme="minorEastAsia"/>
          <w:color w:val="000000"/>
          <w:sz w:val="22"/>
          <w:szCs w:val="22"/>
        </w:rPr>
        <w:t>measured by primarily decreasing antibody titers and</w:t>
      </w:r>
      <w:r w:rsidR="00D3651D" w:rsidRPr="00D0236F">
        <w:rPr>
          <w:rFonts w:eastAsiaTheme="minorEastAsia"/>
          <w:color w:val="000000"/>
          <w:sz w:val="22"/>
          <w:szCs w:val="22"/>
          <w:lang w:eastAsia="ko-KR"/>
        </w:rPr>
        <w:t xml:space="preserve"> </w:t>
      </w:r>
      <w:r w:rsidR="00D3651D" w:rsidRPr="00D0236F">
        <w:rPr>
          <w:rFonts w:eastAsiaTheme="minorEastAsia"/>
          <w:color w:val="000000"/>
          <w:sz w:val="22"/>
          <w:szCs w:val="22"/>
        </w:rPr>
        <w:t>vaccine effectiveness (breakthrough infections)</w:t>
      </w:r>
      <w:r w:rsidR="007C6646" w:rsidRPr="00D0236F">
        <w:rPr>
          <w:rFonts w:eastAsiaTheme="minorEastAsia"/>
          <w:color w:val="000000"/>
          <w:sz w:val="22"/>
          <w:szCs w:val="22"/>
        </w:rPr>
        <w:t xml:space="preserve"> </w:t>
      </w:r>
      <w:r w:rsidR="007C6646" w:rsidRPr="00D0236F">
        <w:rPr>
          <w:rFonts w:eastAsiaTheme="minorEastAsia"/>
          <w:color w:val="000000"/>
          <w:sz w:val="22"/>
          <w:szCs w:val="22"/>
        </w:rPr>
        <w:fldChar w:fldCharType="begin"/>
      </w:r>
      <w:r w:rsidR="000C5051" w:rsidRPr="00D0236F">
        <w:rPr>
          <w:rFonts w:eastAsiaTheme="minorEastAsia"/>
          <w:color w:val="000000"/>
          <w:sz w:val="22"/>
          <w:szCs w:val="22"/>
        </w:rPr>
        <w:instrText xml:space="preserve"> ADDIN ZOTERO_ITEM CSL_CITATION {"citationID":"0z4Gvb0y","properties":{"formattedCitation":"[2], [3]","plainCitation":"[2], [3]","noteIndex":0},"citationItems":[{"id":7,"uris":["http://zotero.org/users/14790911/items/YTPZIY4L"],"itemData":{"id":7,"type":"article-journal","abstract":"Few studies have evaluated the waning of vaccine effectiveness against severe outcomes caused by SARS-CoV-2 Omicron infection. Hong Kong is providing inactivated and mRNA vaccines, but the population had limited protection from natural infections before the Omicron variant emerged.To examine the change in vaccine effectiveness against hospitalization and mortality due to the Omicron variant over time.This case-control study included adults with SARS-CoV-2 Omicron variant infection who died or were hospitalized in Hong Kong from January 1 to June 5, 2022 (ie, case participants), and adults with SARS-CoV-2 Omicron, sampled from the public health registry during the study period (ie, control participants), who were matched to case participants by propensity score.Vaccination status of the individuals.Estimated vaccine effectiveness against death, death or hospitalization, and death among hospitalized patients. Vaccine effectiveness was calculated as 1 − adjusted odds ratio obtained by conditional logistic regression adjusted with covariates for each period following vaccination.There were 32 823 case participants (25 546 [77.8%] ≥65 years; 16 930 [47.4%] female) and 131 328 control participants (100 041 [76.2%] ≥65 years; 66 625 [46.6%] female) in the sample analyzed for the death or hospitalization outcome. Vaccine effectiveness against death or hospitalization was maintained for at least 6 months after the second dose of both CoronaVac (74.0%; 95% CI, 71.8%-75.8%) and BNT162b2 (77.4%; 95% CI, 75.5%-79.0%) vaccines. Vaccine effectiveness against death in those aged 18 to 49 years \twas 86.4% (95% CI, 85.8%-87.0%) and 92.9% (95% CI, 92.6%-93.2%) for those receiving 2 doses of CoronaVac and BNT162b2, respectively, while for patients aged 80 years or older, it dropped to 61.4% (95% CI, 59.8%-63.2%) and 52.7% (95% CI, 50.2%-55.6%) for CoronaVac and BNT162b2, respectively. Nevertheless, overall vaccine effectiveness against death at 4 to 6 months after the third dose was greater than 90% for CoronaVac, BNT162b2, and the mixed vaccine schedule (eg, mixed vaccines: vaccine effectiveness, 92.2%; 95% CI, 89.2%-95.1%).While vaccines were generally estimated to be effective against severe outcomes caused by SARS-CoV-2 Omicron infection, this analysis found that protection in older patients was more likely to wane 6 months after the second dose. Hence, a booster dose is recommended for older patients to restore immunity. This is especially critical in a setting like Hong Kong, where third-dose coverage is still insufficient among older residents.","container-title":"JAMA Network Open","DOI":"10.1001/jamanetworkopen.2022.54777","ISSN":"2574-3805","issue":"2","journalAbbreviation":"JAMA Network Open","page":"e2254777","source":"Silverchair","title":"Estimation of Vaccine Effectiveness of CoronaVac and BNT162b2 Against Severe Outcomes Over Time Among Patients With SARS-CoV-2 Omicron","volume":"6","author":[{"family":"Wei","given":"Yuchen"},{"family":"Jia","given":"Katherine Min"},{"family":"Zhao","given":"Shi"},{"family":"Hung","given":"Chi Tim"},{"family":"Mok","given":"Chris Ka Pun"},{"family":"Poon","given":"Paul Kwok Ming"},{"family":"Man Leung","given":"Eman Yee"},{"family":"Wang","given":"Maggie Haitian"},{"family":"Yam","given":"Carrie Ho Kwan"},{"family":"Chow","given":"Tsz Yu"},{"family":"Guo","given":"Zihao"},{"family":"Yeoh","given":"Eng Kiong"},{"family":"Chong","given":"Ka Chun"}],"issued":{"date-parts":[["2023",2,3]]}}},{"id":10,"uris":["http://zotero.org/users/14790911/items/E2I2MZMP"],"itemData":{"id":10,"type":"article-journal","abstract":"Objectives To estimate the effectiveness of mRNA vaccines against SARS-CoV-2 infection and severe covid-19 at different time after vaccination.\nDesign Retrospective cohort study.\nSetting Italy, 27 December 2020 to 7 November 2021.\nParticipants 33 250 344 people aged ≥16 years who received a first dose of BNT162b2 (Pfizer-BioNTech) or mRNA-1273 (Moderna) vaccine and did not have a previous diagnosis of SARS-CoV-2 infection.\nMain outcome measures SARS-CoV-2 infection and severe covid-19 (admission to hospital or death). Data were divided by weekly time intervals after vaccination. Incidence rate ratios at different time intervals were estimated by multilevel negative binomial models with robust variance estimator. Sex, age group, brand of vaccine, priority risk category, and regional weekly incidence in the general population were included as covariates. Geographic region was included as a random effect. Adjusted vaccine effectiveness was calculated as (1−IRR)×100, where IRR=incidence rate ratio, with the time interval 0-14 days after the first dose of vaccine as the reference.\nResults During the epidemic phase when the delta variant was the predominant strain of the SARS-CoV-2 virus, vaccine effectiveness against SARS-CoV-2 infection significantly decreased (P&lt;0.001) from 82% (95% confidence interval 80% to 84%) at 3-4 weeks after the second dose of vaccine to 33% (27% to 39%) at 27-30 weeks after the second dose. In the same time intervals, vaccine effectiveness against severe covid-19 also decreased (P&lt;0.001), although to a lesser extent, from 96% (95% to 97%) to 80% (76% to 83%). High risk people (vaccine effectiveness −6%, −28% to 12%), those aged ≥80 years (11%, −15% to 31%), and those aged 60-79 years (2%, −11% to 14%) did not seem to be protected against infection at 27-30 weeks after the second dose of vaccine.\nConclusions The results support the vaccination campaigns targeting high risk people, those aged ≥60 years, and healthcare workers to receive a booster dose of vaccine six months after the primary vaccination cycle. The results also suggest that timing the booster dose earlier than six months after the primary vaccination cycle and extending the offer of the booster dose to the wider eligible population might be warranted.","container-title":"BMJ","DOI":"10.1136/bmj-2021-069052","ISSN":"1756-1833","journalAbbreviation":"BMJ","language":"en","license":"© Author(s) (or their employer(s)) 2019. Re-use permitted under CC BY-NC. No commercial re-use. See rights and permissions. Published by BMJ.. http://creativecommons.org/licenses/by-nc/4.0/This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British Medical Journal Publishing Group\nsection: Research\nPMID: 35144968","page":"e069052","source":"www.bmj.com","title":"Effectiveness of mRNA vaccines and waning of protection against SARS-CoV-2 infection and severe covid-19 during predominant circulation of the delta variant in Italy: retrospective cohort study","title-short":"Effectiveness of mRNA vaccines and waning of protection against SARS-CoV-2 infection and severe covid-19 during predominant circulation of the delta variant in Italy","volume":"376","author":[{"family":"Fabiani","given":"Massimo"},{"family":"Puopolo","given":"Maria"},{"family":"Morciano","given":"Cristina"},{"family":"Spuri","given":"Matteo"},{"family":"Alegiani","given":"Stefania Spila"},{"family":"Filia","given":"Antonietta"},{"family":"D’Ancona","given":"Fortunato"},{"family":"Manso","given":"Martina Del"},{"family":"Riccardo","given":"Flavia"},{"family":"Tallon","given":"Marco"},{"family":"Proietti","given":"Valeria"},{"family":"Sacco","given":"Chiara"},{"family":"Massari","given":"Marco"},{"family":"Cas","given":"Roberto Da"},{"family":"Mateo-Urdiales","given":"Alberto"},{"family":"Siddu","given":"Andrea"},{"family":"Battilomo","given":"Serena"},{"family":"Bella","given":"Antonino"},{"family":"Palamara","given":"Anna Teresa"},{"family":"Popoli","given":"Patrizia"},{"family":"Brusaferro","given":"Silvio"},{"family":"Rezza","given":"Giovanni"},{"family":"Ippolito","given":"Francesca Menniti"},{"family":"Pezzotti","given":"Patrizio"}],"issued":{"date-parts":[["2022",2,10]]}}}],"schema":"https://github.com/citation-style-language/schema/raw/master/csl-citation.json"} </w:instrText>
      </w:r>
      <w:r w:rsidR="007C6646" w:rsidRPr="00D0236F">
        <w:rPr>
          <w:rFonts w:eastAsiaTheme="minorEastAsia"/>
          <w:color w:val="000000"/>
          <w:sz w:val="22"/>
          <w:szCs w:val="22"/>
        </w:rPr>
        <w:fldChar w:fldCharType="separate"/>
      </w:r>
      <w:r w:rsidR="000C5051" w:rsidRPr="00D0236F">
        <w:rPr>
          <w:rFonts w:eastAsiaTheme="minorEastAsia"/>
          <w:noProof/>
          <w:color w:val="000000"/>
          <w:sz w:val="22"/>
          <w:szCs w:val="22"/>
        </w:rPr>
        <w:t>[2], [3]</w:t>
      </w:r>
      <w:r w:rsidR="007C6646" w:rsidRPr="00D0236F">
        <w:rPr>
          <w:rFonts w:eastAsiaTheme="minorEastAsia"/>
          <w:color w:val="000000"/>
          <w:sz w:val="22"/>
          <w:szCs w:val="22"/>
        </w:rPr>
        <w:fldChar w:fldCharType="end"/>
      </w:r>
      <w:r w:rsidR="00D3651D" w:rsidRPr="00D0236F">
        <w:rPr>
          <w:rFonts w:eastAsiaTheme="minorEastAsia"/>
          <w:color w:val="000000"/>
          <w:sz w:val="22"/>
          <w:szCs w:val="22"/>
        </w:rPr>
        <w:t xml:space="preserve">. </w:t>
      </w:r>
      <w:r w:rsidR="00D3651D" w:rsidRPr="00D0236F">
        <w:rPr>
          <w:rFonts w:eastAsiaTheme="minorEastAsia"/>
          <w:sz w:val="22"/>
          <w:szCs w:val="22"/>
          <w:lang w:eastAsia="ko-KR"/>
        </w:rPr>
        <w:t xml:space="preserve">However, </w:t>
      </w:r>
      <w:r w:rsidR="005C5BA9" w:rsidRPr="00D0236F">
        <w:rPr>
          <w:rFonts w:eastAsiaTheme="minorEastAsia"/>
          <w:sz w:val="22"/>
          <w:szCs w:val="22"/>
          <w:lang w:eastAsia="ko-KR"/>
        </w:rPr>
        <w:t>it is not clear how this reduction translates to protective effectiveness against infection</w:t>
      </w:r>
      <w:r w:rsidR="000C5051" w:rsidRPr="00D0236F">
        <w:rPr>
          <w:rFonts w:eastAsiaTheme="minorEastAsia"/>
          <w:sz w:val="22"/>
          <w:szCs w:val="22"/>
          <w:lang w:eastAsia="zh-CN"/>
        </w:rPr>
        <w:t xml:space="preserve"> </w:t>
      </w:r>
      <w:r w:rsidR="000C5051" w:rsidRPr="00D0236F">
        <w:rPr>
          <w:rFonts w:eastAsiaTheme="minorEastAsia"/>
          <w:sz w:val="22"/>
          <w:szCs w:val="22"/>
          <w:lang w:eastAsia="zh-CN"/>
        </w:rPr>
        <w:fldChar w:fldCharType="begin"/>
      </w:r>
      <w:r w:rsidR="000C5051" w:rsidRPr="00D0236F">
        <w:rPr>
          <w:rFonts w:eastAsiaTheme="minorEastAsia"/>
          <w:sz w:val="22"/>
          <w:szCs w:val="22"/>
          <w:lang w:eastAsia="zh-CN"/>
        </w:rPr>
        <w:instrText xml:space="preserve"> ADDIN ZOTERO_ITEM CSL_CITATION {"citationID":"te7zLSV5","properties":{"formattedCitation":"[4]","plainCitation":"[4]","noteIndex":0},"citationItems":[{"id":85,"uris":["http://zotero.org/users/14790911/items/Q7QF6BMR"],"itemData":{"id":85,"type":"article-journal","abstract":"BACKGROUND: Synthesising evidence on the long-term vaccine effectiveness of COVID-19 vaccines (BNT162b2 [Pfizer-BioNTech], mRNA-1273 [Moderna], ChAdOx1 nCoV-19 [AZD1222; Oxford-AstraZeneca], and Ad26.COV2.S [Janssen]) against infections, hospitalisations, and mortality is crucial to making evidence-based pandemic policy decisions.\nMETHODS: In this rapid living systematic evidence synthesis and meta-analysis, we searched EMBASE and the US National Institutes of Health's iSearch COVID-19 Portfolio, supplemented by manual searches of COVID-19-specific sources, until Dec 1, 2022, for studies that reported vaccine effectiveness immediately and at least 112 days after a primary vaccine series or at least 84 days after a booster dose. Single reviewers assessed titles, abstracts, and full-text articles, and extracted data, with a second reviewer verifying included studies. The primary outcomes were vaccine effectiveness against SARS-CoV-2 infections, hospitalisations, and mortality, which were assessed using three-level meta-analytic models. This study is registered with the National Collaborating Centre for Methods and Tools, review 473.\nFINDINGS: We screened 16 696 records at the title and abstract level, appraised 832 (5·0%) full texts, and initially included 73 (0·4%) studies. Of these, we excluded five (7%) studies because of critical risk of bias, leaving 68 (93%) studies that were extracted for analysis. For infections caused by any SARS-CoV-2 strain, vaccine effectiveness for the primary series reduced from 83% (95% CI 80-86) at baseline (14-42 days) to 62% (53-69) by 112-139 days. Vaccine effectiveness at baseline was 92% (88-94) for hospitalisations and 91% (85-95) for mortality, and reduced to 79% (65-87) at 224-251 days for hospitalisations and 86% (73-93) at 168-195 days for mortality. Estimated vaccine effectiveness was lower for the omicron variant for infections, hospitalisations, and mortality at baseline compared with that of other variants, but subsequent reductions occurred at a similar rate across variants. For booster doses, which covered mostly omicron studies, vaccine effectiveness at baseline was 70% (56-80) against infections and 89% (82-93) against hospitalisations, and reduced to 43% (14-62) against infections and 71% (51-83) against hospitalisations at 112 days or later. Not enough studies were available to report on booster vaccine effectiveness against mortality.\nINTERPRETATION: Our analyses indicate that vaccine effectiveness generally decreases over time against SARS-CoV-2 infections, hospitalisations, and mortality. The baseline vaccine effectiveness levels for the omicron variant were notably lower than for other variants. Therefore, other preventive measures (eg, face-mask wearing and physical distancing) might be necessary to manage the pandemic in the long term.\nFUNDING: Canadian Institutes of Health Research and the Public Health Agency of Canada.","container-title":"The Lancet. Respiratory Medicine","DOI":"10.1016/S2213-2600(23)00015-2","ISSN":"2213-2619","issue":"5","journalAbbreviation":"Lancet Respir Med","language":"eng","note":"PMID: 36780914\nPMCID: PMC9917454","page":"439-452","source":"PubMed","title":"Long-term effectiveness of COVID-19 vaccines against infections, hospitalisations, and mortality in adults: findings from a rapid living systematic evidence synthesis and meta-analysis up to December, 2022","title-short":"Long-term effectiveness of COVID-19 vaccines against infections, hospitalisations, and mortality in adults","volume":"11","author":[{"family":"Wu","given":"Nana"},{"family":"Joyal-Desmarais","given":"Keven"},{"family":"Ribeiro","given":"Paula A. B."},{"family":"Vieira","given":"Ariany Marques"},{"family":"Stojanovic","given":"Jovana"},{"family":"Sanuade","given":"Comfort"},{"family":"Yip","given":"Doro"},{"family":"Bacon","given":"Simon L."}],"issued":{"date-parts":[["2023",5]]}}}],"schema":"https://github.com/citation-style-language/schema/raw/master/csl-citation.json"} </w:instrText>
      </w:r>
      <w:r w:rsidR="000C5051" w:rsidRPr="00D0236F">
        <w:rPr>
          <w:rFonts w:eastAsiaTheme="minorEastAsia"/>
          <w:sz w:val="22"/>
          <w:szCs w:val="22"/>
          <w:lang w:eastAsia="zh-CN"/>
        </w:rPr>
        <w:fldChar w:fldCharType="separate"/>
      </w:r>
      <w:r w:rsidR="000C5051" w:rsidRPr="00D0236F">
        <w:rPr>
          <w:rFonts w:eastAsiaTheme="minorEastAsia"/>
          <w:noProof/>
          <w:sz w:val="22"/>
          <w:szCs w:val="22"/>
          <w:lang w:eastAsia="zh-CN"/>
        </w:rPr>
        <w:t>[4]</w:t>
      </w:r>
      <w:r w:rsidR="000C5051" w:rsidRPr="00D0236F">
        <w:rPr>
          <w:rFonts w:eastAsiaTheme="minorEastAsia"/>
          <w:sz w:val="22"/>
          <w:szCs w:val="22"/>
          <w:lang w:eastAsia="zh-CN"/>
        </w:rPr>
        <w:fldChar w:fldCharType="end"/>
      </w:r>
      <w:r w:rsidR="005C5BA9" w:rsidRPr="00D0236F">
        <w:rPr>
          <w:rFonts w:eastAsiaTheme="minorEastAsia"/>
          <w:sz w:val="22"/>
          <w:szCs w:val="22"/>
          <w:lang w:eastAsia="ko-KR"/>
        </w:rPr>
        <w:t xml:space="preserve">. </w:t>
      </w:r>
      <w:commentRangeStart w:id="1"/>
      <w:commentRangeEnd w:id="1"/>
      <w:r w:rsidR="005C5BA9" w:rsidRPr="00D0236F">
        <w:rPr>
          <w:rStyle w:val="CommentReference"/>
          <w:sz w:val="22"/>
          <w:szCs w:val="22"/>
        </w:rPr>
        <w:commentReference w:id="1"/>
      </w:r>
      <w:r w:rsidR="005C5BA9" w:rsidRPr="00D0236F">
        <w:rPr>
          <w:rFonts w:eastAsiaTheme="minorEastAsia"/>
          <w:sz w:val="22"/>
          <w:szCs w:val="22"/>
          <w:lang w:eastAsia="ko-KR"/>
        </w:rPr>
        <w:t xml:space="preserve">Moreover, </w:t>
      </w:r>
      <w:r w:rsidR="00D3651D" w:rsidRPr="00D0236F">
        <w:rPr>
          <w:rFonts w:eastAsiaTheme="minorEastAsia"/>
          <w:sz w:val="22"/>
          <w:szCs w:val="22"/>
          <w:lang w:eastAsia="ko-KR"/>
        </w:rPr>
        <w:t>estimating the magnitude and durability of this protection in the population has become a challenge because of the surge in the omicron (B.1.1.529) variant</w:t>
      </w:r>
      <w:r w:rsidR="002F0C3B" w:rsidRPr="00D0236F">
        <w:rPr>
          <w:rFonts w:eastAsiaTheme="minorEastAsia"/>
          <w:sz w:val="22"/>
          <w:szCs w:val="22"/>
          <w:lang w:eastAsia="ko-KR"/>
        </w:rPr>
        <w:t xml:space="preserve">, </w:t>
      </w:r>
      <w:r w:rsidR="00D3651D" w:rsidRPr="00D0236F">
        <w:rPr>
          <w:rFonts w:eastAsiaTheme="minorEastAsia"/>
          <w:sz w:val="22"/>
          <w:szCs w:val="22"/>
          <w:lang w:eastAsia="ko-KR"/>
        </w:rPr>
        <w:t>which has resulted in many individuals with hybrid immunity (immunity developed through a combination of SARS-CoV-2 infection and vaccination), varying rates and timings of past infection and vaccination, multiple types of vaccination and numbers of doses, and variants of concern that can escape pre-existing immunity</w:t>
      </w:r>
      <w:r w:rsidR="00221611" w:rsidRPr="00D0236F">
        <w:rPr>
          <w:rFonts w:eastAsiaTheme="minorEastAsia"/>
          <w:sz w:val="22"/>
          <w:szCs w:val="22"/>
          <w:lang w:eastAsia="ko-KR"/>
        </w:rPr>
        <w:t xml:space="preserve"> </w:t>
      </w:r>
      <w:r w:rsidR="00221611" w:rsidRPr="00D0236F">
        <w:rPr>
          <w:rFonts w:eastAsiaTheme="minorEastAsia"/>
          <w:sz w:val="22"/>
          <w:szCs w:val="22"/>
          <w:lang w:eastAsia="ko-KR"/>
        </w:rPr>
        <w:fldChar w:fldCharType="begin"/>
      </w:r>
      <w:r w:rsidR="000C5051" w:rsidRPr="00D0236F">
        <w:rPr>
          <w:rFonts w:eastAsiaTheme="minorEastAsia"/>
          <w:sz w:val="22"/>
          <w:szCs w:val="22"/>
          <w:lang w:eastAsia="ko-KR"/>
        </w:rPr>
        <w:instrText xml:space="preserve"> ADDIN ZOTERO_ITEM CSL_CITATION {"citationID":"ayzyUu1F","properties":{"formattedCitation":"[5]","plainCitation":"[5]","noteIndex":0},"citationItems":[{"id":13,"uris":["http://zotero.org/users/14790911/items/R4VRRYXQ"],"itemData":{"id":13,"type":"article-journal","abstract":"Background\nA rapid increase in coronavirus disease 2019 (Covid-19) cases due to the omicron (B.1.1.529) variant of severe acute respiratory syndrome coronavirus 2 in highly vaccinated populations has aroused concerns about the effectiveness of current vaccines.\n\nMethods\nWe used a test-negative case–control design to estimate vaccine effectiveness against symptomatic disease caused by the omicron and delta (B.1.617.2) variants in England. Vaccine effectiveness was calculated after primary immunization with two doses of BNT162b2 (Pfizer–BioNTech), ChAdOx1 nCoV-19 (AstraZeneca), or mRNA-1273 (Moderna) vaccine and after a booster dose of BNT162b2, ChAdOx1 nCoV-19, or mRNA-1273.\n\nResults\nBetween November 27, 2021, and January 12, 2022, a total of 886,774 eligible persons infected with the omicron variant, 204,154 eligible persons infected with the delta variant, and 1,572,621 eligible test-negative controls were identified. At all time points investigated and for all combinations of primary course and booster vaccines, vaccine effectiveness against symptomatic disease was higher for the delta variant than for the omicron variant. No effect against the omicron variant was noted from 20 weeks after two ChAdOx1 nCoV-19 doses, whereas vaccine effectiveness after two BNT162b2 doses was 65.5% (95% confidence interval [CI], 63.9 to 67.0) at 2 to 4 weeks, dropping to 8.8% (95% CI, 7.0 to 10.5) at 25 or more weeks. Among ChAdOx1 nCoV-19 primary course recipients, vaccine effectiveness increased to 62.4% (95% CI, 61.8 to 63.0) at 2 to 4 weeks after a BNT162b2 booster before decreasing to 39.6% (95% CI, 38.0 to 41.1) at 10 or more weeks. Among BNT162b2 primary course recipients, vaccine effectiveness increased to 67.2% (95% CI, 66.5 to 67.8) at 2 to 4 weeks after a BNT162b2 booster before declining to 45.7% (95% CI, 44.7 to 46.7) at 10 or more weeks. Vaccine effectiveness after a ChAdOx1 nCoV-19 primary course increased to 70.1% (95% CI, 69.5 to 70.7) at 2 to 4 weeks after an mRNA-1273 booster and decreased to 60.9% (95% CI, 59.7 to 62.1) at 5 to 9 weeks. After a BNT162b2 primary course, the mRNA-1273 booster increased vaccine effectiveness to 73.9% (95% CI, 73.1 to 74.6) at 2 to 4 weeks; vaccine effectiveness fell to 64.4% (95% CI, 62.6 to 66.1) at 5 to 9 weeks.\n\nConclusions\nPrimary immunization with two doses of ChAdOx1 nCoV-19 or BNT162b2 vaccine provided limited protection against symptomatic disease caused by the omicron variant. A BNT162b2 or mRNA-1273 booster after either the ChAdOx1 nCoV-19 or BNT162b2 primary course substantially increased protection, but that protection waned over time. (Funded by the U.K. Health Security Agency.)","container-title":"The New England Journal of Medicine","DOI":"10.1056/NEJMoa2119451","ISSN":"0028-4793","journalAbbreviation":"N Engl J Med","note":"PMID: 35249272\nPMCID: PMC8908811","page":"NEJMoa2119451","source":"PubMed Central","title":"Covid-19 Vaccine Effectiveness against the Omicron (B.1.1.529) Variant","author":[{"family":"Andrews","given":"Nick"},{"family":"Stowe","given":"Julia"},{"family":"Kirsebom","given":"Freja"},{"family":"Toffa","given":"Samuel"},{"family":"Rickeard","given":"Tim"},{"family":"Gallagher","given":"Eileen"},{"family":"Gower","given":"Charlotte"},{"family":"Kall","given":"Meaghan"},{"family":"Groves","given":"Natalie"},{"family":"O’Connell","given":"Anne-Marie"},{"family":"Simons","given":"David"},{"family":"Blomquist","given":"Paula B."},{"family":"Zaidi","given":"Asad"},{"family":"Nash","given":"Sophie"},{"family":"Iwani Binti Abdul Aziz","given":"Nurin"},{"family":"Thelwall","given":"Simon"},{"family":"Dabrera","given":"Gavin"},{"family":"Myers","given":"Richard"},{"family":"Amirthalingam","given":"Gayatri"},{"family":"Gharbia","given":"Saheer"},{"family":"Barrett","given":"Jeffrey C."},{"family":"Elson","given":"Richard"},{"family":"Ladhani","given":"Shamez N."},{"family":"Ferguson","given":"Neil"},{"family":"Zambon","given":"Maria"},{"family":"Campbell","given":"Colin N.J."},{"family":"Brown","given":"Kevin"},{"family":"Hopkins","given":"Susan"},{"family":"Chand","given":"Meera"},{"family":"Ramsay","given":"Mary"},{"family":"Lopez Bernal","given":"Jamie"}],"issued":{"date-parts":[["2022",3,2]]}}}],"schema":"https://github.com/citation-style-language/schema/raw/master/csl-citation.json"} </w:instrText>
      </w:r>
      <w:r w:rsidR="00221611" w:rsidRPr="00D0236F">
        <w:rPr>
          <w:rFonts w:eastAsiaTheme="minorEastAsia"/>
          <w:sz w:val="22"/>
          <w:szCs w:val="22"/>
          <w:lang w:eastAsia="ko-KR"/>
        </w:rPr>
        <w:fldChar w:fldCharType="separate"/>
      </w:r>
      <w:r w:rsidR="000C5051" w:rsidRPr="00D0236F">
        <w:rPr>
          <w:rFonts w:eastAsiaTheme="minorEastAsia"/>
          <w:noProof/>
          <w:sz w:val="22"/>
          <w:szCs w:val="22"/>
          <w:lang w:eastAsia="ko-KR"/>
        </w:rPr>
        <w:t>[5]</w:t>
      </w:r>
      <w:r w:rsidR="00221611" w:rsidRPr="00D0236F">
        <w:rPr>
          <w:rFonts w:eastAsiaTheme="minorEastAsia"/>
          <w:sz w:val="22"/>
          <w:szCs w:val="22"/>
          <w:lang w:eastAsia="ko-KR"/>
        </w:rPr>
        <w:fldChar w:fldCharType="end"/>
      </w:r>
      <w:r w:rsidR="00D3651D" w:rsidRPr="00D0236F">
        <w:rPr>
          <w:rFonts w:eastAsiaTheme="minorEastAsia"/>
          <w:sz w:val="22"/>
          <w:szCs w:val="22"/>
          <w:lang w:eastAsia="ko-KR"/>
        </w:rPr>
        <w:t>.</w:t>
      </w:r>
      <w:r w:rsidR="002F0C3B" w:rsidRPr="00D0236F">
        <w:rPr>
          <w:rFonts w:eastAsiaTheme="minorEastAsia"/>
          <w:sz w:val="22"/>
          <w:szCs w:val="22"/>
          <w:lang w:eastAsia="ko-KR"/>
        </w:rPr>
        <w:t xml:space="preserve"> </w:t>
      </w:r>
      <w:r w:rsidR="00D3651D" w:rsidRPr="00D0236F">
        <w:rPr>
          <w:rFonts w:eastAsiaTheme="minorEastAsia"/>
          <w:sz w:val="22"/>
          <w:szCs w:val="22"/>
          <w:lang w:eastAsia="ko-KR"/>
        </w:rPr>
        <w:t xml:space="preserve"> Moreover, m</w:t>
      </w:r>
      <w:r w:rsidR="00D3651D" w:rsidRPr="00D0236F">
        <w:rPr>
          <w:rFonts w:eastAsiaTheme="minorEastAsia"/>
          <w:color w:val="000000"/>
          <w:sz w:val="22"/>
          <w:szCs w:val="22"/>
        </w:rPr>
        <w:t xml:space="preserve">ost </w:t>
      </w:r>
      <w:r w:rsidR="00D3651D" w:rsidRPr="00D0236F">
        <w:rPr>
          <w:rFonts w:eastAsiaTheme="minorEastAsia"/>
          <w:color w:val="000000"/>
          <w:sz w:val="22"/>
          <w:szCs w:val="22"/>
          <w:lang w:eastAsia="ko-KR"/>
        </w:rPr>
        <w:t xml:space="preserve">existing </w:t>
      </w:r>
      <w:proofErr w:type="spellStart"/>
      <w:r w:rsidR="00D3651D" w:rsidRPr="00D0236F">
        <w:rPr>
          <w:rFonts w:eastAsiaTheme="minorEastAsia"/>
          <w:color w:val="000000"/>
          <w:sz w:val="22"/>
          <w:szCs w:val="22"/>
        </w:rPr>
        <w:t>seroepidemiological</w:t>
      </w:r>
      <w:proofErr w:type="spellEnd"/>
      <w:r w:rsidR="00D3651D" w:rsidRPr="00D0236F">
        <w:rPr>
          <w:rFonts w:eastAsiaTheme="minorEastAsia"/>
          <w:color w:val="000000"/>
          <w:sz w:val="22"/>
          <w:szCs w:val="22"/>
        </w:rPr>
        <w:t xml:space="preserve"> studies have focused</w:t>
      </w:r>
      <w:r w:rsidR="00D3651D" w:rsidRPr="00D0236F">
        <w:rPr>
          <w:rFonts w:eastAsiaTheme="minorEastAsia"/>
          <w:color w:val="000000"/>
          <w:sz w:val="22"/>
          <w:szCs w:val="22"/>
          <w:lang w:eastAsia="ko-KR"/>
        </w:rPr>
        <w:t xml:space="preserve"> </w:t>
      </w:r>
      <w:r w:rsidR="00D3651D" w:rsidRPr="00D0236F">
        <w:rPr>
          <w:rFonts w:eastAsiaTheme="minorEastAsia"/>
          <w:color w:val="000000"/>
          <w:sz w:val="22"/>
          <w:szCs w:val="22"/>
        </w:rPr>
        <w:t>on specific groups (e.g., healthcare workers</w:t>
      </w:r>
      <w:r w:rsidR="001A568B" w:rsidRPr="00D0236F">
        <w:rPr>
          <w:rFonts w:eastAsiaTheme="minorEastAsia"/>
          <w:color w:val="000000"/>
          <w:sz w:val="22"/>
          <w:szCs w:val="22"/>
          <w:lang w:eastAsia="ko-KR"/>
        </w:rPr>
        <w:t xml:space="preserve"> </w:t>
      </w:r>
      <w:r w:rsidR="001A568B" w:rsidRPr="00D0236F">
        <w:rPr>
          <w:color w:val="222222"/>
          <w:sz w:val="22"/>
          <w:szCs w:val="22"/>
          <w:shd w:val="clear" w:color="auto" w:fill="FFFFFF"/>
        </w:rPr>
        <w:t xml:space="preserve">or specific high-risk immune-suppressed </w:t>
      </w:r>
      <w:commentRangeStart w:id="2"/>
      <w:r w:rsidR="001A568B" w:rsidRPr="00D0236F">
        <w:rPr>
          <w:color w:val="222222"/>
          <w:sz w:val="22"/>
          <w:szCs w:val="22"/>
          <w:shd w:val="clear" w:color="auto" w:fill="FFFFFF"/>
        </w:rPr>
        <w:t>patients</w:t>
      </w:r>
      <w:commentRangeEnd w:id="2"/>
      <w:r w:rsidR="001A568B" w:rsidRPr="00D0236F">
        <w:rPr>
          <w:rStyle w:val="CommentReference"/>
          <w:sz w:val="22"/>
          <w:szCs w:val="22"/>
        </w:rPr>
        <w:commentReference w:id="2"/>
      </w:r>
      <w:r w:rsidR="000C5051" w:rsidRPr="00D0236F">
        <w:rPr>
          <w:color w:val="222222"/>
          <w:sz w:val="22"/>
          <w:szCs w:val="22"/>
          <w:shd w:val="clear" w:color="auto" w:fill="FFFFFF"/>
          <w:lang w:eastAsia="zh-CN"/>
        </w:rPr>
        <w:t xml:space="preserve"> </w:t>
      </w:r>
      <w:r w:rsidR="000C5051" w:rsidRPr="00D0236F">
        <w:rPr>
          <w:color w:val="222222"/>
          <w:sz w:val="22"/>
          <w:szCs w:val="22"/>
          <w:shd w:val="clear" w:color="auto" w:fill="FFFFFF"/>
          <w:lang w:eastAsia="zh-CN"/>
        </w:rPr>
        <w:fldChar w:fldCharType="begin"/>
      </w:r>
      <w:r w:rsidR="000C5051" w:rsidRPr="00D0236F">
        <w:rPr>
          <w:color w:val="222222"/>
          <w:sz w:val="22"/>
          <w:szCs w:val="22"/>
          <w:shd w:val="clear" w:color="auto" w:fill="FFFFFF"/>
          <w:lang w:eastAsia="zh-CN"/>
        </w:rPr>
        <w:instrText xml:space="preserve"> ADDIN ZOTERO_ITEM CSL_CITATION {"citationID":"aTnpQBN3","properties":{"formattedCitation":"[6]","plainCitation":"[6]","noteIndex":0},"citationItems":[{"id":88,"uris":["http://zotero.org/users/14790911/items/VFK5QP95"],"itemData":{"id":88,"type":"article-journal","abstract":"BACKGROUND: Several SARS-CoV-2 variants of concern have been identified that partly escape serum neutralisation elicited by current vaccines. Studies have also shown that vaccines demonstrate reduced protection against symptomatic infection with SARS-CoV-2 variants. We explored whether in-vitro neutralisation titres remain predictive of vaccine protection from infection with SARS-CoV-2 variants.\nMETHODS: In this meta-analysis, we analysed published data from 24 identified studies on in-vitro neutralisation and clinical protection to understand the loss of neutralisation to existing SARS-CoV-2 variants of concern. We integrated the results of this analysis into our existing statistical model relating in-vitro neutralisation to protection (parameterised on data from ancestral virus infection) to estimate vaccine efficacy against SARS-CoV-2 variants. We also analysed data on boosting of vaccine responses and use the model to predict the impact of booster vaccination on protection against SARS-CoV-2 variants.\nFINDINGS: The neutralising activity against the ancestral SARS-CoV-2 was highly predictive of neutralisation of variants of concern. Decreases in neutralisation titre to the alpha (1·6-fold), beta (8·8-fold), gamma (3·5-fold), and delta (3·9-fold) variants (compared to the ancestral virus) were not significantly different between different vaccines. Neutralisation remained strongly correlated with protection from symptomatic infection with SARS-CoV-2 variants of concern (r S=0·81, p=0·0005) and the existing model remained predictive of vaccine efficacy against variants of concern once decreases in neutralisation to the variants of concern were incorporated. Modelling of predicted vaccine efficacy against variants over time suggested that protection against symptomatic infection might decrease below 50% within the first year after vaccination for some vaccines. Boosting of previously infected individuals with existing vaccines (which target ancestral virus) is predicted to provide a higher degree of protection from infection with variants of concern than primary vaccination schedules alone.\nINTERPRETATION: In-vitro neutralisation titres remain a correlate of protection from SARS-CoV-2 variants and modelling of the effects of waning immunity predicts a loss of protection to the variants after vaccination. However, booster vaccination with current vaccines should enable higher neutralisation to SARS-CoV-2 variants than is achieved with primary vaccination, which is predicted to provide robust protection from severe infection outcomes with the current SARS-CoV-2 variants of concern, at least in the medium term.\nFUNDING: The National Health and Medical Research Council (Australia), the Medical Research Future Fund (Australia), and the Victorian Government.","container-title":"The Lancet. Microbe","DOI":"10.1016/S2666-5247(21)00267-6","ISSN":"2666-5247","issue":"1","journalAbbreviation":"Lancet Microbe","language":"eng","note":"PMID: 34806056\nPMCID: PMC8592563","page":"e52-e61","source":"PubMed","title":"Neutralising antibody titres as predictors of protection against SARS-CoV-2 variants and the impact of boosting: a meta-analysis","title-short":"Neutralising antibody titres as predictors of protection against SARS-CoV-2 variants and the impact of boosting","volume":"3","author":[{"family":"Cromer","given":"Deborah"},{"family":"Steain","given":"Megan"},{"family":"Reynaldi","given":"Arnold"},{"family":"Schlub","given":"Timothy E."},{"family":"Wheatley","given":"Adam K."},{"family":"Juno","given":"Jennifer A."},{"family":"Kent","given":"Stephen J."},{"family":"Triccas","given":"James A."},{"family":"Khoury","given":"David S."},{"family":"Davenport","given":"Miles P."}],"issued":{"date-parts":[["2022",1]]}}}],"schema":"https://github.com/citation-style-language/schema/raw/master/csl-citation.json"} </w:instrText>
      </w:r>
      <w:r w:rsidR="000C5051" w:rsidRPr="00D0236F">
        <w:rPr>
          <w:color w:val="222222"/>
          <w:sz w:val="22"/>
          <w:szCs w:val="22"/>
          <w:shd w:val="clear" w:color="auto" w:fill="FFFFFF"/>
          <w:lang w:eastAsia="zh-CN"/>
        </w:rPr>
        <w:fldChar w:fldCharType="separate"/>
      </w:r>
      <w:r w:rsidR="000C5051" w:rsidRPr="00D0236F">
        <w:rPr>
          <w:noProof/>
          <w:color w:val="222222"/>
          <w:sz w:val="22"/>
          <w:szCs w:val="22"/>
          <w:shd w:val="clear" w:color="auto" w:fill="FFFFFF"/>
          <w:lang w:eastAsia="zh-CN"/>
        </w:rPr>
        <w:t>[6]</w:t>
      </w:r>
      <w:r w:rsidR="000C5051" w:rsidRPr="00D0236F">
        <w:rPr>
          <w:color w:val="222222"/>
          <w:sz w:val="22"/>
          <w:szCs w:val="22"/>
          <w:shd w:val="clear" w:color="auto" w:fill="FFFFFF"/>
          <w:lang w:eastAsia="zh-CN"/>
        </w:rPr>
        <w:fldChar w:fldCharType="end"/>
      </w:r>
      <w:r w:rsidR="00D3651D" w:rsidRPr="00D0236F">
        <w:rPr>
          <w:rFonts w:eastAsiaTheme="minorEastAsia"/>
          <w:color w:val="000000"/>
          <w:sz w:val="22"/>
          <w:szCs w:val="22"/>
        </w:rPr>
        <w:t>)</w:t>
      </w:r>
      <w:r w:rsidR="002F0C3B" w:rsidRPr="00D0236F">
        <w:rPr>
          <w:rFonts w:eastAsiaTheme="minorEastAsia"/>
          <w:color w:val="000000"/>
          <w:sz w:val="22"/>
          <w:szCs w:val="22"/>
        </w:rPr>
        <w:t xml:space="preserve">, </w:t>
      </w:r>
      <w:r w:rsidR="00D3651D" w:rsidRPr="00D0236F">
        <w:rPr>
          <w:rFonts w:eastAsiaTheme="minorEastAsia"/>
          <w:color w:val="000000"/>
          <w:sz w:val="22"/>
          <w:szCs w:val="22"/>
          <w:lang w:eastAsia="ko-KR"/>
        </w:rPr>
        <w:t>and the</w:t>
      </w:r>
      <w:r w:rsidR="00D3651D" w:rsidRPr="00D0236F">
        <w:rPr>
          <w:rFonts w:eastAsiaTheme="minorEastAsia"/>
          <w:color w:val="000000"/>
          <w:sz w:val="22"/>
          <w:szCs w:val="22"/>
        </w:rPr>
        <w:t xml:space="preserve"> durability of antibody responses after infection</w:t>
      </w:r>
      <w:r w:rsidR="00D3651D" w:rsidRPr="00D0236F">
        <w:rPr>
          <w:rFonts w:eastAsiaTheme="minorEastAsia"/>
          <w:color w:val="000000"/>
          <w:sz w:val="22"/>
          <w:szCs w:val="22"/>
          <w:lang w:eastAsia="ko-KR"/>
        </w:rPr>
        <w:t xml:space="preserve"> </w:t>
      </w:r>
      <w:r w:rsidR="00D3651D" w:rsidRPr="00D0236F">
        <w:rPr>
          <w:rFonts w:eastAsiaTheme="minorEastAsia"/>
          <w:color w:val="000000"/>
          <w:sz w:val="22"/>
          <w:szCs w:val="22"/>
        </w:rPr>
        <w:t>and/or vaccination is less well explored within the general</w:t>
      </w:r>
      <w:r w:rsidR="00D3651D" w:rsidRPr="00D0236F">
        <w:rPr>
          <w:rFonts w:eastAsiaTheme="minorEastAsia"/>
          <w:color w:val="000000"/>
          <w:sz w:val="22"/>
          <w:szCs w:val="22"/>
          <w:lang w:eastAsia="ko-KR"/>
        </w:rPr>
        <w:t xml:space="preserve"> </w:t>
      </w:r>
      <w:r w:rsidR="00D3651D" w:rsidRPr="00D0236F">
        <w:rPr>
          <w:rFonts w:eastAsiaTheme="minorEastAsia"/>
          <w:color w:val="000000"/>
          <w:sz w:val="22"/>
          <w:szCs w:val="22"/>
        </w:rPr>
        <w:t xml:space="preserve">population </w:t>
      </w:r>
      <w:r w:rsidR="000C5051" w:rsidRPr="00D0236F">
        <w:rPr>
          <w:rFonts w:eastAsiaTheme="minorEastAsia"/>
          <w:color w:val="000000"/>
          <w:sz w:val="22"/>
          <w:szCs w:val="22"/>
        </w:rPr>
        <w:fldChar w:fldCharType="begin"/>
      </w:r>
      <w:r w:rsidR="000C5051" w:rsidRPr="00D0236F">
        <w:rPr>
          <w:rFonts w:eastAsiaTheme="minorEastAsia"/>
          <w:color w:val="000000"/>
          <w:sz w:val="22"/>
          <w:szCs w:val="22"/>
        </w:rPr>
        <w:instrText xml:space="preserve"> ADDIN ZOTERO_ITEM CSL_CITATION {"citationID":"p8mZPPcG","properties":{"formattedCitation":"[7]","plainCitation":"[7]","noteIndex":0},"citationItems":[{"id":91,"uris":["http://zotero.org/users/14790911/items/YIM87INT"],"itemData":{"id":91,"type":"article-journal","abstract":"Population antibody surveillance helps track immune responses to COVID-19 vaccinations at scale, and identify host factors that may affect antibody production. We analyse data from 212,102 vaccinated individuals within the REACT-2 programme in England, which uses self-administered lateral flow antibody tests in sequential cross-sectional community samples; 71,923 (33.9%) received at least one dose of BNT162b2 vaccine and 139,067 (65.6%) received ChAdOx1. For both vaccines, antibody positivity peaks 4-5 weeks after first dose and then declines. At least 21 days after second dose of BNT162b2, close to 100% of respondents test positive, while for ChAdOx1, this is significantly reduced, particularly in the oldest age groups (72.7% [70.9-74.4] at ages 75 years and above). For both vaccines, antibody positivity decreases with age, and is higher in females and those with previous infection. Antibody positivity is lower in transplant recipients, obese individuals, smokers and those with specific comorbidities. These groups will benefit from additional vaccine doses.","container-title":"Nature Communications","DOI":"10.1038/s41467-022-28527-x","ISSN":"2041-1723","issue":"1","journalAbbreviation":"Nat Commun","language":"eng","note":"PMID: 35173150\nPMCID: PMC8850615","page":"907","source":"PubMed","title":"Population antibody responses following COVID-19 vaccination in 212,102 individuals","volume":"13","author":[{"family":"Ward","given":"Helen"},{"family":"Whitaker","given":"Matthew"},{"family":"Flower","given":"Barnaby"},{"family":"Tang","given":"Sonja N."},{"family":"Atchison","given":"Christina"},{"family":"Darzi","given":"Ara"},{"family":"Donnelly","given":"Christl A."},{"family":"Cann","given":"Alexandra"},{"family":"Diggle","given":"Peter J."},{"family":"Ashby","given":"Deborah"},{"family":"Riley","given":"Steven"},{"family":"Barclay","given":"Wendy S."},{"family":"Elliott","given":"Paul"},{"family":"Cooke","given":"Graham S."}],"issued":{"date-parts":[["2022",2,16]]}}}],"schema":"https://github.com/citation-style-language/schema/raw/master/csl-citation.json"} </w:instrText>
      </w:r>
      <w:r w:rsidR="000C5051" w:rsidRPr="00D0236F">
        <w:rPr>
          <w:rFonts w:eastAsiaTheme="minorEastAsia"/>
          <w:color w:val="000000"/>
          <w:sz w:val="22"/>
          <w:szCs w:val="22"/>
        </w:rPr>
        <w:fldChar w:fldCharType="separate"/>
      </w:r>
      <w:r w:rsidR="000C5051" w:rsidRPr="00D0236F">
        <w:rPr>
          <w:rFonts w:eastAsiaTheme="minorEastAsia"/>
          <w:noProof/>
          <w:color w:val="000000"/>
          <w:sz w:val="22"/>
          <w:szCs w:val="22"/>
        </w:rPr>
        <w:t>[7]</w:t>
      </w:r>
      <w:r w:rsidR="000C5051" w:rsidRPr="00D0236F">
        <w:rPr>
          <w:rFonts w:eastAsiaTheme="minorEastAsia"/>
          <w:color w:val="000000"/>
          <w:sz w:val="22"/>
          <w:szCs w:val="22"/>
        </w:rPr>
        <w:fldChar w:fldCharType="end"/>
      </w:r>
      <w:r w:rsidR="000C5051" w:rsidRPr="00D0236F">
        <w:rPr>
          <w:rFonts w:eastAsiaTheme="minorEastAsia"/>
          <w:color w:val="000000"/>
          <w:sz w:val="22"/>
          <w:szCs w:val="22"/>
        </w:rPr>
        <w:fldChar w:fldCharType="begin"/>
      </w:r>
      <w:r w:rsidR="000C5051" w:rsidRPr="00D0236F">
        <w:rPr>
          <w:rFonts w:eastAsiaTheme="minorEastAsia"/>
          <w:color w:val="000000"/>
          <w:sz w:val="22"/>
          <w:szCs w:val="22"/>
        </w:rPr>
        <w:instrText xml:space="preserve"> ADDIN ZOTERO_ITEM CSL_CITATION {"citationID":"BWfrzNqt","properties":{"formattedCitation":"[8]","plainCitation":"[8]","noteIndex":0},"citationItems":[{"id":94,"uris":["http://zotero.org/users/14790911/items/QSG6RKX8"],"itemData":{"id":94,"type":"article-journal","abstract":"Background\nTwo doses of mRNA vaccination have shown &gt;94% efficacy at preventing COVID-19 mostly in naïve adults, but it is not clear if the second dose is needed to maximize effectiveness in those previously exposed to SARS-CoV-2 and what other factors affect responsiveness.\n\nMethods\nWe measured IgA, IgG and IgM levels against SARS-CoV-2 spike (S) and nucleocapsid (N) antigens from the wild-type and S from the Alpha, Beta and Gamma variants of concern, after BNT162b2 (Pfizer/BioNTech) or mRNA-1273 (Moderna) vaccination in a cohort of health care workers (N=578). Neutralizing capacity and antibody avidity were evaluated. Data were analyzed in relation to COVID-19 history, comorbidities, vaccine doses, brand and adverse events.\n\nFindings\nVaccination induced robust IgA and IgG levels against all S antigens. Neutralization capacity and S IgA and IgG levels were higher in mRNA-1273 vaccinees, previously SARS-CoV-2 exposed, particularly if symptomatic, and in those experiencing systemic adverse effects (p&lt;0·05). A second dose in pre-exposed did not increase antibody levels. Smoking and comorbidities were associated with 43% (95% CI, 19-59) and 45% (95% CI, 63-18) lower neutralization, respectively, and 35% (95% CI, 3-57%) and 55% (95% CI, 33-70%) lower antibody levels, respectively. Among fully vaccinated, 6·3% breakthroughs were detected up to 189 days post-vaccination. Among pre-exposed non-vaccinated, 90% were IgG seropositive more than 300 days post-infection.\n\nInterpretation\nOur data support administering a single-dose in pre-exposed healthy individuals as primary vaccination. However, heterogeneity of responses suggests that personalized recommendations may be necessary depending on COVID-19 history and life-style. Higher mRNA-1273 immunogenicity would be beneficial for those expected to respond worse to vaccination and in face of variants that escape immunity such as Omicron. Persistence of antibody levels in pre-exposed unvaccinated indicates maintenance of immunity up to one year.\n\nFunding\nThis work was supported by Institut de Salut Global de Barcelona (ISGlobal) internal funds, in-kind contributions from Hospital Clínic de Barcelona, the Fundació Privada Daniel Bravo Andreu, and European Institute of Innovation and Technology (EIT) Health (grant number 20877), supported by the European Institute of Innovation and Technology, a body of the European Union receiving support from the H2020 Research and Innovation Programme. We acknowledge support from the Spanish Ministry of Science and Innovation and State Research Agency through the “Centro de Excelencia Severo Ochoa 2019-2023” Program (CEX2018-000806-S), and support from the Generalitat de Catalunya through the CERCA Program. L. I. work was supported by PID2019-110810RB-I00 grant from the Spanish Ministry of Science &amp; Innovation. Development of SARS-CoV-2 reagents was partially supported by the National Institute of Allergy and Infectious Diseases Centers of Excellence for Influenza Research and Surveillance (contract number HHSN272201400008C)., The funders had no role in study design, data collection and analysis, the decision to publish, or the preparation of the manuscript.","container-title":"EBioMedicine","DOI":"10.1016/j.ebiom.2021.103805","ISSN":"2352-3964","journalAbbreviation":"EBioMedicine","note":"PMID: 35032961\nPMCID: PMC8752368","page":"103805","source":"PubMed Central","title":"Determinants of early antibody responses to COVID-19 mRNA vaccines in a cohort of exposed and naïve healthcare workers","volume":"75","author":[{"family":"Moncunill","given":"Gemma"},{"family":"Aguilar","given":"Ruth"},{"family":"Ribes","given":"Marta"},{"family":"Ortega","given":"Natalia"},{"family":"Rubio","given":"Rocío"},{"family":"Salmerón","given":"Gemma"},{"family":"Molina","given":"María José"},{"family":"Vidal","given":"Marta"},{"family":"Barrios","given":"Diana"},{"family":"Mitchell","given":"Robert A."},{"family":"Jiménez","given":"Alfons"},{"family":"Castellana","given":"Cristina"},{"family":"Hernández-Luis","given":"Pablo"},{"family":"Rodó","given":"Pau"},{"family":"Méndez","given":"Susana"},{"family":"Llupià","given":"Anna"},{"family":"Puyol","given":"Laura"},{"family":"Rodrigo Melero","given":"Natalia"},{"family":"Carolis","given":"Carlo"},{"family":"Mayor","given":"Alfredo"},{"family":"Izquierdo","given":"Luis"},{"family":"Varela","given":"Pilar"},{"family":"Trilla","given":"Antoni"},{"family":"Vilella","given":"Anna"},{"family":"Barroso","given":"Sonia"},{"family":"Angulo","given":"Ana"},{"family":"Engel","given":"Pablo"},{"family":"Tortajada","given":"Marta"},{"family":"García-Basteiro","given":"Alberto L."},{"family":"Dobaño","given":"Carlota"}],"issued":{"date-parts":[["2022",1,12]]}}}],"schema":"https://github.com/citation-style-language/schema/raw/master/csl-citation.json"} </w:instrText>
      </w:r>
      <w:r w:rsidR="000C5051" w:rsidRPr="00D0236F">
        <w:rPr>
          <w:rFonts w:eastAsiaTheme="minorEastAsia"/>
          <w:color w:val="000000"/>
          <w:sz w:val="22"/>
          <w:szCs w:val="22"/>
        </w:rPr>
        <w:fldChar w:fldCharType="separate"/>
      </w:r>
      <w:r w:rsidR="000C5051" w:rsidRPr="00D0236F">
        <w:rPr>
          <w:rFonts w:eastAsiaTheme="minorEastAsia"/>
          <w:noProof/>
          <w:color w:val="000000"/>
          <w:sz w:val="22"/>
          <w:szCs w:val="22"/>
        </w:rPr>
        <w:t>[8]</w:t>
      </w:r>
      <w:r w:rsidR="000C5051" w:rsidRPr="00D0236F">
        <w:rPr>
          <w:rFonts w:eastAsiaTheme="minorEastAsia"/>
          <w:color w:val="000000"/>
          <w:sz w:val="22"/>
          <w:szCs w:val="22"/>
        </w:rPr>
        <w:fldChar w:fldCharType="end"/>
      </w:r>
      <w:r w:rsidR="000C5051" w:rsidRPr="00D0236F">
        <w:rPr>
          <w:rFonts w:eastAsiaTheme="minorEastAsia"/>
          <w:color w:val="000000"/>
          <w:sz w:val="22"/>
          <w:szCs w:val="22"/>
          <w:lang w:eastAsia="zh-CN"/>
        </w:rPr>
        <w:t>.</w:t>
      </w:r>
      <w:commentRangeStart w:id="3"/>
      <w:commentRangeEnd w:id="3"/>
      <w:r w:rsidRPr="00D0236F">
        <w:rPr>
          <w:rStyle w:val="CommentReference"/>
          <w:sz w:val="22"/>
          <w:szCs w:val="22"/>
        </w:rPr>
        <w:commentReference w:id="3"/>
      </w:r>
    </w:p>
    <w:p w14:paraId="601AFD97" w14:textId="77777777" w:rsidR="008A43BA" w:rsidRPr="00D0236F" w:rsidRDefault="008A43BA" w:rsidP="005B7F6E">
      <w:pPr>
        <w:pStyle w:val="BodyText"/>
        <w:kinsoku w:val="0"/>
        <w:overflowPunct w:val="0"/>
        <w:spacing w:line="360" w:lineRule="auto"/>
        <w:ind w:left="0"/>
        <w:jc w:val="both"/>
        <w:rPr>
          <w:rFonts w:eastAsiaTheme="minorEastAsia"/>
          <w:color w:val="000000"/>
          <w:sz w:val="22"/>
          <w:szCs w:val="22"/>
          <w:lang w:eastAsia="ko-KR"/>
        </w:rPr>
      </w:pPr>
    </w:p>
    <w:p w14:paraId="596689A7" w14:textId="02510F4C" w:rsidR="008A43BA" w:rsidRPr="00D0236F" w:rsidRDefault="00AD1CBC" w:rsidP="005B7F6E">
      <w:pPr>
        <w:pStyle w:val="BodyText"/>
        <w:kinsoku w:val="0"/>
        <w:overflowPunct w:val="0"/>
        <w:spacing w:line="360" w:lineRule="auto"/>
        <w:ind w:left="0"/>
        <w:jc w:val="both"/>
        <w:rPr>
          <w:rFonts w:eastAsiaTheme="minorEastAsia"/>
          <w:color w:val="000000"/>
          <w:sz w:val="22"/>
          <w:szCs w:val="22"/>
          <w:lang w:eastAsia="ko-KR"/>
        </w:rPr>
      </w:pPr>
      <w:r w:rsidRPr="00D0236F">
        <w:rPr>
          <w:color w:val="222222"/>
          <w:sz w:val="22"/>
          <w:szCs w:val="22"/>
          <w:shd w:val="clear" w:color="auto" w:fill="FFFFFF"/>
        </w:rPr>
        <w:t> Epidemiological studies show a benefit of hybrid immunity over vaccine- or infection-induced immunity</w:t>
      </w:r>
      <w:hyperlink r:id="rId13" w:anchor="ref-CR9" w:tooltip="Andeweg, S. P. et al. Protection of COVID-19 vaccination and previous infection against Omicron BA.1, BA.2 and Delta SARS-CoV-2 infections. Nat. Commun. 13, 4738. &#10;                  https://doi.org/10.1038/s41467-022-31838-8&#10;                  &#10;                " w:history="1">
        <w:r w:rsidRPr="00D0236F">
          <w:rPr>
            <w:rStyle w:val="Hyperlink"/>
            <w:rFonts w:eastAsiaTheme="majorEastAsia"/>
            <w:color w:val="006699"/>
            <w:sz w:val="22"/>
            <w:szCs w:val="22"/>
          </w:rPr>
          <w:t>9</w:t>
        </w:r>
      </w:hyperlink>
      <w:r w:rsidRPr="00D0236F">
        <w:rPr>
          <w:color w:val="222222"/>
          <w:sz w:val="22"/>
          <w:szCs w:val="22"/>
          <w:shd w:val="clear" w:color="auto" w:fill="FFFFFF"/>
          <w:vertAlign w:val="superscript"/>
        </w:rPr>
        <w:t>,</w:t>
      </w:r>
      <w:hyperlink r:id="rId14" w:anchor="ref-CR16" w:tooltip="Bobrovitz, N. et al. Protective effectiveness of prior SARS-CoV-2 infection and hybrid immunity against Omicron infection and severe disease: A systematic review and meta-regression. medRxiv &#10;                  https://doi.org/10.1101/2022.10.02.22280610&#10;      " w:history="1">
        <w:r w:rsidRPr="00D0236F">
          <w:rPr>
            <w:rStyle w:val="Hyperlink"/>
            <w:rFonts w:eastAsiaTheme="majorEastAsia"/>
            <w:color w:val="006699"/>
            <w:sz w:val="22"/>
            <w:szCs w:val="22"/>
          </w:rPr>
          <w:t>16</w:t>
        </w:r>
      </w:hyperlink>
      <w:r w:rsidRPr="00D0236F">
        <w:rPr>
          <w:color w:val="222222"/>
          <w:sz w:val="22"/>
          <w:szCs w:val="22"/>
          <w:shd w:val="clear" w:color="auto" w:fill="FFFFFF"/>
          <w:vertAlign w:val="superscript"/>
        </w:rPr>
        <w:t>,</w:t>
      </w:r>
      <w:hyperlink r:id="rId15" w:anchor="ref-CR17" w:tooltip="Goldberg, Y. et al. Protection and waning of natural and hybrid immunity to SARS-CoV-2. N. Engl. J. Med. 386, 2201–2212. &#10;                  https://doi.org/10.1056/NEJMoa2118946&#10;                  &#10;                 (2022)." w:history="1">
        <w:r w:rsidRPr="00D0236F">
          <w:rPr>
            <w:rStyle w:val="Hyperlink"/>
            <w:rFonts w:eastAsiaTheme="majorEastAsia"/>
            <w:color w:val="006699"/>
            <w:sz w:val="22"/>
            <w:szCs w:val="22"/>
          </w:rPr>
          <w:t>17</w:t>
        </w:r>
      </w:hyperlink>
      <w:r w:rsidRPr="00D0236F">
        <w:rPr>
          <w:color w:val="222222"/>
          <w:sz w:val="22"/>
          <w:szCs w:val="22"/>
          <w:shd w:val="clear" w:color="auto" w:fill="FFFFFF"/>
        </w:rPr>
        <w:t>. </w:t>
      </w:r>
    </w:p>
    <w:p w14:paraId="15302092" w14:textId="77777777" w:rsidR="006D271F" w:rsidRPr="00D0236F" w:rsidRDefault="006D271F" w:rsidP="006D271F">
      <w:pPr>
        <w:pStyle w:val="BodyText"/>
        <w:kinsoku w:val="0"/>
        <w:overflowPunct w:val="0"/>
        <w:spacing w:line="360" w:lineRule="auto"/>
        <w:ind w:left="0"/>
        <w:jc w:val="both"/>
        <w:rPr>
          <w:rFonts w:eastAsiaTheme="minorEastAsia"/>
          <w:color w:val="000000"/>
          <w:sz w:val="22"/>
          <w:szCs w:val="22"/>
          <w:lang w:eastAsia="ko-KR"/>
        </w:rPr>
      </w:pPr>
      <w:r w:rsidRPr="00D0236F">
        <w:rPr>
          <w:color w:val="222222"/>
          <w:sz w:val="22"/>
          <w:szCs w:val="22"/>
          <w:shd w:val="clear" w:color="auto" w:fill="FFFFFF"/>
        </w:rPr>
        <w:t>These findings are substantiated by immunological data showing high levels of antibodies and neutralization in vaccinated persons with a history of infection prior to vaccination</w:t>
      </w:r>
      <w:hyperlink r:id="rId16" w:anchor="ref-CR15" w:tooltip="van den Hoogen, L. L. et al. SARS-CoV-2 Spike S1-specific IgG kinetic profiles following mRNA or vector-based vaccination in the general Dutch population show distinct kinetics. Sci. Rep. 12, 5935. &#10;                  https://doi.org/10.1038/s41598-022-10020-6&#10;" w:history="1">
        <w:r w:rsidRPr="00D0236F">
          <w:rPr>
            <w:rStyle w:val="Hyperlink"/>
            <w:rFonts w:eastAsiaTheme="majorEastAsia"/>
            <w:color w:val="006699"/>
            <w:sz w:val="22"/>
            <w:szCs w:val="22"/>
          </w:rPr>
          <w:t>15</w:t>
        </w:r>
      </w:hyperlink>
      <w:r w:rsidRPr="00D0236F">
        <w:rPr>
          <w:color w:val="222222"/>
          <w:sz w:val="22"/>
          <w:szCs w:val="22"/>
          <w:shd w:val="clear" w:color="auto" w:fill="FFFFFF"/>
        </w:rPr>
        <w:t xml:space="preserve">. The level and duration of boosting by infections in vaccinated persons is largely unknown, as well as the factors influencing the </w:t>
      </w:r>
      <w:commentRangeStart w:id="4"/>
      <w:r w:rsidRPr="00D0236F">
        <w:rPr>
          <w:color w:val="222222"/>
          <w:sz w:val="22"/>
          <w:szCs w:val="22"/>
          <w:shd w:val="clear" w:color="auto" w:fill="FFFFFF"/>
        </w:rPr>
        <w:t>response</w:t>
      </w:r>
      <w:commentRangeEnd w:id="4"/>
      <w:r w:rsidRPr="00D0236F">
        <w:rPr>
          <w:rStyle w:val="CommentReference"/>
          <w:sz w:val="22"/>
          <w:szCs w:val="22"/>
        </w:rPr>
        <w:commentReference w:id="4"/>
      </w:r>
      <w:r w:rsidRPr="00D0236F">
        <w:rPr>
          <w:color w:val="222222"/>
          <w:sz w:val="22"/>
          <w:szCs w:val="22"/>
          <w:shd w:val="clear" w:color="auto" w:fill="FFFFFF"/>
        </w:rPr>
        <w:t>.</w:t>
      </w:r>
    </w:p>
    <w:p w14:paraId="1B4519DB" w14:textId="77777777" w:rsidR="008A43BA" w:rsidRPr="00D0236F" w:rsidRDefault="008A43BA" w:rsidP="005B7F6E">
      <w:pPr>
        <w:pStyle w:val="BodyText"/>
        <w:kinsoku w:val="0"/>
        <w:overflowPunct w:val="0"/>
        <w:spacing w:line="360" w:lineRule="auto"/>
        <w:ind w:left="0"/>
        <w:jc w:val="both"/>
        <w:rPr>
          <w:rFonts w:eastAsiaTheme="minorEastAsia"/>
          <w:color w:val="000000"/>
          <w:sz w:val="22"/>
          <w:szCs w:val="22"/>
          <w:lang w:eastAsia="ko-KR"/>
        </w:rPr>
      </w:pPr>
    </w:p>
    <w:p w14:paraId="712CF0CB" w14:textId="658650B6" w:rsidR="008A43BA" w:rsidRPr="00D0236F" w:rsidRDefault="008A43BA" w:rsidP="005B7F6E">
      <w:pPr>
        <w:pStyle w:val="BodyText"/>
        <w:kinsoku w:val="0"/>
        <w:overflowPunct w:val="0"/>
        <w:spacing w:line="360" w:lineRule="auto"/>
        <w:ind w:left="0"/>
        <w:jc w:val="both"/>
        <w:rPr>
          <w:rFonts w:eastAsiaTheme="minorEastAsia"/>
          <w:color w:val="3C4245"/>
          <w:sz w:val="22"/>
          <w:szCs w:val="22"/>
          <w:shd w:val="clear" w:color="auto" w:fill="FFFFFF"/>
          <w:lang w:eastAsia="ko-KR"/>
        </w:rPr>
      </w:pPr>
      <w:r w:rsidRPr="00D0236F">
        <w:rPr>
          <w:rFonts w:eastAsiaTheme="minorEastAsia"/>
          <w:color w:val="000000"/>
          <w:sz w:val="22"/>
          <w:szCs w:val="22"/>
          <w:lang w:eastAsia="ko-KR"/>
        </w:rPr>
        <w:t xml:space="preserve">Gaps-- </w:t>
      </w:r>
      <w:r w:rsidRPr="00D0236F">
        <w:rPr>
          <w:color w:val="3C4245"/>
          <w:sz w:val="22"/>
          <w:szCs w:val="22"/>
          <w:shd w:val="clear" w:color="auto" w:fill="FFFFFF"/>
        </w:rPr>
        <w:t xml:space="preserve">Waning of hybrid immunity, particularly due to Omicron infections is not yet characterized in magnitude or duration. More data are needed for a precise quantification of the immune protection from hybrid immunity compared with vaccine-induced immunity </w:t>
      </w:r>
      <w:proofErr w:type="spellStart"/>
      <w:r w:rsidRPr="00D0236F">
        <w:rPr>
          <w:color w:val="3C4245"/>
          <w:sz w:val="22"/>
          <w:szCs w:val="22"/>
          <w:shd w:val="clear" w:color="auto" w:fill="FFFFFF"/>
        </w:rPr>
        <w:t>normalised</w:t>
      </w:r>
      <w:proofErr w:type="spellEnd"/>
      <w:r w:rsidRPr="00D0236F">
        <w:rPr>
          <w:color w:val="3C4245"/>
          <w:sz w:val="22"/>
          <w:szCs w:val="22"/>
          <w:shd w:val="clear" w:color="auto" w:fill="FFFFFF"/>
        </w:rPr>
        <w:t xml:space="preserve"> for the same antigen </w:t>
      </w:r>
      <w:commentRangeStart w:id="5"/>
      <w:r w:rsidRPr="00D0236F">
        <w:rPr>
          <w:color w:val="3C4245"/>
          <w:sz w:val="22"/>
          <w:szCs w:val="22"/>
          <w:shd w:val="clear" w:color="auto" w:fill="FFFFFF"/>
        </w:rPr>
        <w:t>exposure.</w:t>
      </w:r>
      <w:commentRangeEnd w:id="5"/>
      <w:r w:rsidRPr="00D0236F">
        <w:rPr>
          <w:rStyle w:val="CommentReference"/>
          <w:sz w:val="22"/>
          <w:szCs w:val="22"/>
        </w:rPr>
        <w:commentReference w:id="5"/>
      </w:r>
    </w:p>
    <w:p w14:paraId="2DFFC1BE" w14:textId="17DA36A1" w:rsidR="006D271F" w:rsidRPr="00D0236F" w:rsidRDefault="00110837" w:rsidP="005B7F6E">
      <w:pPr>
        <w:pStyle w:val="BodyText"/>
        <w:kinsoku w:val="0"/>
        <w:overflowPunct w:val="0"/>
        <w:spacing w:line="360" w:lineRule="auto"/>
        <w:ind w:left="0"/>
        <w:jc w:val="both"/>
        <w:rPr>
          <w:rFonts w:eastAsiaTheme="minorEastAsia"/>
          <w:color w:val="3C4245"/>
          <w:sz w:val="22"/>
          <w:szCs w:val="22"/>
          <w:shd w:val="clear" w:color="auto" w:fill="FFFFFF"/>
          <w:lang w:eastAsia="ko-KR"/>
        </w:rPr>
      </w:pPr>
      <w:r w:rsidRPr="00D0236F">
        <w:rPr>
          <w:color w:val="222222"/>
          <w:sz w:val="22"/>
          <w:szCs w:val="22"/>
          <w:shd w:val="clear" w:color="auto" w:fill="FFFFFF"/>
        </w:rPr>
        <w:t xml:space="preserve">We argue that, rather than trying to tease apart the contributions of factors such as age, viral variants and time since vaccination, the rates of breakthrough infection are best seen as a consequence of the level of immunity at any moment in an individual, the variant to which that individual is exposed and the severity of disease being </w:t>
      </w:r>
      <w:commentRangeStart w:id="6"/>
      <w:r w:rsidRPr="00D0236F">
        <w:rPr>
          <w:color w:val="222222"/>
          <w:sz w:val="22"/>
          <w:szCs w:val="22"/>
          <w:shd w:val="clear" w:color="auto" w:fill="FFFFFF"/>
        </w:rPr>
        <w:lastRenderedPageBreak/>
        <w:t>considered</w:t>
      </w:r>
      <w:commentRangeEnd w:id="6"/>
      <w:r w:rsidRPr="00D0236F">
        <w:rPr>
          <w:rStyle w:val="CommentReference"/>
          <w:sz w:val="22"/>
          <w:szCs w:val="22"/>
        </w:rPr>
        <w:commentReference w:id="6"/>
      </w:r>
      <w:r w:rsidRPr="00D0236F">
        <w:rPr>
          <w:color w:val="222222"/>
          <w:sz w:val="22"/>
          <w:szCs w:val="22"/>
          <w:shd w:val="clear" w:color="auto" w:fill="FFFFFF"/>
        </w:rPr>
        <w:t>. We also address key open questions concerning the transition to endemicity, the potential need for altered vaccine formulations to track viral variants, the need to identify immune correlates of protection, and the public health challenges of using various tools to counter breakthrough infections, including boosters in an era of global vaccine shortages.</w:t>
      </w:r>
    </w:p>
    <w:p w14:paraId="7C6AD60A" w14:textId="77777777" w:rsidR="00D3651D" w:rsidRPr="00D0236F" w:rsidRDefault="00D3651D" w:rsidP="005B7F6E">
      <w:pPr>
        <w:widowControl/>
        <w:adjustRightInd w:val="0"/>
        <w:spacing w:line="360" w:lineRule="auto"/>
        <w:rPr>
          <w:rFonts w:eastAsiaTheme="minorEastAsia"/>
          <w:color w:val="000000"/>
        </w:rPr>
      </w:pPr>
    </w:p>
    <w:p w14:paraId="133D49C1" w14:textId="67ED0352" w:rsidR="00B102AA" w:rsidRPr="00D0236F" w:rsidRDefault="00D3651D" w:rsidP="005B7F6E">
      <w:pPr>
        <w:widowControl/>
        <w:adjustRightInd w:val="0"/>
        <w:spacing w:line="360" w:lineRule="auto"/>
        <w:jc w:val="both"/>
        <w:rPr>
          <w:rFonts w:eastAsiaTheme="minorEastAsia"/>
          <w:lang w:eastAsia="ko-KR"/>
        </w:rPr>
      </w:pPr>
      <w:r w:rsidRPr="00D0236F">
        <w:rPr>
          <w:rFonts w:eastAsiaTheme="minorEastAsia"/>
          <w:lang w:eastAsia="ko-KR"/>
        </w:rPr>
        <w:t>Systematic reviews of SARS-CoV-2 vaccine effectiveness studies estimated the durability of protection conferred by</w:t>
      </w:r>
      <w:r w:rsidR="00AB76A2" w:rsidRPr="00D0236F">
        <w:rPr>
          <w:rFonts w:eastAsiaTheme="minorEastAsia"/>
          <w:lang w:eastAsia="ko-KR"/>
        </w:rPr>
        <w:t xml:space="preserve"> previous infection combined with previous vaccination (i.e., hybrid immunity) </w:t>
      </w:r>
      <w:r w:rsidRPr="00D0236F">
        <w:rPr>
          <w:rFonts w:eastAsiaTheme="minorEastAsia"/>
          <w:lang w:eastAsia="ko-KR"/>
        </w:rPr>
        <w:t>and previous infection alone against multiple clinical outcomes of SARS-CoV-2 infection caused by the omicron variant</w:t>
      </w:r>
      <w:r w:rsidR="00221611" w:rsidRPr="00D0236F">
        <w:rPr>
          <w:rFonts w:eastAsiaTheme="minorEastAsia"/>
          <w:lang w:eastAsia="ko-KR"/>
        </w:rPr>
        <w:t xml:space="preserve"> </w:t>
      </w:r>
      <w:r w:rsidR="00856875" w:rsidRPr="00D0236F">
        <w:rPr>
          <w:rFonts w:eastAsiaTheme="minorEastAsia"/>
          <w:noProof/>
          <w:lang w:eastAsia="ko-KR"/>
        </w:rPr>
        <w:t>[4]</w:t>
      </w:r>
      <w:r w:rsidR="00856875" w:rsidRPr="00D0236F">
        <w:rPr>
          <w:rFonts w:eastAsiaTheme="minorEastAsia"/>
          <w:lang w:eastAsia="ko-KR"/>
        </w:rPr>
        <w:t xml:space="preserve"> </w:t>
      </w:r>
      <w:r w:rsidR="00221611" w:rsidRPr="00D0236F">
        <w:rPr>
          <w:rFonts w:eastAsiaTheme="minorEastAsia"/>
          <w:lang w:eastAsia="ko-KR"/>
        </w:rPr>
        <w:fldChar w:fldCharType="begin"/>
      </w:r>
      <w:r w:rsidR="000C5051" w:rsidRPr="00D0236F">
        <w:rPr>
          <w:rFonts w:eastAsiaTheme="minorEastAsia"/>
          <w:lang w:eastAsia="ko-KR"/>
        </w:rPr>
        <w:instrText xml:space="preserve"> ADDIN ZOTERO_ITEM CSL_CITATION {"citationID":"pvHxRuCb","properties":{"formattedCitation":"[9]","plainCitation":"[9]","noteIndex":0},"citationItems":[{"id":22,"uris":["http://zotero.org/users/14790911/items/DRQJ4G4M"],"itemData":{"id":22,"type":"article-journal","container-title":"The Lancet Infectious Diseases","DOI":"10.1016/S1473-3099(22)00801-5","ISSN":"1473-3099, 1474-4457","issue":"5","journalAbbreviation":"The Lancet Infectious Diseases","language":"English","note":"publisher: Elsevier\nPMID: 36681084","page":"556-567","source":"www.thelancet.com","title":"Protective effectiveness of previous SARS-CoV-2 infection and hybrid immunity against the omicron variant and severe disease: a systematic review and meta-regression","title-short":"Protective effectiveness of previous SARS-CoV-2 infection and hybrid immunity against the omicron variant and severe disease","volume":"23","author":[{"family":"Bobrovitz","given":"Niklas"},{"family":"Ware","given":"Harriet"},{"family":"Ma","given":"Xiaomeng"},{"family":"Li","given":"Zihan"},{"family":"Hosseini","given":"Reza"},{"family":"Cao","given":"Christian"},{"family":"Selemon","given":"Anabel"},{"family":"Whelan","given":"Mairead"},{"family":"Premji","given":"Zahra"},{"family":"Issa","given":"Hanane"},{"family":"Cheng","given":"Brianna"},{"family":"Raddad","given":"Laith J. Abu"},{"family":"Buckeridge","given":"David L."},{"family":"Kerkhove","given":"Maria D. Van"},{"family":"Piechotta","given":"Vanessa"},{"family":"Higdon","given":"Melissa M."},{"family":"Wilder-Smith","given":"Annelies"},{"family":"Bergeri","given":"Isabel"},{"family":"Feikin","given":"Daniel R."},{"family":"Arora","given":"Rahul K."},{"family":"Patel","given":"Minal K."},{"family":"Subissi","given":"Lorenzo"}],"issued":{"date-parts":[["2023",5,1]]}}}],"schema":"https://github.com/citation-style-language/schema/raw/master/csl-citation.json"} </w:instrText>
      </w:r>
      <w:r w:rsidR="00221611" w:rsidRPr="00D0236F">
        <w:rPr>
          <w:rFonts w:eastAsiaTheme="minorEastAsia"/>
          <w:lang w:eastAsia="ko-KR"/>
        </w:rPr>
        <w:fldChar w:fldCharType="separate"/>
      </w:r>
      <w:r w:rsidR="000C5051" w:rsidRPr="00D0236F">
        <w:rPr>
          <w:rFonts w:eastAsiaTheme="minorEastAsia"/>
          <w:noProof/>
          <w:lang w:eastAsia="ko-KR"/>
        </w:rPr>
        <w:t>[9]</w:t>
      </w:r>
      <w:r w:rsidR="00221611" w:rsidRPr="00D0236F">
        <w:rPr>
          <w:rFonts w:eastAsiaTheme="minorEastAsia"/>
          <w:lang w:eastAsia="ko-KR"/>
        </w:rPr>
        <w:fldChar w:fldCharType="end"/>
      </w:r>
      <w:r w:rsidRPr="00D0236F">
        <w:rPr>
          <w:rFonts w:eastAsiaTheme="minorEastAsia"/>
          <w:lang w:eastAsia="ko-KR"/>
        </w:rPr>
        <w:t>. Th</w:t>
      </w:r>
      <w:r w:rsidR="00B17DFC" w:rsidRPr="00D0236F">
        <w:rPr>
          <w:rFonts w:eastAsiaTheme="minorEastAsia"/>
          <w:lang w:eastAsia="ko-KR"/>
        </w:rPr>
        <w:t xml:space="preserve">ey </w:t>
      </w:r>
      <w:r w:rsidRPr="00D0236F">
        <w:rPr>
          <w:rFonts w:eastAsiaTheme="minorEastAsia"/>
          <w:lang w:eastAsia="ko-KR"/>
        </w:rPr>
        <w:t xml:space="preserve">found that both previous infection alone and </w:t>
      </w:r>
      <w:r w:rsidR="00AB76A2" w:rsidRPr="00D0236F">
        <w:rPr>
          <w:rFonts w:eastAsiaTheme="minorEastAsia"/>
          <w:lang w:eastAsia="ko-KR"/>
        </w:rPr>
        <w:t xml:space="preserve">hybrid immunity </w:t>
      </w:r>
      <w:r w:rsidR="004567C4" w:rsidRPr="00D0236F">
        <w:rPr>
          <w:rFonts w:eastAsiaTheme="minorEastAsia"/>
          <w:lang w:eastAsia="ko-KR"/>
        </w:rPr>
        <w:t>conferred rapidly waning protection against SARS-CoV-2 infection with the omicron variant</w:t>
      </w:r>
      <w:r w:rsidRPr="00D0236F">
        <w:rPr>
          <w:rFonts w:eastAsiaTheme="minorEastAsia"/>
          <w:lang w:eastAsia="ko-KR"/>
        </w:rPr>
        <w:t xml:space="preserve"> but high and sustained protection against hospital admission or severe disease due to the omicron variant. The study also determined that previous infection was found to provide higher protection against reinfection and more sustained protection against hospital admission or severe disease than vaccination alone. Such </w:t>
      </w:r>
      <w:r w:rsidR="004567C4" w:rsidRPr="00D0236F">
        <w:rPr>
          <w:rFonts w:eastAsiaTheme="minorEastAsia"/>
          <w:lang w:eastAsia="ko-KR"/>
        </w:rPr>
        <w:t xml:space="preserve">a </w:t>
      </w:r>
      <w:r w:rsidRPr="00D0236F">
        <w:rPr>
          <w:rFonts w:eastAsiaTheme="minorEastAsia"/>
          <w:lang w:eastAsia="ko-KR"/>
        </w:rPr>
        <w:t xml:space="preserve">pattern might be explained by natural infection invoking a more diverse immune response to multiple antigenic sites on the virus compared to the immunity developed through vaccines that target only spike antigens. </w:t>
      </w:r>
      <w:r w:rsidR="00B17DFC" w:rsidRPr="00D0236F">
        <w:rPr>
          <w:rFonts w:eastAsiaTheme="minorEastAsia"/>
          <w:lang w:eastAsia="ko-KR"/>
        </w:rPr>
        <w:t>Overall</w:t>
      </w:r>
      <w:r w:rsidRPr="00D0236F">
        <w:rPr>
          <w:rFonts w:eastAsiaTheme="minorEastAsia"/>
          <w:lang w:eastAsia="ko-KR"/>
        </w:rPr>
        <w:t xml:space="preserve">, individuals with hybrid immunity had the highest magnitude and durability of protection against all outcomes, </w:t>
      </w:r>
      <w:r w:rsidR="004567C4" w:rsidRPr="00D0236F">
        <w:rPr>
          <w:rFonts w:eastAsiaTheme="minorEastAsia"/>
          <w:lang w:eastAsia="ko-KR"/>
        </w:rPr>
        <w:t>emphasizing</w:t>
      </w:r>
      <w:r w:rsidRPr="00D0236F">
        <w:rPr>
          <w:rFonts w:eastAsiaTheme="minorEastAsia"/>
          <w:lang w:eastAsia="ko-KR"/>
        </w:rPr>
        <w:t xml:space="preserve"> the importance of providing vaccination to previously infected individuals. Infection-induced protection against reinfection wanes rapidly, and vaccination increases durability</w:t>
      </w:r>
      <w:r w:rsidR="000C5051" w:rsidRPr="00D0236F">
        <w:rPr>
          <w:rFonts w:eastAsiaTheme="minorEastAsia"/>
          <w:lang w:eastAsia="zh-CN"/>
        </w:rPr>
        <w:t xml:space="preserve"> </w:t>
      </w:r>
      <w:r w:rsidRPr="00D0236F">
        <w:rPr>
          <w:rFonts w:eastAsiaTheme="minorEastAsia"/>
          <w:lang w:eastAsia="ko-KR"/>
        </w:rPr>
        <w:t>.</w:t>
      </w:r>
      <w:r w:rsidR="00B102AA" w:rsidRPr="00D0236F">
        <w:rPr>
          <w:rFonts w:eastAsiaTheme="minorEastAsia"/>
          <w:lang w:eastAsia="ko-KR"/>
        </w:rPr>
        <w:t xml:space="preserve"> </w:t>
      </w:r>
      <w:commentRangeStart w:id="7"/>
      <w:r w:rsidR="00856875" w:rsidRPr="00D0236F">
        <w:rPr>
          <w:rFonts w:eastAsiaTheme="minorEastAsia"/>
          <w:lang w:eastAsia="ko-KR"/>
        </w:rPr>
        <w:t>[REF]</w:t>
      </w:r>
      <w:commentRangeEnd w:id="7"/>
      <w:r w:rsidR="00856875" w:rsidRPr="00D0236F">
        <w:rPr>
          <w:rStyle w:val="CommentReference"/>
          <w:sz w:val="22"/>
          <w:szCs w:val="22"/>
        </w:rPr>
        <w:commentReference w:id="7"/>
      </w:r>
      <w:r w:rsidR="00856875" w:rsidRPr="00D0236F">
        <w:rPr>
          <w:rFonts w:eastAsiaTheme="minorEastAsia"/>
          <w:lang w:eastAsia="ko-KR"/>
        </w:rPr>
        <w:t xml:space="preserve"> </w:t>
      </w:r>
    </w:p>
    <w:p w14:paraId="0F78FDB5" w14:textId="77777777" w:rsidR="00B102AA" w:rsidRPr="00D0236F" w:rsidRDefault="00B102AA" w:rsidP="005B7F6E">
      <w:pPr>
        <w:widowControl/>
        <w:adjustRightInd w:val="0"/>
        <w:spacing w:line="360" w:lineRule="auto"/>
        <w:jc w:val="both"/>
        <w:rPr>
          <w:rFonts w:eastAsiaTheme="minorEastAsia"/>
          <w:lang w:eastAsia="ko-KR"/>
        </w:rPr>
      </w:pPr>
    </w:p>
    <w:p w14:paraId="54314EA7" w14:textId="5B735DAA" w:rsidR="00D3651D" w:rsidRPr="00D0236F" w:rsidRDefault="002F0C3B" w:rsidP="005B7F6E">
      <w:pPr>
        <w:pStyle w:val="BodyText"/>
        <w:kinsoku w:val="0"/>
        <w:overflowPunct w:val="0"/>
        <w:spacing w:line="360" w:lineRule="auto"/>
        <w:ind w:left="0"/>
        <w:jc w:val="both"/>
        <w:rPr>
          <w:rFonts w:eastAsiaTheme="minorEastAsia"/>
          <w:sz w:val="22"/>
          <w:szCs w:val="22"/>
          <w:lang w:eastAsia="ko-KR"/>
        </w:rPr>
      </w:pPr>
      <w:r w:rsidRPr="00D0236F">
        <w:rPr>
          <w:rFonts w:eastAsiaTheme="minorEastAsia"/>
          <w:color w:val="000000"/>
          <w:sz w:val="22"/>
          <w:szCs w:val="22"/>
          <w:lang w:eastAsia="ko-KR"/>
        </w:rPr>
        <w:t xml:space="preserve">In South Korea, a large majority of the population has either hybrid or vaccine-induced immunity, with only </w:t>
      </w:r>
      <w:r w:rsidR="004A57B0" w:rsidRPr="00D0236F">
        <w:rPr>
          <w:rFonts w:eastAsiaTheme="minorEastAsia"/>
          <w:color w:val="000000"/>
          <w:sz w:val="22"/>
          <w:szCs w:val="22"/>
          <w:lang w:eastAsia="ko-KR"/>
        </w:rPr>
        <w:t>8</w:t>
      </w:r>
      <w:r w:rsidRPr="00D0236F">
        <w:rPr>
          <w:rFonts w:eastAsiaTheme="minorEastAsia"/>
          <w:color w:val="000000"/>
          <w:sz w:val="22"/>
          <w:szCs w:val="22"/>
          <w:lang w:eastAsia="ko-KR"/>
        </w:rPr>
        <w:t xml:space="preserve">% having previous infection alone and </w:t>
      </w:r>
      <w:r w:rsidR="004A57B0" w:rsidRPr="00D0236F">
        <w:rPr>
          <w:rFonts w:eastAsiaTheme="minorEastAsia"/>
          <w:color w:val="000000"/>
          <w:sz w:val="22"/>
          <w:szCs w:val="22"/>
          <w:lang w:eastAsia="ko-KR"/>
        </w:rPr>
        <w:t>10</w:t>
      </w:r>
      <w:r w:rsidRPr="00D0236F">
        <w:rPr>
          <w:rFonts w:eastAsiaTheme="minorEastAsia"/>
          <w:color w:val="000000"/>
          <w:sz w:val="22"/>
          <w:szCs w:val="22"/>
          <w:lang w:eastAsia="ko-KR"/>
        </w:rPr>
        <w:t xml:space="preserve">% with no immunity. In this study, we directly compared anti-S levels and the relative incidence of breakthrough infections between groups with hybrid immunity and those with vaccine-induced immunity, given that neutralizing antibodies are a subset of spike (S) antibodies. We utilized data from a nationwide community-based cohort, allowing for large-scale analysis across various age subgroups. This cohort enabled us to conduct follow-up assessments with repeated antibody testing in August and December 2022, alongside detailed demographic and clinical characterization. </w:t>
      </w:r>
      <w:r w:rsidRPr="00D0236F">
        <w:rPr>
          <w:rFonts w:eastAsiaTheme="minorEastAsia"/>
          <w:sz w:val="22"/>
          <w:szCs w:val="22"/>
          <w:lang w:eastAsia="ko-KR"/>
        </w:rPr>
        <w:t>The objectives of this research are threefold: First, we assessed the variation in anti-S antibody waning following the last immunological event across different age subgroups, comparing hybrid immunity with vaccine-induced immunity. Second, we evaluated the protective efficacy of these two groups over time, specifically focusing on the probability of remaining free from COVID-19 infection. Third, we examined the overall impact of anti-S antibody levels on the probability of remaining infection-free, comparing the effects across age groups between hybrid and vaccine-induced immunity cohorts.</w:t>
      </w:r>
    </w:p>
    <w:p w14:paraId="7210025D" w14:textId="77777777" w:rsidR="00E74379" w:rsidRPr="00D0236F" w:rsidRDefault="00E74379" w:rsidP="005B7F6E">
      <w:pPr>
        <w:pStyle w:val="BodyText"/>
        <w:kinsoku w:val="0"/>
        <w:overflowPunct w:val="0"/>
        <w:spacing w:line="360" w:lineRule="auto"/>
        <w:ind w:left="0"/>
        <w:jc w:val="both"/>
        <w:rPr>
          <w:rFonts w:eastAsiaTheme="minorEastAsia"/>
          <w:sz w:val="22"/>
          <w:szCs w:val="22"/>
          <w:lang w:eastAsia="ko-KR"/>
        </w:rPr>
      </w:pPr>
    </w:p>
    <w:p w14:paraId="273D6184" w14:textId="632FA77C" w:rsidR="00E74379" w:rsidRPr="00D0236F" w:rsidRDefault="00E74379" w:rsidP="005B7F6E">
      <w:pPr>
        <w:pStyle w:val="BodyText"/>
        <w:kinsoku w:val="0"/>
        <w:overflowPunct w:val="0"/>
        <w:spacing w:line="360" w:lineRule="auto"/>
        <w:ind w:left="0"/>
        <w:jc w:val="both"/>
        <w:rPr>
          <w:rFonts w:eastAsiaTheme="minorEastAsia"/>
          <w:sz w:val="22"/>
          <w:szCs w:val="22"/>
          <w:lang w:eastAsia="ko-KR"/>
        </w:rPr>
      </w:pPr>
      <w:r w:rsidRPr="00D0236F">
        <w:rPr>
          <w:color w:val="222222"/>
          <w:sz w:val="22"/>
          <w:szCs w:val="22"/>
          <w:shd w:val="clear" w:color="auto" w:fill="FFFFFF"/>
        </w:rPr>
        <w:t>Here we assess serological immune response after SARS-CoV-2 breakthrough infection in persons with primary and booster vaccination with and without previous infection. First, we determine the sensitivity of N-antibodies as a tool to identify breakthrough infection. Subsequently, we investigate the boosting of Spike S1-specific responses after breakthrough infection and the influence of time since vaccination and N-seroconversion on the S1-specific antibody levels. The study was performed during the transition period of the Delta variant to Omicron</w:t>
      </w:r>
      <w:hyperlink r:id="rId17" w:anchor="ref-CR9" w:tooltip="Andeweg, S. P. et al. Protection of COVID-19 vaccination and previous infection against Omicron BA.1, BA.2 and Delta SARS-CoV-2 infections. Nat. Commun. 13, 4738. &#10;                  https://doi.org/10.1038/s41467-022-31838-8&#10;                  &#10;                " w:history="1">
        <w:r w:rsidRPr="00D0236F">
          <w:rPr>
            <w:rStyle w:val="Hyperlink"/>
            <w:rFonts w:eastAsiaTheme="majorEastAsia"/>
            <w:color w:val="006699"/>
            <w:sz w:val="22"/>
            <w:szCs w:val="22"/>
          </w:rPr>
          <w:t>9</w:t>
        </w:r>
      </w:hyperlink>
      <w:r w:rsidRPr="00D0236F">
        <w:rPr>
          <w:color w:val="222222"/>
          <w:sz w:val="22"/>
          <w:szCs w:val="22"/>
          <w:shd w:val="clear" w:color="auto" w:fill="FFFFFF"/>
        </w:rPr>
        <w:t xml:space="preserve">, which provided a unique basis to relate immune activation to the virus strain involved. Therefore, lastly, we investigate </w:t>
      </w:r>
      <w:r w:rsidRPr="00D0236F">
        <w:rPr>
          <w:color w:val="222222"/>
          <w:sz w:val="22"/>
          <w:szCs w:val="22"/>
          <w:shd w:val="clear" w:color="auto" w:fill="FFFFFF"/>
        </w:rPr>
        <w:lastRenderedPageBreak/>
        <w:t xml:space="preserve">the change in the response towards the variant of infection as an indication for the development of broader hybrid </w:t>
      </w:r>
      <w:commentRangeStart w:id="8"/>
      <w:r w:rsidRPr="00D0236F">
        <w:rPr>
          <w:color w:val="222222"/>
          <w:sz w:val="22"/>
          <w:szCs w:val="22"/>
          <w:shd w:val="clear" w:color="auto" w:fill="FFFFFF"/>
        </w:rPr>
        <w:t>immunity</w:t>
      </w:r>
      <w:commentRangeEnd w:id="8"/>
      <w:r w:rsidRPr="00D0236F">
        <w:rPr>
          <w:rStyle w:val="CommentReference"/>
          <w:sz w:val="22"/>
          <w:szCs w:val="22"/>
        </w:rPr>
        <w:commentReference w:id="8"/>
      </w:r>
      <w:r w:rsidRPr="00D0236F">
        <w:rPr>
          <w:color w:val="222222"/>
          <w:sz w:val="22"/>
          <w:szCs w:val="22"/>
          <w:shd w:val="clear" w:color="auto" w:fill="FFFFFF"/>
        </w:rPr>
        <w:t>.</w:t>
      </w:r>
    </w:p>
    <w:p w14:paraId="02A33B75" w14:textId="77777777" w:rsidR="00D3651D" w:rsidRPr="00D0236F" w:rsidRDefault="00D3651D" w:rsidP="005B7F6E">
      <w:pPr>
        <w:pStyle w:val="Heading1"/>
        <w:tabs>
          <w:tab w:val="left" w:pos="633"/>
          <w:tab w:val="left" w:pos="634"/>
        </w:tabs>
        <w:spacing w:before="0" w:line="360" w:lineRule="auto"/>
        <w:rPr>
          <w:rFonts w:ascii="Times New Roman" w:eastAsiaTheme="minorEastAsia" w:hAnsi="Times New Roman" w:cs="Times New Roman"/>
          <w:sz w:val="22"/>
          <w:szCs w:val="22"/>
          <w:lang w:eastAsia="zh-CN"/>
        </w:rPr>
      </w:pPr>
    </w:p>
    <w:p w14:paraId="4B2CA25D" w14:textId="77777777" w:rsidR="00D3651D" w:rsidRPr="00D0236F" w:rsidRDefault="00D3651D" w:rsidP="005B7F6E">
      <w:pPr>
        <w:pStyle w:val="Heading1"/>
        <w:tabs>
          <w:tab w:val="left" w:pos="633"/>
          <w:tab w:val="left" w:pos="634"/>
        </w:tabs>
        <w:spacing w:before="0" w:after="0" w:line="360" w:lineRule="auto"/>
        <w:rPr>
          <w:rFonts w:ascii="Times New Roman" w:hAnsi="Times New Roman" w:cs="Times New Roman"/>
          <w:b/>
          <w:bCs/>
          <w:color w:val="000000" w:themeColor="text1"/>
          <w:sz w:val="22"/>
          <w:szCs w:val="22"/>
        </w:rPr>
      </w:pPr>
      <w:r w:rsidRPr="00D0236F">
        <w:rPr>
          <w:rFonts w:ascii="Times New Roman" w:hAnsi="Times New Roman" w:cs="Times New Roman"/>
          <w:b/>
          <w:bCs/>
          <w:color w:val="000000" w:themeColor="text1"/>
          <w:sz w:val="22"/>
          <w:szCs w:val="22"/>
        </w:rPr>
        <w:t>Methods</w:t>
      </w:r>
    </w:p>
    <w:p w14:paraId="0A5D9FBC" w14:textId="77777777" w:rsidR="00D3651D" w:rsidRPr="00D0236F" w:rsidRDefault="00D3651D" w:rsidP="005B7F6E">
      <w:pPr>
        <w:pStyle w:val="Heading2"/>
        <w:tabs>
          <w:tab w:val="left" w:pos="762"/>
          <w:tab w:val="left" w:pos="763"/>
        </w:tabs>
        <w:spacing w:before="0" w:after="0" w:line="360" w:lineRule="auto"/>
        <w:rPr>
          <w:rFonts w:ascii="Times New Roman" w:eastAsiaTheme="minorEastAsia" w:hAnsi="Times New Roman" w:cs="Times New Roman"/>
          <w:color w:val="000000" w:themeColor="text1"/>
          <w:sz w:val="22"/>
          <w:szCs w:val="22"/>
          <w:lang w:eastAsia="ko-KR"/>
        </w:rPr>
      </w:pPr>
      <w:bookmarkStart w:id="9" w:name="Sample_Collection_and_Definitions"/>
      <w:bookmarkEnd w:id="9"/>
    </w:p>
    <w:p w14:paraId="0E8BBCFB" w14:textId="5DA0A206" w:rsidR="008D184F" w:rsidRPr="00D0236F" w:rsidRDefault="00D3651D" w:rsidP="005B7F6E">
      <w:pPr>
        <w:pStyle w:val="Heading2"/>
        <w:tabs>
          <w:tab w:val="left" w:pos="762"/>
          <w:tab w:val="left" w:pos="763"/>
        </w:tabs>
        <w:spacing w:before="0" w:after="0" w:line="360" w:lineRule="auto"/>
        <w:jc w:val="both"/>
        <w:rPr>
          <w:rFonts w:ascii="Times New Roman" w:eastAsiaTheme="minorEastAsia" w:hAnsi="Times New Roman" w:cs="Times New Roman"/>
          <w:color w:val="000000" w:themeColor="text1"/>
          <w:spacing w:val="-3"/>
          <w:sz w:val="22"/>
          <w:szCs w:val="22"/>
          <w:lang w:eastAsia="ko-KR"/>
        </w:rPr>
      </w:pPr>
      <w:r w:rsidRPr="00D0236F">
        <w:rPr>
          <w:rFonts w:ascii="Times New Roman" w:hAnsi="Times New Roman" w:cs="Times New Roman"/>
          <w:b/>
          <w:bCs/>
          <w:color w:val="000000" w:themeColor="text1"/>
          <w:sz w:val="22"/>
          <w:szCs w:val="22"/>
        </w:rPr>
        <w:t>Sample Collection and</w:t>
      </w:r>
      <w:r w:rsidRPr="00D0236F">
        <w:rPr>
          <w:rFonts w:ascii="Times New Roman" w:hAnsi="Times New Roman" w:cs="Times New Roman"/>
          <w:b/>
          <w:bCs/>
          <w:color w:val="000000" w:themeColor="text1"/>
          <w:spacing w:val="6"/>
          <w:sz w:val="22"/>
          <w:szCs w:val="22"/>
        </w:rPr>
        <w:t xml:space="preserve"> </w:t>
      </w:r>
      <w:r w:rsidRPr="00D0236F">
        <w:rPr>
          <w:rFonts w:ascii="Times New Roman" w:hAnsi="Times New Roman" w:cs="Times New Roman"/>
          <w:b/>
          <w:bCs/>
          <w:color w:val="000000" w:themeColor="text1"/>
          <w:sz w:val="22"/>
          <w:szCs w:val="22"/>
        </w:rPr>
        <w:t>Definitions</w:t>
      </w:r>
      <w:r w:rsidRPr="00D0236F">
        <w:rPr>
          <w:rFonts w:ascii="Times New Roman" w:eastAsiaTheme="minorEastAsia" w:hAnsi="Times New Roman" w:cs="Times New Roman"/>
          <w:b/>
          <w:bCs/>
          <w:color w:val="000000" w:themeColor="text1"/>
          <w:sz w:val="22"/>
          <w:szCs w:val="22"/>
          <w:lang w:eastAsia="ko-KR"/>
        </w:rPr>
        <w:t>.</w:t>
      </w:r>
      <w:r w:rsidRPr="00D0236F">
        <w:rPr>
          <w:rFonts w:ascii="Times New Roman" w:eastAsiaTheme="minorEastAsia" w:hAnsi="Times New Roman" w:cs="Times New Roman"/>
          <w:color w:val="000000" w:themeColor="text1"/>
          <w:sz w:val="22"/>
          <w:szCs w:val="22"/>
          <w:lang w:eastAsia="ko-KR"/>
        </w:rPr>
        <w:t xml:space="preserve"> A</w:t>
      </w:r>
      <w:r w:rsidRPr="00D0236F">
        <w:rPr>
          <w:rFonts w:ascii="Times New Roman" w:hAnsi="Times New Roman" w:cs="Times New Roman"/>
          <w:color w:val="000000" w:themeColor="text1"/>
          <w:sz w:val="22"/>
          <w:szCs w:val="22"/>
        </w:rPr>
        <w:t xml:space="preserve"> nationwide community-based surveillance study was conducted </w:t>
      </w:r>
      <w:r w:rsidRPr="00D0236F">
        <w:rPr>
          <w:rFonts w:ascii="Times New Roman" w:eastAsiaTheme="minorEastAsia" w:hAnsi="Times New Roman" w:cs="Times New Roman"/>
          <w:color w:val="000000" w:themeColor="text1"/>
          <w:sz w:val="22"/>
          <w:szCs w:val="22"/>
          <w:lang w:eastAsia="ko-KR"/>
        </w:rPr>
        <w:t>fr</w:t>
      </w:r>
      <w:r w:rsidRPr="00D0236F">
        <w:rPr>
          <w:rFonts w:ascii="Times New Roman" w:hAnsi="Times New Roman" w:cs="Times New Roman"/>
          <w:color w:val="000000" w:themeColor="text1"/>
          <w:sz w:val="22"/>
          <w:szCs w:val="22"/>
        </w:rPr>
        <w:t xml:space="preserve">om August to December 2022, during the 6th and 7th </w:t>
      </w:r>
      <w:r w:rsidRPr="00D0236F">
        <w:rPr>
          <w:rFonts w:ascii="Times New Roman" w:eastAsiaTheme="minorEastAsia" w:hAnsi="Times New Roman" w:cs="Times New Roman"/>
          <w:color w:val="000000" w:themeColor="text1"/>
          <w:sz w:val="22"/>
          <w:szCs w:val="22"/>
          <w:lang w:eastAsia="ko-KR"/>
        </w:rPr>
        <w:t xml:space="preserve">epidemic </w:t>
      </w:r>
      <w:r w:rsidRPr="00D0236F">
        <w:rPr>
          <w:rFonts w:ascii="Times New Roman" w:hAnsi="Times New Roman" w:cs="Times New Roman"/>
          <w:color w:val="000000" w:themeColor="text1"/>
          <w:sz w:val="22"/>
          <w:szCs w:val="22"/>
        </w:rPr>
        <w:t xml:space="preserve">peaks of COVID-19 in South Korea. This study </w:t>
      </w:r>
      <w:r w:rsidRPr="00D0236F">
        <w:rPr>
          <w:rFonts w:ascii="Times New Roman" w:hAnsi="Times New Roman" w:cs="Times New Roman"/>
          <w:color w:val="000000" w:themeColor="text1"/>
          <w:spacing w:val="-3"/>
          <w:sz w:val="22"/>
          <w:szCs w:val="22"/>
        </w:rPr>
        <w:t xml:space="preserve">involved </w:t>
      </w:r>
      <w:r w:rsidRPr="00D0236F">
        <w:rPr>
          <w:rFonts w:ascii="Times New Roman" w:hAnsi="Times New Roman" w:cs="Times New Roman"/>
          <w:color w:val="000000" w:themeColor="text1"/>
          <w:sz w:val="22"/>
          <w:szCs w:val="22"/>
        </w:rPr>
        <w:t xml:space="preserve">258 public health centers and 113 private medical facilities across 259 cities and counties. </w:t>
      </w:r>
      <w:r w:rsidRPr="00D0236F">
        <w:rPr>
          <w:rFonts w:ascii="Times New Roman" w:hAnsi="Times New Roman" w:cs="Times New Roman"/>
          <w:color w:val="000000" w:themeColor="text1"/>
          <w:spacing w:val="-12"/>
          <w:sz w:val="22"/>
          <w:szCs w:val="22"/>
        </w:rPr>
        <w:t xml:space="preserve">A </w:t>
      </w:r>
      <w:r w:rsidRPr="00D0236F">
        <w:rPr>
          <w:rFonts w:ascii="Times New Roman" w:hAnsi="Times New Roman" w:cs="Times New Roman"/>
          <w:color w:val="000000" w:themeColor="text1"/>
          <w:sz w:val="22"/>
          <w:szCs w:val="22"/>
        </w:rPr>
        <w:t>representative</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sample</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of</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10,000</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individuals</w:t>
      </w:r>
      <w:r w:rsidRPr="00D0236F">
        <w:rPr>
          <w:rFonts w:ascii="Times New Roman" w:hAnsi="Times New Roman" w:cs="Times New Roman"/>
          <w:color w:val="000000" w:themeColor="text1"/>
          <w:spacing w:val="-11"/>
          <w:sz w:val="22"/>
          <w:szCs w:val="22"/>
        </w:rPr>
        <w:t xml:space="preserve"> </w:t>
      </w:r>
      <w:r w:rsidRPr="00D0236F">
        <w:rPr>
          <w:rFonts w:ascii="Times New Roman" w:hAnsi="Times New Roman" w:cs="Times New Roman"/>
          <w:color w:val="000000" w:themeColor="text1"/>
          <w:sz w:val="22"/>
          <w:szCs w:val="22"/>
        </w:rPr>
        <w:t>aged</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5</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and</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older</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was</w:t>
      </w:r>
      <w:r w:rsidRPr="00D0236F">
        <w:rPr>
          <w:rFonts w:ascii="Times New Roman" w:hAnsi="Times New Roman" w:cs="Times New Roman"/>
          <w:color w:val="000000" w:themeColor="text1"/>
          <w:spacing w:val="-11"/>
          <w:sz w:val="22"/>
          <w:szCs w:val="22"/>
        </w:rPr>
        <w:t xml:space="preserve"> </w:t>
      </w:r>
      <w:r w:rsidRPr="00D0236F">
        <w:rPr>
          <w:rFonts w:ascii="Times New Roman" w:hAnsi="Times New Roman" w:cs="Times New Roman"/>
          <w:color w:val="000000" w:themeColor="text1"/>
          <w:sz w:val="22"/>
          <w:szCs w:val="22"/>
        </w:rPr>
        <w:t>randomly</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selected</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from</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5,000 households.</w:t>
      </w:r>
      <w:r w:rsidRPr="00D0236F">
        <w:rPr>
          <w:rFonts w:ascii="Times New Roman" w:hAnsi="Times New Roman" w:cs="Times New Roman"/>
          <w:color w:val="000000" w:themeColor="text1"/>
          <w:spacing w:val="6"/>
          <w:sz w:val="22"/>
          <w:szCs w:val="22"/>
        </w:rPr>
        <w:t xml:space="preserve"> </w:t>
      </w:r>
      <w:commentRangeStart w:id="10"/>
      <w:commentRangeStart w:id="11"/>
      <w:commentRangeStart w:id="12"/>
      <w:r w:rsidRPr="00D0236F">
        <w:rPr>
          <w:rFonts w:ascii="Times New Roman" w:hAnsi="Times New Roman" w:cs="Times New Roman"/>
          <w:color w:val="000000" w:themeColor="text1"/>
          <w:sz w:val="22"/>
          <w:szCs w:val="22"/>
        </w:rPr>
        <w:t>Data</w:t>
      </w:r>
      <w:commentRangeEnd w:id="10"/>
      <w:r w:rsidR="00E74379" w:rsidRPr="00D0236F">
        <w:rPr>
          <w:rStyle w:val="CommentReference"/>
          <w:rFonts w:ascii="Times New Roman" w:eastAsia="Times New Roman" w:hAnsi="Times New Roman" w:cs="Times New Roman"/>
          <w:color w:val="auto"/>
          <w:sz w:val="22"/>
          <w:szCs w:val="22"/>
        </w:rPr>
        <w:commentReference w:id="10"/>
      </w:r>
      <w:commentRangeEnd w:id="11"/>
      <w:r w:rsidR="00E74379" w:rsidRPr="00D0236F">
        <w:rPr>
          <w:rStyle w:val="CommentReference"/>
          <w:rFonts w:ascii="Times New Roman" w:eastAsia="Times New Roman" w:hAnsi="Times New Roman" w:cs="Times New Roman"/>
          <w:color w:val="auto"/>
          <w:sz w:val="22"/>
          <w:szCs w:val="22"/>
        </w:rPr>
        <w:commentReference w:id="11"/>
      </w:r>
      <w:commentRangeEnd w:id="12"/>
      <w:r w:rsidR="00923F27" w:rsidRPr="00D0236F">
        <w:rPr>
          <w:rStyle w:val="CommentReference"/>
          <w:rFonts w:ascii="Times New Roman" w:eastAsia="Times New Roman" w:hAnsi="Times New Roman" w:cs="Times New Roman"/>
          <w:color w:val="auto"/>
          <w:sz w:val="22"/>
          <w:szCs w:val="22"/>
        </w:rPr>
        <w:commentReference w:id="12"/>
      </w:r>
      <w:r w:rsidRPr="00D0236F">
        <w:rPr>
          <w:rFonts w:ascii="Times New Roman" w:hAnsi="Times New Roman" w:cs="Times New Roman"/>
          <w:color w:val="000000" w:themeColor="text1"/>
          <w:spacing w:val="-11"/>
          <w:sz w:val="22"/>
          <w:szCs w:val="22"/>
        </w:rPr>
        <w:t xml:space="preserve"> </w:t>
      </w:r>
      <w:r w:rsidRPr="00D0236F">
        <w:rPr>
          <w:rFonts w:ascii="Times New Roman" w:hAnsi="Times New Roman" w:cs="Times New Roman"/>
          <w:color w:val="000000" w:themeColor="text1"/>
          <w:sz w:val="22"/>
          <w:szCs w:val="22"/>
        </w:rPr>
        <w:t>collection</w:t>
      </w:r>
      <w:r w:rsidRPr="00D0236F">
        <w:rPr>
          <w:rFonts w:ascii="Times New Roman" w:hAnsi="Times New Roman" w:cs="Times New Roman"/>
          <w:color w:val="000000" w:themeColor="text1"/>
          <w:spacing w:val="-11"/>
          <w:sz w:val="22"/>
          <w:szCs w:val="22"/>
        </w:rPr>
        <w:t xml:space="preserve"> </w:t>
      </w:r>
      <w:r w:rsidRPr="00D0236F">
        <w:rPr>
          <w:rFonts w:ascii="Times New Roman" w:hAnsi="Times New Roman" w:cs="Times New Roman"/>
          <w:color w:val="000000" w:themeColor="text1"/>
          <w:sz w:val="22"/>
          <w:szCs w:val="22"/>
        </w:rPr>
        <w:t>was</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conducted</w:t>
      </w:r>
      <w:r w:rsidRPr="00D0236F">
        <w:rPr>
          <w:rFonts w:ascii="Times New Roman" w:hAnsi="Times New Roman" w:cs="Times New Roman"/>
          <w:color w:val="000000" w:themeColor="text1"/>
          <w:spacing w:val="-11"/>
          <w:sz w:val="22"/>
          <w:szCs w:val="22"/>
        </w:rPr>
        <w:t xml:space="preserve"> </w:t>
      </w:r>
      <w:r w:rsidRPr="00D0236F">
        <w:rPr>
          <w:rFonts w:ascii="Times New Roman" w:hAnsi="Times New Roman" w:cs="Times New Roman"/>
          <w:color w:val="000000" w:themeColor="text1"/>
          <w:sz w:val="22"/>
          <w:szCs w:val="22"/>
        </w:rPr>
        <w:t>through</w:t>
      </w:r>
      <w:r w:rsidRPr="00D0236F">
        <w:rPr>
          <w:rFonts w:ascii="Times New Roman" w:hAnsi="Times New Roman" w:cs="Times New Roman"/>
          <w:color w:val="000000" w:themeColor="text1"/>
          <w:spacing w:val="-11"/>
          <w:sz w:val="22"/>
          <w:szCs w:val="22"/>
        </w:rPr>
        <w:t xml:space="preserve"> </w:t>
      </w:r>
      <w:r w:rsidRPr="00D0236F">
        <w:rPr>
          <w:rFonts w:ascii="Times New Roman" w:hAnsi="Times New Roman" w:cs="Times New Roman"/>
          <w:color w:val="000000" w:themeColor="text1"/>
          <w:sz w:val="22"/>
          <w:szCs w:val="22"/>
        </w:rPr>
        <w:t>one-on-one</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interviews</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by</w:t>
      </w:r>
      <w:r w:rsidRPr="00D0236F">
        <w:rPr>
          <w:rFonts w:ascii="Times New Roman" w:hAnsi="Times New Roman" w:cs="Times New Roman"/>
          <w:color w:val="000000" w:themeColor="text1"/>
          <w:spacing w:val="-11"/>
          <w:sz w:val="22"/>
          <w:szCs w:val="22"/>
        </w:rPr>
        <w:t xml:space="preserve"> </w:t>
      </w:r>
      <w:r w:rsidRPr="00D0236F">
        <w:rPr>
          <w:rFonts w:ascii="Times New Roman" w:hAnsi="Times New Roman" w:cs="Times New Roman"/>
          <w:color w:val="000000" w:themeColor="text1"/>
          <w:sz w:val="22"/>
          <w:szCs w:val="22"/>
        </w:rPr>
        <w:t>trained</w:t>
      </w:r>
      <w:r w:rsidRPr="00D0236F">
        <w:rPr>
          <w:rFonts w:ascii="Times New Roman" w:hAnsi="Times New Roman" w:cs="Times New Roman"/>
          <w:color w:val="000000" w:themeColor="text1"/>
          <w:spacing w:val="-11"/>
          <w:sz w:val="22"/>
          <w:szCs w:val="22"/>
        </w:rPr>
        <w:t xml:space="preserve"> </w:t>
      </w:r>
      <w:r w:rsidRPr="00D0236F">
        <w:rPr>
          <w:rFonts w:ascii="Times New Roman" w:hAnsi="Times New Roman" w:cs="Times New Roman"/>
          <w:color w:val="000000" w:themeColor="text1"/>
          <w:spacing w:val="-3"/>
          <w:sz w:val="22"/>
          <w:szCs w:val="22"/>
        </w:rPr>
        <w:t xml:space="preserve">surveyors </w:t>
      </w:r>
      <w:r w:rsidRPr="00D0236F">
        <w:rPr>
          <w:rFonts w:ascii="Times New Roman" w:hAnsi="Times New Roman" w:cs="Times New Roman"/>
          <w:color w:val="000000" w:themeColor="text1"/>
          <w:sz w:val="22"/>
          <w:szCs w:val="22"/>
        </w:rPr>
        <w:t>using tablets to ensure</w:t>
      </w:r>
      <w:r w:rsidRPr="00D0236F">
        <w:rPr>
          <w:rFonts w:ascii="Times New Roman" w:hAnsi="Times New Roman" w:cs="Times New Roman"/>
          <w:color w:val="000000" w:themeColor="text1"/>
          <w:spacing w:val="-5"/>
          <w:sz w:val="22"/>
          <w:szCs w:val="22"/>
        </w:rPr>
        <w:t xml:space="preserve"> </w:t>
      </w:r>
      <w:r w:rsidRPr="00D0236F">
        <w:rPr>
          <w:rFonts w:ascii="Times New Roman" w:hAnsi="Times New Roman" w:cs="Times New Roman"/>
          <w:color w:val="000000" w:themeColor="text1"/>
          <w:spacing w:val="-3"/>
          <w:sz w:val="22"/>
          <w:szCs w:val="22"/>
        </w:rPr>
        <w:t>accuracy.</w:t>
      </w:r>
      <w:r w:rsidRPr="00D0236F">
        <w:rPr>
          <w:rFonts w:ascii="Times New Roman" w:eastAsiaTheme="minorEastAsia" w:hAnsi="Times New Roman" w:cs="Times New Roman"/>
          <w:color w:val="000000" w:themeColor="text1"/>
          <w:spacing w:val="-3"/>
          <w:sz w:val="22"/>
          <w:szCs w:val="22"/>
          <w:lang w:eastAsia="ko-KR"/>
        </w:rPr>
        <w:t xml:space="preserve"> More detailed descriptions of the cohort study design and data collection methods are published elsewhere </w:t>
      </w:r>
      <w:r w:rsidR="000C5051" w:rsidRPr="00D0236F">
        <w:rPr>
          <w:rFonts w:ascii="Times New Roman" w:eastAsiaTheme="minorEastAsia" w:hAnsi="Times New Roman" w:cs="Times New Roman"/>
          <w:color w:val="000000" w:themeColor="text1"/>
          <w:spacing w:val="-3"/>
          <w:sz w:val="22"/>
          <w:szCs w:val="22"/>
          <w:lang w:eastAsia="ko-KR"/>
        </w:rPr>
        <w:fldChar w:fldCharType="begin"/>
      </w:r>
      <w:r w:rsidR="000C5051" w:rsidRPr="00D0236F">
        <w:rPr>
          <w:rFonts w:ascii="Times New Roman" w:eastAsiaTheme="minorEastAsia" w:hAnsi="Times New Roman" w:cs="Times New Roman"/>
          <w:color w:val="000000" w:themeColor="text1"/>
          <w:spacing w:val="-3"/>
          <w:sz w:val="22"/>
          <w:szCs w:val="22"/>
          <w:lang w:eastAsia="ko-KR"/>
        </w:rPr>
        <w:instrText xml:space="preserve"> ADDIN ZOTERO_ITEM CSL_CITATION {"citationID":"EVDqyAFB","properties":{"formattedCitation":"[10]","plainCitation":"[10]","noteIndex":0},"citationItems":[{"id":97,"uris":["http://zotero.org/users/14790911/items/RQ4UY7FE"],"itemData":{"id":97,"type":"article-journal","abstract":"We estimated the population prevalence of antibodies to severe acute respiratory syndrome coronavirus 2 (SARS-CoV-2), including unreported infections, through a Korea Seroprevalence Study of Monitoring of SARS-CoV-2 Antibody Retention and Transmission ...","container-title":"Epidemiology and Health","DOI":"10.4178/epih.e2023075","language":"en","note":"publisher: Korean Society of Epidemiology\nPMID: 37591786","source":"www.ncbi.nlm.nih.gov","title":"Korea Seroprevalence Study of Monitoring of SARS-COV-2 Antibody Retention and Transmission (K-SEROSMART): findings from national representative sample","title-short":"Korea Seroprevalence Study of Monitoring of SARS-COV-2 Antibody Retention and Transmission (K-SEROSMART)","URL":"https://www.ncbi.nlm.nih.gov/pmc/articles/PMC10728614/","volume":"45","author":[{"family":"Han","given":"Jina"},{"family":"Baek","given":"Hye Jin"},{"family":"Noh","given":"Eunbi"},{"family":"Yoon","given":"Kyuhyun"},{"family":"Kim","given":"Jung Ae"},{"family":"Ryu","given":"Sukhyun"},{"family":"Lee","given":"Kay O."},{"family":"Park","given":"No Yai"},{"family":"Jung","given":"Eunok"},{"family":"Kim","given":"Sangil"},{"family":"Lee","given":"Hyukmin"},{"family":"Hwang","given":"Yoo-Sung"},{"family":"Jung","given":"Jaehun"},{"family":"Lee","given":"Hun Jae"},{"family":"Cho","given":"Sung-il"},{"family":"Oh","given":"Sangcheol"},{"family":"Kim","given":"Migyeong"},{"family":"Oh","given":"Chang-Mo"},{"family":"Yu","given":"Byengchul"},{"family":"Hong","given":"Young-Seoub"},{"family":"Kim","given":"Keonyeop"},{"family":"Jung","given":"Sunjae"},{"family":"Han","given":"Mi Ah"},{"family":"Lee","given":"Moo-Sik"},{"family":"Lee","given":"Jung-Jeung"},{"family":"Hwangbo","given":"Young"},{"family":"Yim","given":"Hyeon Woo"},{"family":"Kim","given":"Yu-Mi"},{"family":"Lee","given":"Joongyub"},{"family":"Lee","given":"Weon-Young"},{"family":"Park","given":"Jae-Hyun"},{"family":"Oh","given":"Sungsoo"},{"family":"Jo","given":"Heui Sug"},{"family":"Kim","given":"Hyeongsu"},{"family":"Kang","given":"Gilwon"},{"family":"Nam","given":"Hae-Sung"},{"family":"Lee","given":"Ju-Hyung"},{"family":"Oh","given":"Gyung-Jae"},{"family":"Shin","given":"Min-Ho"},{"family":"Ryu","given":"Soyeon"},{"family":"Hwang","given":"Tae-Yoon"},{"family":"Park","given":"Soon-Woo"},{"family":"Kim","given":"Sang Kyu"},{"family":"Seol","given":"Roma"},{"family":"Park","given":"Ki-Soo"},{"family":"Kim","given":"Su Young"},{"family":"Kwon","given":"Jun-wook"},{"family":"Kim","given":"Sung Soon"},{"family":"Kim","given":"Byoungguk"},{"family":"Lee","given":"June-Woo"},{"family":"Jang","given":"Eun Young"},{"family":"Kim","given":"Ah-Ra"},{"family":"Nam","given":"Jeonghyun"},{"family":"Group","given":"The Korea Community Health Survey"},{"family":"Lee","given":"Soon Young"},{"family":"Kim","given":"Dong-Hyun"}],"accessed":{"date-parts":[["2024",9,4]]},"issued":{"date-parts":[["2023"]]}}}],"schema":"https://github.com/citation-style-language/schema/raw/master/csl-citation.json"} </w:instrText>
      </w:r>
      <w:r w:rsidR="000C5051" w:rsidRPr="00D0236F">
        <w:rPr>
          <w:rFonts w:ascii="Times New Roman" w:eastAsiaTheme="minorEastAsia" w:hAnsi="Times New Roman" w:cs="Times New Roman"/>
          <w:color w:val="000000" w:themeColor="text1"/>
          <w:spacing w:val="-3"/>
          <w:sz w:val="22"/>
          <w:szCs w:val="22"/>
          <w:lang w:eastAsia="ko-KR"/>
        </w:rPr>
        <w:fldChar w:fldCharType="separate"/>
      </w:r>
      <w:r w:rsidR="000C5051" w:rsidRPr="00D0236F">
        <w:rPr>
          <w:rFonts w:ascii="Times New Roman" w:eastAsiaTheme="minorEastAsia" w:hAnsi="Times New Roman" w:cs="Times New Roman"/>
          <w:noProof/>
          <w:color w:val="000000" w:themeColor="text1"/>
          <w:spacing w:val="-3"/>
          <w:sz w:val="22"/>
          <w:szCs w:val="22"/>
          <w:lang w:eastAsia="ko-KR"/>
        </w:rPr>
        <w:t>[10]</w:t>
      </w:r>
      <w:r w:rsidR="000C5051" w:rsidRPr="00D0236F">
        <w:rPr>
          <w:rFonts w:ascii="Times New Roman" w:eastAsiaTheme="minorEastAsia" w:hAnsi="Times New Roman" w:cs="Times New Roman"/>
          <w:color w:val="000000" w:themeColor="text1"/>
          <w:spacing w:val="-3"/>
          <w:sz w:val="22"/>
          <w:szCs w:val="22"/>
          <w:lang w:eastAsia="ko-KR"/>
        </w:rPr>
        <w:fldChar w:fldCharType="end"/>
      </w:r>
      <w:r w:rsidR="000C5051" w:rsidRPr="00D0236F">
        <w:rPr>
          <w:rFonts w:ascii="Times New Roman" w:eastAsiaTheme="minorEastAsia" w:hAnsi="Times New Roman" w:cs="Times New Roman"/>
          <w:color w:val="000000" w:themeColor="text1"/>
          <w:spacing w:val="-3"/>
          <w:sz w:val="22"/>
          <w:szCs w:val="22"/>
          <w:lang w:eastAsia="zh-CN"/>
        </w:rPr>
        <w:t xml:space="preserve">. </w:t>
      </w:r>
      <w:commentRangeStart w:id="13"/>
      <w:commentRangeEnd w:id="13"/>
      <w:r w:rsidR="00AC19CD" w:rsidRPr="00D0236F">
        <w:rPr>
          <w:rStyle w:val="CommentReference"/>
          <w:rFonts w:ascii="Times New Roman" w:eastAsia="Times New Roman" w:hAnsi="Times New Roman" w:cs="Times New Roman"/>
          <w:color w:val="auto"/>
          <w:sz w:val="22"/>
          <w:szCs w:val="22"/>
        </w:rPr>
        <w:commentReference w:id="13"/>
      </w:r>
    </w:p>
    <w:p w14:paraId="5B0FA358" w14:textId="77777777" w:rsidR="008D184F" w:rsidRPr="00D0236F" w:rsidRDefault="008D184F" w:rsidP="005B7F6E">
      <w:pPr>
        <w:spacing w:line="360" w:lineRule="auto"/>
        <w:rPr>
          <w:rFonts w:eastAsiaTheme="minorEastAsia"/>
          <w:lang w:eastAsia="ko-KR"/>
        </w:rPr>
      </w:pPr>
    </w:p>
    <w:p w14:paraId="6CAC1B7B" w14:textId="77777777" w:rsidR="00D3651D" w:rsidRPr="00D0236F" w:rsidRDefault="00D3651D" w:rsidP="005B7F6E">
      <w:pPr>
        <w:pStyle w:val="BodyText"/>
        <w:spacing w:line="360" w:lineRule="auto"/>
        <w:ind w:right="795" w:firstLine="566"/>
        <w:jc w:val="both"/>
        <w:rPr>
          <w:rFonts w:eastAsiaTheme="minorEastAsia"/>
          <w:color w:val="000000" w:themeColor="text1"/>
          <w:sz w:val="22"/>
          <w:szCs w:val="22"/>
          <w:lang w:eastAsia="ko-KR"/>
        </w:rPr>
      </w:pPr>
    </w:p>
    <w:p w14:paraId="21A71F9E" w14:textId="77777777" w:rsidR="00D3651D" w:rsidRPr="00D0236F" w:rsidRDefault="00D3651D" w:rsidP="005B7F6E">
      <w:pPr>
        <w:pStyle w:val="BodyText"/>
        <w:spacing w:line="360" w:lineRule="auto"/>
        <w:ind w:left="0"/>
        <w:rPr>
          <w:sz w:val="22"/>
          <w:szCs w:val="22"/>
        </w:rPr>
      </w:pPr>
      <w:r w:rsidRPr="00D0236F">
        <w:rPr>
          <w:noProof/>
          <w:sz w:val="22"/>
          <w:szCs w:val="22"/>
        </w:rPr>
        <w:drawing>
          <wp:inline distT="0" distB="0" distL="0" distR="0" wp14:anchorId="3459AAA3" wp14:editId="6DC43640">
            <wp:extent cx="5820931" cy="2628900"/>
            <wp:effectExtent l="0" t="0" r="0" b="0"/>
            <wp:docPr id="133162487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24876" name="Picture 1" descr="A screenshot of a computer scree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37633" cy="2636443"/>
                    </a:xfrm>
                    <a:prstGeom prst="rect">
                      <a:avLst/>
                    </a:prstGeom>
                    <a:noFill/>
                  </pic:spPr>
                </pic:pic>
              </a:graphicData>
            </a:graphic>
          </wp:inline>
        </w:drawing>
      </w:r>
    </w:p>
    <w:p w14:paraId="2374B376" w14:textId="77777777" w:rsidR="00D3651D" w:rsidRPr="00D0236F" w:rsidRDefault="00D3651D" w:rsidP="005B7F6E">
      <w:pPr>
        <w:pStyle w:val="BodyText"/>
        <w:spacing w:line="360" w:lineRule="auto"/>
        <w:ind w:left="0"/>
        <w:rPr>
          <w:sz w:val="22"/>
          <w:szCs w:val="22"/>
        </w:rPr>
      </w:pPr>
    </w:p>
    <w:p w14:paraId="4F157F25" w14:textId="77777777" w:rsidR="00D3651D" w:rsidRPr="00D0236F" w:rsidRDefault="00D3651D" w:rsidP="005B7F6E">
      <w:pPr>
        <w:pStyle w:val="BodyText"/>
        <w:spacing w:line="360" w:lineRule="auto"/>
        <w:ind w:left="1872"/>
        <w:rPr>
          <w:rFonts w:eastAsiaTheme="minorEastAsia"/>
          <w:sz w:val="22"/>
          <w:szCs w:val="22"/>
          <w:lang w:eastAsia="ko-KR"/>
        </w:rPr>
      </w:pPr>
      <w:r w:rsidRPr="00D0236F">
        <w:rPr>
          <w:sz w:val="22"/>
          <w:szCs w:val="22"/>
        </w:rPr>
        <w:t>Figure 1: Flow Chart Illustrating the Cohort Study Design</w:t>
      </w:r>
    </w:p>
    <w:p w14:paraId="05B2325E" w14:textId="77777777" w:rsidR="004567C4" w:rsidRPr="00D0236F" w:rsidRDefault="004567C4" w:rsidP="005B7F6E">
      <w:pPr>
        <w:pStyle w:val="BodyText"/>
        <w:spacing w:line="360" w:lineRule="auto"/>
        <w:ind w:right="795"/>
        <w:jc w:val="both"/>
        <w:rPr>
          <w:rFonts w:eastAsiaTheme="minorEastAsia"/>
          <w:b/>
          <w:bCs/>
          <w:spacing w:val="-10"/>
          <w:sz w:val="22"/>
          <w:szCs w:val="22"/>
          <w:lang w:eastAsia="ko-KR"/>
        </w:rPr>
      </w:pPr>
      <w:bookmarkStart w:id="14" w:name="Cohort_Study_Design_and_Regression_Model"/>
      <w:bookmarkEnd w:id="14"/>
    </w:p>
    <w:p w14:paraId="12397975" w14:textId="1FDAEA11" w:rsidR="008D184F" w:rsidRPr="00D0236F" w:rsidRDefault="008D184F" w:rsidP="00BF4C1D">
      <w:pPr>
        <w:pStyle w:val="BodyText"/>
        <w:spacing w:line="360" w:lineRule="auto"/>
        <w:ind w:left="0"/>
        <w:jc w:val="both"/>
        <w:rPr>
          <w:sz w:val="22"/>
          <w:szCs w:val="22"/>
        </w:rPr>
      </w:pPr>
      <w:r w:rsidRPr="00D0236F">
        <w:rPr>
          <w:rFonts w:eastAsiaTheme="minorEastAsia"/>
          <w:b/>
          <w:bCs/>
          <w:color w:val="000000" w:themeColor="text1"/>
          <w:spacing w:val="-10"/>
          <w:sz w:val="22"/>
          <w:szCs w:val="22"/>
          <w:lang w:eastAsia="ko-KR"/>
        </w:rPr>
        <w:t xml:space="preserve">Inclusion/Exclusion and matching criteria. </w:t>
      </w:r>
      <w:r w:rsidRPr="00D0236F">
        <w:rPr>
          <w:rFonts w:eastAsiaTheme="minorEastAsia"/>
          <w:color w:val="000000" w:themeColor="text1"/>
          <w:spacing w:val="-10"/>
          <w:sz w:val="22"/>
          <w:szCs w:val="22"/>
          <w:lang w:eastAsia="ko-KR"/>
        </w:rPr>
        <w:t xml:space="preserve">In this analysis, we defined the cohort by the following </w:t>
      </w:r>
      <w:r w:rsidRPr="00D0236F">
        <w:rPr>
          <w:rFonts w:eastAsiaTheme="minorEastAsia"/>
          <w:color w:val="000000" w:themeColor="text1"/>
          <w:sz w:val="22"/>
          <w:szCs w:val="22"/>
        </w:rPr>
        <w:t xml:space="preserve">four distinct immunity types: hybrid-induced immunity </w:t>
      </w:r>
      <w:r w:rsidRPr="00D0236F">
        <w:rPr>
          <w:rFonts w:eastAsiaTheme="minorEastAsia"/>
          <w:color w:val="000000" w:themeColor="text1"/>
          <w:spacing w:val="5"/>
          <w:sz w:val="22"/>
          <w:szCs w:val="22"/>
        </w:rPr>
        <w:t>(</w:t>
      </w:r>
      <w:r w:rsidRPr="00D0236F">
        <w:rPr>
          <w:rFonts w:eastAsiaTheme="minorEastAsia"/>
          <w:i/>
          <w:color w:val="000000" w:themeColor="text1"/>
          <w:spacing w:val="5"/>
          <w:sz w:val="22"/>
          <w:szCs w:val="22"/>
        </w:rPr>
        <w:t>S</w:t>
      </w:r>
      <w:r w:rsidRPr="00D0236F">
        <w:rPr>
          <w:rFonts w:eastAsiaTheme="minorEastAsia"/>
          <w:color w:val="000000" w:themeColor="text1"/>
          <w:spacing w:val="5"/>
          <w:sz w:val="22"/>
          <w:szCs w:val="22"/>
          <w:vertAlign w:val="superscript"/>
        </w:rPr>
        <w:t>+</w:t>
      </w:r>
      <w:r w:rsidRPr="00D0236F">
        <w:rPr>
          <w:rFonts w:eastAsiaTheme="minorEastAsia"/>
          <w:i/>
          <w:color w:val="000000" w:themeColor="text1"/>
          <w:spacing w:val="5"/>
          <w:sz w:val="22"/>
          <w:szCs w:val="22"/>
        </w:rPr>
        <w:t>N</w:t>
      </w:r>
      <w:r w:rsidRPr="00D0236F">
        <w:rPr>
          <w:rFonts w:eastAsiaTheme="minorEastAsia"/>
          <w:i/>
          <w:color w:val="000000" w:themeColor="text1"/>
          <w:spacing w:val="-35"/>
          <w:sz w:val="22"/>
          <w:szCs w:val="22"/>
        </w:rPr>
        <w:t xml:space="preserve"> </w:t>
      </w:r>
      <w:r w:rsidRPr="00D0236F">
        <w:rPr>
          <w:rFonts w:eastAsiaTheme="minorEastAsia"/>
          <w:color w:val="000000" w:themeColor="text1"/>
          <w:spacing w:val="3"/>
          <w:sz w:val="22"/>
          <w:szCs w:val="22"/>
          <w:vertAlign w:val="superscript"/>
        </w:rPr>
        <w:t>+</w:t>
      </w:r>
      <w:r w:rsidRPr="00D0236F">
        <w:rPr>
          <w:rFonts w:eastAsiaTheme="minorEastAsia"/>
          <w:color w:val="000000" w:themeColor="text1"/>
          <w:spacing w:val="3"/>
          <w:sz w:val="22"/>
          <w:szCs w:val="22"/>
        </w:rPr>
        <w:t>),</w:t>
      </w:r>
      <w:r w:rsidRPr="00D0236F">
        <w:rPr>
          <w:rFonts w:eastAsiaTheme="minorEastAsia"/>
          <w:color w:val="000000" w:themeColor="text1"/>
          <w:spacing w:val="3"/>
          <w:sz w:val="22"/>
          <w:szCs w:val="22"/>
          <w:lang w:eastAsia="ko-KR"/>
        </w:rPr>
        <w:t xml:space="preserve"> </w:t>
      </w:r>
      <w:r w:rsidRPr="00D0236F">
        <w:rPr>
          <w:rFonts w:eastAsiaTheme="minorEastAsia"/>
          <w:color w:val="000000" w:themeColor="text1"/>
          <w:sz w:val="22"/>
          <w:szCs w:val="22"/>
        </w:rPr>
        <w:t>vaccine-induced immunity (</w:t>
      </w:r>
      <w:r w:rsidRPr="00D0236F">
        <w:rPr>
          <w:rFonts w:eastAsiaTheme="minorEastAsia"/>
          <w:i/>
          <w:color w:val="000000" w:themeColor="text1"/>
          <w:sz w:val="22"/>
          <w:szCs w:val="22"/>
        </w:rPr>
        <w:t>S</w:t>
      </w:r>
      <w:r w:rsidRPr="00D0236F">
        <w:rPr>
          <w:rFonts w:eastAsiaTheme="minorEastAsia"/>
          <w:color w:val="000000" w:themeColor="text1"/>
          <w:sz w:val="22"/>
          <w:szCs w:val="22"/>
          <w:vertAlign w:val="superscript"/>
        </w:rPr>
        <w:t>+</w:t>
      </w:r>
      <w:r w:rsidRPr="00D0236F">
        <w:rPr>
          <w:rFonts w:eastAsiaTheme="minorEastAsia"/>
          <w:i/>
          <w:color w:val="000000" w:themeColor="text1"/>
          <w:sz w:val="22"/>
          <w:szCs w:val="22"/>
        </w:rPr>
        <w:t>N</w:t>
      </w:r>
      <w:r w:rsidRPr="00D0236F">
        <w:rPr>
          <w:rFonts w:eastAsiaTheme="minorEastAsia"/>
          <w:i/>
          <w:color w:val="000000" w:themeColor="text1"/>
          <w:sz w:val="22"/>
          <w:szCs w:val="22"/>
          <w:vertAlign w:val="superscript"/>
        </w:rPr>
        <w:t>−</w:t>
      </w:r>
      <w:r w:rsidRPr="00D0236F">
        <w:rPr>
          <w:rFonts w:eastAsiaTheme="minorEastAsia"/>
          <w:color w:val="000000" w:themeColor="text1"/>
          <w:sz w:val="22"/>
          <w:szCs w:val="22"/>
        </w:rPr>
        <w:t>), infection-induced immunity (</w:t>
      </w:r>
      <w:r w:rsidRPr="00D0236F">
        <w:rPr>
          <w:rFonts w:eastAsiaTheme="minorEastAsia"/>
          <w:i/>
          <w:color w:val="000000" w:themeColor="text1"/>
          <w:sz w:val="22"/>
          <w:szCs w:val="22"/>
        </w:rPr>
        <w:t>S</w:t>
      </w:r>
      <w:r w:rsidRPr="00D0236F">
        <w:rPr>
          <w:rFonts w:eastAsiaTheme="minorEastAsia"/>
          <w:i/>
          <w:color w:val="000000" w:themeColor="text1"/>
          <w:sz w:val="22"/>
          <w:szCs w:val="22"/>
          <w:vertAlign w:val="superscript"/>
        </w:rPr>
        <w:t>−</w:t>
      </w:r>
      <w:r w:rsidRPr="00D0236F">
        <w:rPr>
          <w:rFonts w:eastAsiaTheme="minorEastAsia"/>
          <w:i/>
          <w:color w:val="000000" w:themeColor="text1"/>
          <w:sz w:val="22"/>
          <w:szCs w:val="22"/>
        </w:rPr>
        <w:t xml:space="preserve">N </w:t>
      </w:r>
      <w:r w:rsidRPr="00D0236F">
        <w:rPr>
          <w:rFonts w:eastAsiaTheme="minorEastAsia"/>
          <w:color w:val="000000" w:themeColor="text1"/>
          <w:sz w:val="22"/>
          <w:szCs w:val="22"/>
          <w:vertAlign w:val="superscript"/>
        </w:rPr>
        <w:t>+</w:t>
      </w:r>
      <w:r w:rsidRPr="00D0236F">
        <w:rPr>
          <w:rFonts w:eastAsiaTheme="minorEastAsia"/>
          <w:color w:val="000000" w:themeColor="text1"/>
          <w:sz w:val="22"/>
          <w:szCs w:val="22"/>
        </w:rPr>
        <w:t>), and naive (</w:t>
      </w:r>
      <w:r w:rsidRPr="00D0236F">
        <w:rPr>
          <w:rFonts w:eastAsiaTheme="minorEastAsia"/>
          <w:i/>
          <w:color w:val="000000" w:themeColor="text1"/>
          <w:sz w:val="22"/>
          <w:szCs w:val="22"/>
        </w:rPr>
        <w:t>S</w:t>
      </w:r>
      <w:r w:rsidRPr="00D0236F">
        <w:rPr>
          <w:rFonts w:eastAsiaTheme="minorEastAsia"/>
          <w:i/>
          <w:color w:val="000000" w:themeColor="text1"/>
          <w:sz w:val="22"/>
          <w:szCs w:val="22"/>
          <w:vertAlign w:val="superscript"/>
        </w:rPr>
        <w:t>−</w:t>
      </w:r>
      <w:r w:rsidRPr="00D0236F">
        <w:rPr>
          <w:rFonts w:eastAsiaTheme="minorEastAsia"/>
          <w:i/>
          <w:color w:val="000000" w:themeColor="text1"/>
          <w:sz w:val="22"/>
          <w:szCs w:val="22"/>
        </w:rPr>
        <w:t>N</w:t>
      </w:r>
      <w:r w:rsidRPr="00D0236F">
        <w:rPr>
          <w:rFonts w:eastAsiaTheme="minorEastAsia"/>
          <w:i/>
          <w:color w:val="000000" w:themeColor="text1"/>
          <w:sz w:val="22"/>
          <w:szCs w:val="22"/>
          <w:vertAlign w:val="superscript"/>
        </w:rPr>
        <w:t>−</w:t>
      </w:r>
      <w:r w:rsidRPr="00D0236F">
        <w:rPr>
          <w:rFonts w:eastAsiaTheme="minorEastAsia"/>
          <w:color w:val="000000" w:themeColor="text1"/>
          <w:sz w:val="22"/>
          <w:szCs w:val="22"/>
        </w:rPr>
        <w:t>)</w:t>
      </w:r>
      <w:r w:rsidRPr="00D0236F">
        <w:rPr>
          <w:rFonts w:eastAsiaTheme="minorEastAsia"/>
          <w:color w:val="000000" w:themeColor="text1"/>
          <w:sz w:val="22"/>
          <w:szCs w:val="22"/>
          <w:lang w:eastAsia="ko-KR"/>
        </w:rPr>
        <w:t xml:space="preserve"> </w:t>
      </w:r>
      <w:r w:rsidR="007978EA" w:rsidRPr="00D0236F">
        <w:rPr>
          <w:rFonts w:eastAsiaTheme="minorEastAsia"/>
          <w:color w:val="000000" w:themeColor="text1"/>
          <w:sz w:val="22"/>
          <w:szCs w:val="22"/>
          <w:lang w:eastAsia="ko-KR"/>
        </w:rPr>
        <w:fldChar w:fldCharType="begin"/>
      </w:r>
      <w:r w:rsidR="000C5051" w:rsidRPr="00D0236F">
        <w:rPr>
          <w:rFonts w:eastAsiaTheme="minorEastAsia"/>
          <w:color w:val="000000" w:themeColor="text1"/>
          <w:sz w:val="22"/>
          <w:szCs w:val="22"/>
          <w:lang w:eastAsia="ko-KR"/>
        </w:rPr>
        <w:instrText xml:space="preserve"> ADDIN ZOTERO_ITEM CSL_CITATION {"citationID":"dyrx89jl","properties":{"formattedCitation":"[11], [12]","plainCitation":"[11], [12]","noteIndex":0},"citationItems":[{"id":45,"uris":["http://zotero.org/users/14790911/items/Q442CZCD"],"itemData":{"id":45,"type":"article-journal","abstract":"The SARS-CoV-2 messenger RNA (mRNA) vaccines BNT162b2 (Pfizer-BioNTech) and mRNA-1273 (Moderna) have each shown more than 90% efficacy in preventing COVID-19 illness but, to our knowledge, humoral immune responses have not been compared directly.","container-title":"JAMA","DOI":"10.1001/jama.2021.15125","ISSN":"0098-7484","issue":"15","journalAbbreviation":"JAMA","page":"1533-1535","source":"Silverchair","title":"Comparison of SARS-CoV-2 Antibody Response Following Vaccination With BNT162b2 and mRNA-1273","volume":"326","author":[{"family":"Steensels","given":"Deborah"},{"family":"Pierlet","given":"Noella"},{"family":"Penders","given":"Joris"},{"family":"Mesotten","given":"Dieter"},{"family":"Heylen","given":"Line"}],"issued":{"date-parts":[["2021",10,19]]}}},{"id":47,"uris":["http://zotero.org/users/14790911/items/XJB56K74"],"itemData":{"id":47,"type":"article-journal","abstract":"&lt;h2&gt;Summary&lt;/h2&gt;&lt;p&gt;Recent surveillance has revealed the emergence of the SARS-CoV-2 Omicron variant (BA.1/B.1.1.529) harboring up to 36 mutations in spike protein, the target of neutralizing antibodies. Given its potential to escape vaccine-induced humoral immunity, we measured the neutralization potency of sera from 88 mRNA-1273, 111 BNT162b, and 40 Ad26.COV2.S vaccine recipients against wild-type, Delta, and Omicron SARS-CoV-2 pseudoviruses. We included individuals that received their primary series recently (&lt;3 months), distantly (6–12 months), or an additional \"booster\" dose, while accounting for prior SARS-CoV-2 infection. Remarkably, neutralization of Omicron was undetectable in most vaccinees. However, individuals boosted with mRNA vaccines exhibited potent neutralization of Omicron, only 4–6-fold lower than wild type, suggesting enhanced cross-reactivity of neutralizing antibody responses. In addition, we find that Omicron pseudovirus infects more efficiently than other variants tested. Overall, this study highlights the importance of additional mRNA doses to broaden neutralizing antibody responses against highly divergent SARS-CoV-2 variants.&lt;/p&gt;","container-title":"Cell","DOI":"10.1016/j.cell.2021.12.033","ISSN":"0092-8674, 1097-4172","issue":"3","journalAbbreviation":"Cell","language":"English","note":"publisher: Elsevier\nPMID: 34995482","page":"457-466.e4","source":"www.cell.com","title":"mRNA-based COVID-19 vaccine boosters induce neutralizing immunity against SARS-CoV-2 Omicron variant","volume":"185","author":[{"family":"Garcia-Beltran","given":"Wilfredo F."},{"family":"Denis","given":"Kerri J. St"},{"family":"Hoelzemer","given":"Angelique"},{"family":"Lam","given":"Evan C."},{"family":"Nitido","given":"Adam D."},{"family":"Sheehan","given":"Maegan L."},{"family":"Berrios","given":"Cristhian"},{"family":"Ofoman","given":"Onosereme"},{"family":"Chang","given":"Christina C."},{"family":"Hauser","given":"Blake M."},{"family":"Feldman","given":"Jared"},{"family":"Roederer","given":"Alex L."},{"family":"Gregory","given":"David J."},{"family":"Poznansky","given":"Mark C."},{"family":"Schmidt","given":"Aaron G."},{"family":"Iafrate","given":"A. John"},{"family":"Naranbhai","given":"Vivek"},{"family":"Balazs","given":"Alejandro B."}],"issued":{"date-parts":[["2022",2,3]]}}}],"schema":"https://github.com/citation-style-language/schema/raw/master/csl-citation.json"} </w:instrText>
      </w:r>
      <w:r w:rsidR="007978EA" w:rsidRPr="00D0236F">
        <w:rPr>
          <w:rFonts w:eastAsiaTheme="minorEastAsia"/>
          <w:color w:val="000000" w:themeColor="text1"/>
          <w:sz w:val="22"/>
          <w:szCs w:val="22"/>
          <w:lang w:eastAsia="ko-KR"/>
        </w:rPr>
        <w:fldChar w:fldCharType="separate"/>
      </w:r>
      <w:r w:rsidR="000C5051" w:rsidRPr="00D0236F">
        <w:rPr>
          <w:rFonts w:eastAsiaTheme="minorEastAsia"/>
          <w:noProof/>
          <w:color w:val="000000" w:themeColor="text1"/>
          <w:sz w:val="22"/>
          <w:szCs w:val="22"/>
          <w:lang w:eastAsia="ko-KR"/>
        </w:rPr>
        <w:t>[11], [12]</w:t>
      </w:r>
      <w:r w:rsidR="007978EA" w:rsidRPr="00D0236F">
        <w:rPr>
          <w:rFonts w:eastAsiaTheme="minorEastAsia"/>
          <w:color w:val="000000" w:themeColor="text1"/>
          <w:sz w:val="22"/>
          <w:szCs w:val="22"/>
          <w:lang w:eastAsia="ko-KR"/>
        </w:rPr>
        <w:fldChar w:fldCharType="end"/>
      </w:r>
      <w:r w:rsidR="002F0C3B" w:rsidRPr="00D0236F">
        <w:rPr>
          <w:rFonts w:eastAsiaTheme="minorEastAsia"/>
          <w:color w:val="000000" w:themeColor="text1"/>
          <w:sz w:val="22"/>
          <w:szCs w:val="22"/>
        </w:rPr>
        <w:t xml:space="preserve">. </w:t>
      </w:r>
      <w:r w:rsidRPr="00D0236F">
        <w:rPr>
          <w:rFonts w:eastAsiaTheme="minorEastAsia"/>
          <w:color w:val="000000" w:themeColor="text1"/>
          <w:sz w:val="22"/>
          <w:szCs w:val="22"/>
        </w:rPr>
        <w:t xml:space="preserve">Notably, the hybrid-induced and vaccine-induced immunity groups comprised over </w:t>
      </w:r>
      <w:r w:rsidRPr="00D0236F">
        <w:rPr>
          <w:rFonts w:eastAsiaTheme="minorEastAsia"/>
          <w:color w:val="000000" w:themeColor="text1"/>
          <w:spacing w:val="-4"/>
          <w:sz w:val="22"/>
          <w:szCs w:val="22"/>
        </w:rPr>
        <w:t xml:space="preserve">98% </w:t>
      </w:r>
      <w:r w:rsidRPr="00D0236F">
        <w:rPr>
          <w:rFonts w:eastAsiaTheme="minorEastAsia"/>
          <w:color w:val="000000" w:themeColor="text1"/>
          <w:sz w:val="22"/>
          <w:szCs w:val="22"/>
        </w:rPr>
        <w:t>of the cohort population</w:t>
      </w:r>
      <w:r w:rsidRPr="00D0236F">
        <w:rPr>
          <w:rFonts w:eastAsiaTheme="minorEastAsia"/>
          <w:color w:val="000000" w:themeColor="text1"/>
          <w:sz w:val="22"/>
          <w:szCs w:val="22"/>
          <w:lang w:eastAsia="ko-KR"/>
        </w:rPr>
        <w:t xml:space="preserve"> (Figure 1)</w:t>
      </w:r>
      <w:r w:rsidRPr="00D0236F">
        <w:rPr>
          <w:rFonts w:eastAsiaTheme="minorEastAsia"/>
          <w:color w:val="000000" w:themeColor="text1"/>
          <w:sz w:val="22"/>
          <w:szCs w:val="22"/>
        </w:rPr>
        <w:t>. Consequently, subsequent research focused primarily on these two groups.</w:t>
      </w:r>
      <w:r w:rsidRPr="00D0236F">
        <w:rPr>
          <w:rFonts w:eastAsiaTheme="minorEastAsia"/>
          <w:color w:val="000000" w:themeColor="text1"/>
          <w:sz w:val="22"/>
          <w:szCs w:val="22"/>
          <w:lang w:eastAsia="ko-KR"/>
        </w:rPr>
        <w:t xml:space="preserve"> The demographic and clinical characteristics of the two groups are described in Table 1. </w:t>
      </w:r>
    </w:p>
    <w:p w14:paraId="0729A2B0" w14:textId="77777777" w:rsidR="008D184F" w:rsidRPr="00D0236F" w:rsidRDefault="008D184F" w:rsidP="005B7F6E">
      <w:pPr>
        <w:pStyle w:val="BodyText"/>
        <w:spacing w:line="360" w:lineRule="auto"/>
        <w:ind w:left="0"/>
        <w:jc w:val="both"/>
        <w:rPr>
          <w:rFonts w:eastAsiaTheme="minorEastAsia"/>
          <w:color w:val="000000" w:themeColor="text1"/>
          <w:sz w:val="22"/>
          <w:szCs w:val="22"/>
          <w:lang w:eastAsia="ko-KR"/>
        </w:rPr>
      </w:pPr>
    </w:p>
    <w:p w14:paraId="148AEFEF" w14:textId="39F6AD28" w:rsidR="008D184F" w:rsidRPr="00D0236F" w:rsidRDefault="002F0C3B" w:rsidP="005B7F6E">
      <w:pPr>
        <w:pStyle w:val="BodyText"/>
        <w:spacing w:line="360" w:lineRule="auto"/>
        <w:ind w:left="0"/>
        <w:jc w:val="both"/>
        <w:rPr>
          <w:rFonts w:eastAsiaTheme="minorEastAsia"/>
          <w:color w:val="000000" w:themeColor="text1"/>
          <w:sz w:val="22"/>
          <w:szCs w:val="22"/>
          <w:lang w:eastAsia="ko-KR"/>
        </w:rPr>
      </w:pPr>
      <w:r w:rsidRPr="00D0236F">
        <w:rPr>
          <w:rFonts w:eastAsiaTheme="minorEastAsia"/>
          <w:color w:val="000000" w:themeColor="text1"/>
          <w:sz w:val="22"/>
          <w:szCs w:val="22"/>
          <w:lang w:eastAsia="ko-KR"/>
        </w:rPr>
        <w:t>We analyzed two primary outcomes: S antibody levels at the first and second surveillance points (Figure 2) and the occurrence of infection events between these points (Figure 3). To ensure the validity of our assessment of S antibody levels on COVID-19 protection (Figure 3), we implemented rigorous exclusion criteria. Individuals not participating in the second survey and those vaccinated between surveillance periods were excluded to maintain the relevance of initial S antibody levels. We employed a nested case-control (NCC) design</w:t>
      </w:r>
      <w:r w:rsidR="007978EA" w:rsidRPr="00D0236F">
        <w:rPr>
          <w:rFonts w:eastAsiaTheme="minorEastAsia"/>
          <w:color w:val="000000" w:themeColor="text1"/>
          <w:sz w:val="22"/>
          <w:szCs w:val="22"/>
          <w:lang w:eastAsia="ko-KR"/>
        </w:rPr>
        <w:t xml:space="preserve"> </w:t>
      </w:r>
      <w:r w:rsidR="007978EA" w:rsidRPr="00D0236F">
        <w:rPr>
          <w:rFonts w:eastAsiaTheme="minorEastAsia"/>
          <w:color w:val="000000" w:themeColor="text1"/>
          <w:sz w:val="22"/>
          <w:szCs w:val="22"/>
          <w:lang w:eastAsia="ko-KR"/>
        </w:rPr>
        <w:fldChar w:fldCharType="begin"/>
      </w:r>
      <w:r w:rsidR="000C5051" w:rsidRPr="00D0236F">
        <w:rPr>
          <w:rFonts w:eastAsiaTheme="minorEastAsia"/>
          <w:color w:val="000000" w:themeColor="text1"/>
          <w:sz w:val="22"/>
          <w:szCs w:val="22"/>
          <w:lang w:eastAsia="ko-KR"/>
        </w:rPr>
        <w:instrText xml:space="preserve"> ADDIN ZOTERO_ITEM CSL_CITATION {"citationID":"3eex9ghz","properties":{"formattedCitation":"[13], [14]","plainCitation":"[13], [14]","noteIndex":0},"citationItems":[{"id":53,"uris":["http://zotero.org/users/14790911/items/W7WCIITV"],"itemData":{"id":53,"type":"article-journal","abstract":"BACKGROUND: The nested case-control design can be a very efficient approach to an epidemiological investigation. In order to obtain unbiased estimates of relative risk, controls should be selected by incidence density sampling, which involves matching each case to a sample of those who are at risk at the time of case occurrence.\nMETHODS: This paper presents a simple computer program for incidence density sampling. This program was evaluated using data derived from a cohort study of mortality among workers employed in the nuclear weapons industry. Controls were selected for cases via incidence density sampling; an estimate of the exposure-mortality association was obtained via conditional logistic regression. After 100 iterations of this procedure, the average effect estimate was compared to the risk estimate obtained via proportional hazards regression. The same methods were used to evaluate a program for incidence density sampling that was proposed previously by Pearce in 1989.\nRESULTS: Relative risk estimates obtained from nested case-control analyses conducted using the incidence density sampling program reported in this paper are unbiased. In contrast, the program for incidence density sampling proposed by Pearce tended to produce biased relative risk estimates; the magnitude of bias increased with increasing numbers of controls selected per case.\nCONCLUSIONS: The computer program described in this paper offers a simple approach to incidence density sampling for nested case-control analyses with exact matching on attained age and appropriate enumeration of the pool of eligible controls for each case. This method overcomes problems of bias inherent in a previously proposed program for incidence density sampling.","container-title":"Occupational and Environmental Medicine","DOI":"10.1136/oem.2004.014472","ISSN":"1470-7926","issue":"12","journalAbbreviation":"Occup Environ Med","language":"eng","note":"PMID: 15550597\nPMCID: PMC1740694","page":"e59","source":"PubMed","title":"An incidence density sampling program for nested case-control analyses","volume":"61","author":[{"family":"Richardson","given":"D. B."}],"issued":{"date-parts":[["2004",12]]}}},{"id":50,"uris":["http://zotero.org/users/14790911/items/KVLUIK78"],"itemData":{"id":50,"type":"article-journal","abstract":"&lt;p&gt;There are two common misconceptions about case-control studies: that matching in itself eliminates (controls) confounding by the matching factors, and that if matching has been performed, then a “matched analysis” is required. However, matching in a case-control study does not control for confounding by the matching factors; in fact it can introduce confounding by the matching factors even when it did not exist in the source population. Thus, a matched design may require controlling for the matching factors in the analysis. However, it is not the case that a matched design requires a matched analysis. Provided that there are no problems of sparse data, control for the matching factors can be obtained, with no loss of validity and a possible increase in precision, using a “standard” (unconditional) analysis, and a “matched” (conditional) analysis may not be required or appropriate.&lt;/p&gt;","container-title":"BMJ","DOI":"10.1136/bmj.i969","ISSN":"1756-1833","journalAbbreviation":"BMJ","language":"en","license":"Published by the BMJ Publishing Group Limited. For permission to use (where not already granted under a licence) please go to http://group.bmj.com/group/rights-licensing/permissions. This is an Open Access article distributed in accordance with the Creative Commons Attribution Non Commercial (CC BY-NC 3.0) license, which permits others to distribute, remix, adapt, build upon this work non-commercially, and license their derivative works on different terms, provided the original work is properly cited and the use is non-commercial. See: http://creativecommons.org/licenses/by-nc/3.0/.","note":"publisher: British Medical Journal Publishing Group\nsection: Research Methods &amp;amp; Reporting\nPMID: 26916049","page":"i969","source":"www.bmj.com","title":"Analysis of matched case-control studies","volume":"352","author":[{"family":"Pearce","given":"Neil"}],"issued":{"date-parts":[["2016",2,25]]}}}],"schema":"https://github.com/citation-style-language/schema/raw/master/csl-citation.json"} </w:instrText>
      </w:r>
      <w:r w:rsidR="007978EA" w:rsidRPr="00D0236F">
        <w:rPr>
          <w:rFonts w:eastAsiaTheme="minorEastAsia"/>
          <w:color w:val="000000" w:themeColor="text1"/>
          <w:sz w:val="22"/>
          <w:szCs w:val="22"/>
          <w:lang w:eastAsia="ko-KR"/>
        </w:rPr>
        <w:fldChar w:fldCharType="separate"/>
      </w:r>
      <w:r w:rsidR="000C5051" w:rsidRPr="00D0236F">
        <w:rPr>
          <w:rFonts w:eastAsiaTheme="minorEastAsia"/>
          <w:noProof/>
          <w:color w:val="000000" w:themeColor="text1"/>
          <w:sz w:val="22"/>
          <w:szCs w:val="22"/>
          <w:lang w:eastAsia="ko-KR"/>
        </w:rPr>
        <w:t>[13], [14]</w:t>
      </w:r>
      <w:r w:rsidR="007978EA" w:rsidRPr="00D0236F">
        <w:rPr>
          <w:rFonts w:eastAsiaTheme="minorEastAsia"/>
          <w:color w:val="000000" w:themeColor="text1"/>
          <w:sz w:val="22"/>
          <w:szCs w:val="22"/>
          <w:lang w:eastAsia="ko-KR"/>
        </w:rPr>
        <w:fldChar w:fldCharType="end"/>
      </w:r>
      <w:r w:rsidRPr="00D0236F">
        <w:rPr>
          <w:rFonts w:eastAsiaTheme="minorEastAsia"/>
          <w:color w:val="000000" w:themeColor="text1"/>
          <w:sz w:val="22"/>
          <w:szCs w:val="22"/>
          <w:lang w:eastAsia="ko-KR"/>
        </w:rPr>
        <w:t xml:space="preserve">, matching </w:t>
      </w:r>
      <w:r w:rsidRPr="00D0236F">
        <w:rPr>
          <w:rFonts w:eastAsiaTheme="minorEastAsia"/>
          <w:color w:val="000000" w:themeColor="text1"/>
          <w:sz w:val="22"/>
          <w:szCs w:val="22"/>
          <w:lang w:eastAsia="ko-KR"/>
        </w:rPr>
        <w:lastRenderedPageBreak/>
        <w:t>cases and controls by age and S antibody levels while treating other characteristics as potential confounders. This approach ensured robust comparisons and controlled for confounding variables in the logistic regression model.</w:t>
      </w:r>
    </w:p>
    <w:p w14:paraId="3404F432" w14:textId="77777777" w:rsidR="002F0C3B" w:rsidRPr="00D0236F" w:rsidRDefault="002F0C3B" w:rsidP="005B7F6E">
      <w:pPr>
        <w:pStyle w:val="BodyText"/>
        <w:spacing w:line="360" w:lineRule="auto"/>
        <w:ind w:left="0"/>
        <w:jc w:val="both"/>
        <w:rPr>
          <w:rFonts w:eastAsiaTheme="minorEastAsia"/>
          <w:b/>
          <w:bCs/>
          <w:sz w:val="22"/>
          <w:szCs w:val="22"/>
          <w:lang w:eastAsia="ko-KR"/>
        </w:rPr>
      </w:pPr>
    </w:p>
    <w:p w14:paraId="664EFF74" w14:textId="1EF7980E" w:rsidR="008D184F" w:rsidRPr="00D0236F" w:rsidRDefault="00D3651D" w:rsidP="005B7F6E">
      <w:pPr>
        <w:pStyle w:val="BodyText"/>
        <w:spacing w:line="360" w:lineRule="auto"/>
        <w:ind w:left="0"/>
        <w:jc w:val="both"/>
        <w:rPr>
          <w:rFonts w:eastAsiaTheme="minorEastAsia"/>
          <w:sz w:val="22"/>
          <w:szCs w:val="22"/>
          <w:lang w:eastAsia="ko-KR"/>
        </w:rPr>
      </w:pPr>
      <w:commentRangeStart w:id="15"/>
      <w:commentRangeStart w:id="16"/>
      <w:r w:rsidRPr="00D0236F">
        <w:rPr>
          <w:rFonts w:eastAsiaTheme="minorEastAsia"/>
          <w:b/>
          <w:bCs/>
          <w:sz w:val="22"/>
          <w:szCs w:val="22"/>
          <w:lang w:eastAsia="ko-KR"/>
        </w:rPr>
        <w:t>Statistical analyses</w:t>
      </w:r>
      <w:r w:rsidRPr="00D0236F">
        <w:rPr>
          <w:rFonts w:eastAsiaTheme="minorEastAsia"/>
          <w:sz w:val="22"/>
          <w:szCs w:val="22"/>
          <w:lang w:eastAsia="ko-KR"/>
        </w:rPr>
        <w:t xml:space="preserve">. </w:t>
      </w:r>
      <w:bookmarkStart w:id="17" w:name="Results"/>
      <w:bookmarkEnd w:id="17"/>
      <w:commentRangeEnd w:id="15"/>
      <w:r w:rsidR="006D6499" w:rsidRPr="00D0236F">
        <w:rPr>
          <w:rStyle w:val="CommentReference"/>
          <w:sz w:val="22"/>
          <w:szCs w:val="22"/>
        </w:rPr>
        <w:commentReference w:id="15"/>
      </w:r>
      <w:commentRangeEnd w:id="16"/>
      <w:r w:rsidR="006D6499" w:rsidRPr="00D0236F">
        <w:rPr>
          <w:rStyle w:val="CommentReference"/>
          <w:sz w:val="22"/>
          <w:szCs w:val="22"/>
        </w:rPr>
        <w:commentReference w:id="16"/>
      </w:r>
      <w:r w:rsidR="002F0C3B" w:rsidRPr="00D0236F">
        <w:rPr>
          <w:rFonts w:eastAsiaTheme="minorEastAsia"/>
          <w:sz w:val="22"/>
          <w:szCs w:val="22"/>
          <w:lang w:eastAsia="ko-KR"/>
        </w:rPr>
        <w:t xml:space="preserve">We began by conducting descriptive analyses to generate trajectory plots that track the average changes in S antibody levels across different immunity groups and age subgroups following immunological events. This allowed us to visualize the dynamic changes in antibody levels over time. </w:t>
      </w:r>
      <w:commentRangeStart w:id="18"/>
      <w:r w:rsidR="0034613C" w:rsidRPr="00D0236F">
        <w:rPr>
          <w:rFonts w:eastAsiaTheme="minorEastAsia"/>
          <w:sz w:val="22"/>
          <w:szCs w:val="22"/>
          <w:lang w:eastAsia="ko-KR"/>
        </w:rPr>
        <w:t xml:space="preserve">To address potential imbalances in the case-control data and to control </w:t>
      </w:r>
      <w:commentRangeStart w:id="19"/>
      <w:r w:rsidR="0034613C" w:rsidRPr="00D0236F">
        <w:rPr>
          <w:rFonts w:eastAsiaTheme="minorEastAsia"/>
          <w:sz w:val="22"/>
          <w:szCs w:val="22"/>
          <w:lang w:eastAsia="ko-KR"/>
        </w:rPr>
        <w:t>for confounding variables</w:t>
      </w:r>
      <w:commentRangeEnd w:id="19"/>
      <w:r w:rsidR="007B4FC3" w:rsidRPr="00D0236F">
        <w:rPr>
          <w:rStyle w:val="CommentReference"/>
          <w:sz w:val="22"/>
          <w:szCs w:val="22"/>
        </w:rPr>
        <w:commentReference w:id="19"/>
      </w:r>
      <w:r w:rsidR="0034613C" w:rsidRPr="00D0236F">
        <w:rPr>
          <w:rFonts w:eastAsiaTheme="minorEastAsia"/>
          <w:sz w:val="22"/>
          <w:szCs w:val="22"/>
          <w:lang w:eastAsia="ko-KR"/>
        </w:rPr>
        <w:t xml:space="preserve">, we implemented the nested case-control (NCC) method using the R package ‘Epi’ </w:t>
      </w:r>
      <w:r w:rsidR="0034613C" w:rsidRPr="00D0236F">
        <w:rPr>
          <w:rFonts w:eastAsiaTheme="minorEastAsia"/>
          <w:sz w:val="22"/>
          <w:szCs w:val="22"/>
          <w:lang w:eastAsia="ko-KR"/>
        </w:rPr>
        <w:fldChar w:fldCharType="begin"/>
      </w:r>
      <w:r w:rsidR="000C5051" w:rsidRPr="00D0236F">
        <w:rPr>
          <w:rFonts w:eastAsiaTheme="minorEastAsia"/>
          <w:sz w:val="22"/>
          <w:szCs w:val="22"/>
          <w:lang w:eastAsia="ko-KR"/>
        </w:rPr>
        <w:instrText xml:space="preserve"> ADDIN ZOTERO_ITEM CSL_CITATION {"citationID":"Im5arJyK","properties":{"formattedCitation":"[15]","plainCitation":"[15]","noteIndex":0},"citationItems":[{"id":56,"uris":["http://zotero.org/users/14790911/items/ZV4AD8IJ"],"itemData":{"id":56,"type":"software","abstract":"Functions for demographic and epidemiological analysis in the Lexis diagram, i.e. register and cohort follow-up data. In particular representation, manipulation, rate estimation and simulation for multistate data - the Lexis suite of functions, which includes interfaces to 'mstate', 'etm' and 'cmprsk' packages. Contains functions for Age-Period-Cohort and Lee-Carter modeling and a function for interval censored data and some useful functions for tabulation and plotting, as well as a number of epidemiological data sets.","license":"GPL-2","source":"R-Packages","title":"Epi: Statistical Analysis in Epidemiology","title-short":"Epi","URL":"https://cran.r-project.org/web/packages/Epi/index.html","version":"2.53","author":[{"family":"Carstensen","given":"Bendix"},{"family":"Plummer","given":"Martyn"},{"family":"Laara","given":"Esa"},{"family":"Hills","given":"Michael"}],"accessed":{"date-parts":[["2024",8,12]]},"issued":{"date-parts":[["2024",7,18]]}}}],"schema":"https://github.com/citation-style-language/schema/raw/master/csl-citation.json"} </w:instrText>
      </w:r>
      <w:r w:rsidR="0034613C" w:rsidRPr="00D0236F">
        <w:rPr>
          <w:rFonts w:eastAsiaTheme="minorEastAsia"/>
          <w:sz w:val="22"/>
          <w:szCs w:val="22"/>
          <w:lang w:eastAsia="ko-KR"/>
        </w:rPr>
        <w:fldChar w:fldCharType="separate"/>
      </w:r>
      <w:r w:rsidR="000C5051" w:rsidRPr="00D0236F">
        <w:rPr>
          <w:rFonts w:eastAsiaTheme="minorEastAsia"/>
          <w:noProof/>
          <w:sz w:val="22"/>
          <w:szCs w:val="22"/>
          <w:lang w:eastAsia="ko-KR"/>
        </w:rPr>
        <w:t>[15]</w:t>
      </w:r>
      <w:r w:rsidR="0034613C" w:rsidRPr="00D0236F">
        <w:rPr>
          <w:rFonts w:eastAsiaTheme="minorEastAsia"/>
          <w:sz w:val="22"/>
          <w:szCs w:val="22"/>
          <w:lang w:eastAsia="ko-KR"/>
        </w:rPr>
        <w:fldChar w:fldCharType="end"/>
      </w:r>
      <w:r w:rsidR="0034613C" w:rsidRPr="00D0236F">
        <w:rPr>
          <w:rFonts w:eastAsiaTheme="minorEastAsia"/>
          <w:sz w:val="22"/>
          <w:szCs w:val="22"/>
          <w:lang w:eastAsia="ko-KR"/>
        </w:rPr>
        <w:t xml:space="preserve">, adjusting the matching ratio from 1:6 to 1:3 between cases and controls. This adjustment was made based on the recommendations of Pearce </w:t>
      </w:r>
      <w:r w:rsidR="0034613C" w:rsidRPr="00D0236F">
        <w:rPr>
          <w:rFonts w:eastAsiaTheme="minorEastAsia"/>
          <w:sz w:val="22"/>
          <w:szCs w:val="22"/>
          <w:lang w:eastAsia="ko-KR"/>
        </w:rPr>
        <w:fldChar w:fldCharType="begin"/>
      </w:r>
      <w:r w:rsidR="000C5051" w:rsidRPr="00D0236F">
        <w:rPr>
          <w:rFonts w:eastAsiaTheme="minorEastAsia"/>
          <w:sz w:val="22"/>
          <w:szCs w:val="22"/>
          <w:lang w:eastAsia="ko-KR"/>
        </w:rPr>
        <w:instrText xml:space="preserve"> ADDIN ZOTERO_ITEM CSL_CITATION {"citationID":"EnBhPv9O","properties":{"formattedCitation":"[14]","plainCitation":"[14]","noteIndex":0},"citationItems":[{"id":50,"uris":["http://zotero.org/users/14790911/items/KVLUIK78"],"itemData":{"id":50,"type":"article-journal","abstract":"&lt;p&gt;There are two common misconceptions about case-control studies: that matching in itself eliminates (controls) confounding by the matching factors, and that if matching has been performed, then a “matched analysis” is required. However, matching in a case-control study does not control for confounding by the matching factors; in fact it can introduce confounding by the matching factors even when it did not exist in the source population. Thus, a matched design may require controlling for the matching factors in the analysis. However, it is not the case that a matched design requires a matched analysis. Provided that there are no problems of sparse data, control for the matching factors can be obtained, with no loss of validity and a possible increase in precision, using a “standard” (unconditional) analysis, and a “matched” (conditional) analysis may not be required or appropriate.&lt;/p&gt;","container-title":"BMJ","DOI":"10.1136/bmj.i969","ISSN":"1756-1833","journalAbbreviation":"BMJ","language":"en","license":"Published by the BMJ Publishing Group Limited. For permission to use (where not already granted under a licence) please go to http://group.bmj.com/group/rights-licensing/permissions. This is an Open Access article distributed in accordance with the Creative Commons Attribution Non Commercial (CC BY-NC 3.0) license, which permits others to distribute, remix, adapt, build upon this work non-commercially, and license their derivative works on different terms, provided the original work is properly cited and the use is non-commercial. See: http://creativecommons.org/licenses/by-nc/3.0/.","note":"publisher: British Medical Journal Publishing Group\nsection: Research Methods &amp;amp; Reporting\nPMID: 26916049","page":"i969","source":"www.bmj.com","title":"Analysis of matched case-control studies","volume":"352","author":[{"family":"Pearce","given":"Neil"}],"issued":{"date-parts":[["2016",2,25]]}}}],"schema":"https://github.com/citation-style-language/schema/raw/master/csl-citation.json"} </w:instrText>
      </w:r>
      <w:r w:rsidR="0034613C" w:rsidRPr="00D0236F">
        <w:rPr>
          <w:rFonts w:eastAsiaTheme="minorEastAsia"/>
          <w:sz w:val="22"/>
          <w:szCs w:val="22"/>
          <w:lang w:eastAsia="ko-KR"/>
        </w:rPr>
        <w:fldChar w:fldCharType="separate"/>
      </w:r>
      <w:r w:rsidR="000C5051" w:rsidRPr="00D0236F">
        <w:rPr>
          <w:rFonts w:eastAsiaTheme="minorEastAsia"/>
          <w:noProof/>
          <w:sz w:val="22"/>
          <w:szCs w:val="22"/>
          <w:lang w:eastAsia="ko-KR"/>
        </w:rPr>
        <w:t>[14]</w:t>
      </w:r>
      <w:r w:rsidR="0034613C" w:rsidRPr="00D0236F">
        <w:rPr>
          <w:rFonts w:eastAsiaTheme="minorEastAsia"/>
          <w:sz w:val="22"/>
          <w:szCs w:val="22"/>
          <w:lang w:eastAsia="ko-KR"/>
        </w:rPr>
        <w:fldChar w:fldCharType="end"/>
      </w:r>
      <w:r w:rsidR="0034613C" w:rsidRPr="00D0236F">
        <w:rPr>
          <w:rFonts w:eastAsiaTheme="minorEastAsia"/>
          <w:sz w:val="22"/>
          <w:szCs w:val="22"/>
          <w:lang w:eastAsia="ko-KR"/>
        </w:rPr>
        <w:t xml:space="preserve"> to optimize the balance between statistical power and practical feasibility. </w:t>
      </w:r>
      <w:commentRangeEnd w:id="18"/>
      <w:r w:rsidR="0034613C" w:rsidRPr="00D0236F">
        <w:rPr>
          <w:rStyle w:val="CommentReference"/>
          <w:sz w:val="22"/>
          <w:szCs w:val="22"/>
        </w:rPr>
        <w:commentReference w:id="18"/>
      </w:r>
      <w:r w:rsidR="002F0C3B" w:rsidRPr="00D0236F">
        <w:rPr>
          <w:rFonts w:eastAsiaTheme="minorEastAsia"/>
          <w:sz w:val="22"/>
          <w:szCs w:val="22"/>
          <w:lang w:eastAsia="ko-KR"/>
        </w:rPr>
        <w:t xml:space="preserve">Following this, we performed Kaplan-Meier survival analyses to compare the protective efficacy of the two primary immunity groups, focusing on the probability of remaining free from COVID-19 infection after the initial surveillance period. The outcome within each group was defined as the infection status during the first and second surveillance periods. Furthermore, we employed Cox proportional hazards regression to investigate the effects of various variables on survival time, </w:t>
      </w:r>
      <w:commentRangeStart w:id="20"/>
      <w:r w:rsidR="002F0C3B" w:rsidRPr="00D0236F">
        <w:rPr>
          <w:rFonts w:eastAsiaTheme="minorEastAsia"/>
          <w:sz w:val="22"/>
          <w:szCs w:val="22"/>
          <w:lang w:eastAsia="ko-KR"/>
        </w:rPr>
        <w:t>adjusting for potential confounders</w:t>
      </w:r>
      <w:commentRangeEnd w:id="20"/>
      <w:r w:rsidR="007B4FC3" w:rsidRPr="00D0236F">
        <w:rPr>
          <w:rStyle w:val="CommentReference"/>
          <w:sz w:val="22"/>
          <w:szCs w:val="22"/>
        </w:rPr>
        <w:commentReference w:id="20"/>
      </w:r>
      <w:r w:rsidR="002F0C3B" w:rsidRPr="00D0236F">
        <w:rPr>
          <w:rFonts w:eastAsiaTheme="minorEastAsia"/>
          <w:sz w:val="22"/>
          <w:szCs w:val="22"/>
          <w:lang w:eastAsia="ko-KR"/>
        </w:rPr>
        <w:t xml:space="preserve"> to provide a more comprehensive understanding of the associated risk factors. Finally, mixed-effects logistic regression models were used to evaluate the protective efficacy, defined as the probability of remaining infection-free, associated with S antibody levels across different immunity and age subgroups. This comprehensive approach allowed us to rigorously assess the impact of S antibody levels on COVID-19 protection across diverse </w:t>
      </w:r>
      <w:commentRangeStart w:id="21"/>
      <w:r w:rsidR="002F0C3B" w:rsidRPr="00D0236F">
        <w:rPr>
          <w:rFonts w:eastAsiaTheme="minorEastAsia"/>
          <w:sz w:val="22"/>
          <w:szCs w:val="22"/>
          <w:lang w:eastAsia="ko-KR"/>
        </w:rPr>
        <w:t>populations.</w:t>
      </w:r>
      <w:commentRangeEnd w:id="21"/>
      <w:r w:rsidR="001B0213" w:rsidRPr="00D0236F">
        <w:rPr>
          <w:rStyle w:val="CommentReference"/>
          <w:sz w:val="22"/>
          <w:szCs w:val="22"/>
        </w:rPr>
        <w:commentReference w:id="21"/>
      </w:r>
    </w:p>
    <w:p w14:paraId="7AD83F4F" w14:textId="77777777" w:rsidR="00A829A1" w:rsidRPr="00D0236F" w:rsidRDefault="00A829A1" w:rsidP="005B7F6E">
      <w:pPr>
        <w:pStyle w:val="BodyText"/>
        <w:spacing w:line="360" w:lineRule="auto"/>
        <w:ind w:left="0"/>
        <w:jc w:val="both"/>
        <w:rPr>
          <w:rFonts w:eastAsiaTheme="minorEastAsia"/>
          <w:sz w:val="22"/>
          <w:szCs w:val="22"/>
          <w:lang w:eastAsia="ko-KR"/>
        </w:rPr>
      </w:pPr>
    </w:p>
    <w:p w14:paraId="21AFAAE7" w14:textId="77777777" w:rsidR="00A829A1" w:rsidRPr="00D0236F" w:rsidRDefault="00A829A1" w:rsidP="005B7F6E">
      <w:pPr>
        <w:pStyle w:val="BodyText"/>
        <w:spacing w:line="360" w:lineRule="auto"/>
        <w:ind w:left="0"/>
        <w:jc w:val="both"/>
        <w:rPr>
          <w:rFonts w:eastAsiaTheme="minorEastAsia"/>
          <w:sz w:val="22"/>
          <w:szCs w:val="22"/>
          <w:lang w:eastAsia="ko-KR"/>
        </w:rPr>
      </w:pPr>
    </w:p>
    <w:p w14:paraId="666985A3" w14:textId="4B95C8A2" w:rsidR="00A829A1" w:rsidRPr="00D0236F" w:rsidRDefault="00A829A1" w:rsidP="005B7F6E">
      <w:pPr>
        <w:pStyle w:val="BodyText"/>
        <w:spacing w:line="360" w:lineRule="auto"/>
        <w:ind w:left="0"/>
        <w:jc w:val="both"/>
        <w:rPr>
          <w:rFonts w:eastAsiaTheme="minorEastAsia"/>
          <w:sz w:val="22"/>
          <w:szCs w:val="22"/>
          <w:lang w:eastAsia="ko-KR"/>
        </w:rPr>
      </w:pPr>
      <w:r w:rsidRPr="00D0236F">
        <w:rPr>
          <w:rFonts w:eastAsiaTheme="minorEastAsia"/>
          <w:sz w:val="22"/>
          <w:szCs w:val="22"/>
          <w:lang w:eastAsia="ko-KR"/>
        </w:rPr>
        <w:t xml:space="preserve">Determinant of </w:t>
      </w:r>
      <w:r w:rsidR="008A3BB1" w:rsidRPr="00D0236F">
        <w:rPr>
          <w:rFonts w:eastAsiaTheme="minorEastAsia"/>
          <w:sz w:val="22"/>
          <w:szCs w:val="22"/>
          <w:lang w:eastAsia="ko-KR"/>
        </w:rPr>
        <w:t>infection:</w:t>
      </w:r>
      <w:r w:rsidRPr="00D0236F">
        <w:rPr>
          <w:rFonts w:eastAsiaTheme="minorEastAsia"/>
          <w:sz w:val="22"/>
          <w:szCs w:val="22"/>
          <w:lang w:eastAsia="ko-KR"/>
        </w:rPr>
        <w:t xml:space="preserve"> logistic regression</w:t>
      </w:r>
    </w:p>
    <w:p w14:paraId="64AA89B5" w14:textId="77777777" w:rsidR="00A829A1" w:rsidRPr="00D0236F" w:rsidRDefault="00A829A1" w:rsidP="005B7F6E">
      <w:pPr>
        <w:pStyle w:val="BodyText"/>
        <w:spacing w:line="360" w:lineRule="auto"/>
        <w:ind w:left="0"/>
        <w:jc w:val="both"/>
        <w:rPr>
          <w:rFonts w:eastAsiaTheme="minorEastAsia"/>
          <w:sz w:val="22"/>
          <w:szCs w:val="22"/>
          <w:lang w:eastAsia="ko-KR"/>
        </w:rPr>
      </w:pPr>
    </w:p>
    <w:p w14:paraId="4A2BDE7B" w14:textId="2629A877" w:rsidR="00A829A1" w:rsidRPr="00D0236F" w:rsidRDefault="00A829A1" w:rsidP="005B7F6E">
      <w:pPr>
        <w:pStyle w:val="BodyText"/>
        <w:spacing w:line="360" w:lineRule="auto"/>
        <w:ind w:left="0"/>
        <w:jc w:val="both"/>
        <w:rPr>
          <w:rFonts w:eastAsiaTheme="minorEastAsia"/>
          <w:sz w:val="22"/>
          <w:szCs w:val="22"/>
          <w:lang w:eastAsia="ko-KR"/>
        </w:rPr>
      </w:pPr>
      <w:r w:rsidRPr="00D0236F">
        <w:rPr>
          <w:rFonts w:eastAsiaTheme="minorEastAsia"/>
          <w:sz w:val="22"/>
          <w:szCs w:val="22"/>
          <w:lang w:eastAsia="ko-KR"/>
        </w:rPr>
        <w:t xml:space="preserve">Risk over </w:t>
      </w:r>
      <w:r w:rsidR="008A3BB1" w:rsidRPr="00D0236F">
        <w:rPr>
          <w:rFonts w:eastAsiaTheme="minorEastAsia"/>
          <w:sz w:val="22"/>
          <w:szCs w:val="22"/>
          <w:lang w:eastAsia="ko-KR"/>
        </w:rPr>
        <w:t>time:</w:t>
      </w:r>
      <w:r w:rsidRPr="00D0236F">
        <w:rPr>
          <w:rFonts w:eastAsiaTheme="minorEastAsia"/>
          <w:sz w:val="22"/>
          <w:szCs w:val="22"/>
          <w:lang w:eastAsia="ko-KR"/>
        </w:rPr>
        <w:t xml:space="preserve"> survival curve and cox proportional hazard</w:t>
      </w:r>
    </w:p>
    <w:p w14:paraId="73D67DF2" w14:textId="77777777" w:rsidR="00A829A1" w:rsidRPr="00D0236F" w:rsidRDefault="00A829A1" w:rsidP="005B7F6E">
      <w:pPr>
        <w:pStyle w:val="BodyText"/>
        <w:spacing w:line="360" w:lineRule="auto"/>
        <w:ind w:left="0"/>
        <w:jc w:val="both"/>
        <w:rPr>
          <w:rFonts w:eastAsiaTheme="minorEastAsia"/>
          <w:sz w:val="22"/>
          <w:szCs w:val="22"/>
          <w:lang w:eastAsia="ko-KR"/>
        </w:rPr>
      </w:pPr>
    </w:p>
    <w:p w14:paraId="03C69F9C" w14:textId="2401970E" w:rsidR="00A829A1" w:rsidRPr="00D0236F" w:rsidRDefault="00A829A1" w:rsidP="005B7F6E">
      <w:pPr>
        <w:pStyle w:val="BodyText"/>
        <w:spacing w:line="360" w:lineRule="auto"/>
        <w:ind w:left="0"/>
        <w:jc w:val="both"/>
        <w:rPr>
          <w:rFonts w:eastAsiaTheme="minorEastAsia"/>
          <w:sz w:val="22"/>
          <w:szCs w:val="22"/>
          <w:lang w:eastAsia="ko-KR"/>
        </w:rPr>
      </w:pPr>
      <w:r w:rsidRPr="00D0236F">
        <w:rPr>
          <w:rFonts w:eastAsiaTheme="minorEastAsia"/>
          <w:sz w:val="22"/>
          <w:szCs w:val="22"/>
          <w:lang w:eastAsia="ko-KR"/>
        </w:rPr>
        <w:t xml:space="preserve">Probability of protective effectiveness: mixed effect regression model </w:t>
      </w:r>
    </w:p>
    <w:p w14:paraId="5E019DC3" w14:textId="77777777" w:rsidR="008D184F" w:rsidRPr="00D0236F" w:rsidRDefault="008D184F" w:rsidP="005B7F6E">
      <w:pPr>
        <w:pStyle w:val="BodyText"/>
        <w:spacing w:line="360" w:lineRule="auto"/>
        <w:ind w:left="0"/>
        <w:jc w:val="both"/>
        <w:rPr>
          <w:rFonts w:eastAsiaTheme="minorEastAsia"/>
          <w:sz w:val="22"/>
          <w:szCs w:val="22"/>
          <w:lang w:eastAsia="ko-KR"/>
        </w:rPr>
      </w:pPr>
    </w:p>
    <w:p w14:paraId="3F71E022" w14:textId="77777777" w:rsidR="005C4E26" w:rsidRPr="00D0236F" w:rsidRDefault="00D3651D" w:rsidP="005B7F6E">
      <w:pPr>
        <w:pStyle w:val="BodyText"/>
        <w:spacing w:line="360" w:lineRule="auto"/>
        <w:ind w:left="0"/>
        <w:jc w:val="both"/>
        <w:rPr>
          <w:rFonts w:eastAsiaTheme="minorEastAsia"/>
          <w:b/>
          <w:bCs/>
          <w:sz w:val="22"/>
          <w:szCs w:val="22"/>
          <w:lang w:eastAsia="ko-KR"/>
        </w:rPr>
      </w:pPr>
      <w:r w:rsidRPr="00D0236F">
        <w:rPr>
          <w:b/>
          <w:bCs/>
          <w:sz w:val="22"/>
          <w:szCs w:val="22"/>
        </w:rPr>
        <w:t>Results</w:t>
      </w:r>
      <w:bookmarkStart w:id="22" w:name="Survival_Analysis_of_Immunity_Types_Acro"/>
      <w:bookmarkEnd w:id="22"/>
      <w:r w:rsidR="002F0C3B" w:rsidRPr="00D0236F">
        <w:rPr>
          <w:rFonts w:eastAsiaTheme="minorEastAsia"/>
          <w:b/>
          <w:bCs/>
          <w:sz w:val="22"/>
          <w:szCs w:val="22"/>
          <w:lang w:eastAsia="ko-KR"/>
        </w:rPr>
        <w:t xml:space="preserve">. </w:t>
      </w:r>
    </w:p>
    <w:p w14:paraId="58E6A184" w14:textId="77777777" w:rsidR="00BF4C1D" w:rsidRPr="00D0236F" w:rsidRDefault="00BF4C1D" w:rsidP="005B7F6E">
      <w:pPr>
        <w:pStyle w:val="BodyText"/>
        <w:spacing w:line="360" w:lineRule="auto"/>
        <w:ind w:left="0"/>
        <w:jc w:val="both"/>
        <w:rPr>
          <w:rFonts w:eastAsiaTheme="minorEastAsia"/>
          <w:b/>
          <w:bCs/>
          <w:sz w:val="22"/>
          <w:szCs w:val="22"/>
          <w:lang w:eastAsia="zh-CN"/>
        </w:rPr>
      </w:pPr>
    </w:p>
    <w:p w14:paraId="2A02C2EF" w14:textId="5F763DEA" w:rsidR="00BF4C1D" w:rsidRPr="00D0236F" w:rsidRDefault="00BF4C1D" w:rsidP="00BF4C1D">
      <w:pPr>
        <w:pStyle w:val="BodyText"/>
        <w:spacing w:line="360" w:lineRule="auto"/>
        <w:ind w:left="0"/>
        <w:jc w:val="both"/>
        <w:rPr>
          <w:rFonts w:eastAsiaTheme="minorEastAsia"/>
          <w:color w:val="000000" w:themeColor="text1"/>
          <w:sz w:val="22"/>
          <w:szCs w:val="22"/>
          <w:lang w:eastAsia="ko-KR"/>
        </w:rPr>
      </w:pPr>
      <w:r w:rsidRPr="00D0236F">
        <w:rPr>
          <w:rFonts w:eastAsiaTheme="minorEastAsia"/>
          <w:color w:val="000000" w:themeColor="text1"/>
          <w:sz w:val="22"/>
          <w:szCs w:val="22"/>
          <w:lang w:eastAsia="ko-KR"/>
        </w:rPr>
        <w:t>In terms of population characteristics, t</w:t>
      </w:r>
      <w:r w:rsidR="001A568B" w:rsidRPr="00D0236F">
        <w:rPr>
          <w:rFonts w:eastAsiaTheme="minorEastAsia"/>
          <w:color w:val="000000" w:themeColor="text1"/>
          <w:sz w:val="22"/>
          <w:szCs w:val="22"/>
          <w:lang w:eastAsia="ko-KR"/>
        </w:rPr>
        <w:t xml:space="preserve">he </w:t>
      </w:r>
      <w:r w:rsidR="002D77BA" w:rsidRPr="00D0236F">
        <w:rPr>
          <w:rFonts w:eastAsiaTheme="minorEastAsia"/>
          <w:color w:val="000000" w:themeColor="text1"/>
          <w:sz w:val="22"/>
          <w:szCs w:val="22"/>
          <w:lang w:eastAsia="ko-KR"/>
        </w:rPr>
        <w:t>hybrid</w:t>
      </w:r>
      <w:r w:rsidR="001A568B" w:rsidRPr="00D0236F">
        <w:rPr>
          <w:rFonts w:eastAsiaTheme="minorEastAsia"/>
          <w:color w:val="000000" w:themeColor="text1"/>
          <w:sz w:val="22"/>
          <w:szCs w:val="22"/>
          <w:lang w:eastAsia="ko-KR"/>
        </w:rPr>
        <w:t xml:space="preserve"> group has </w:t>
      </w:r>
      <w:r w:rsidR="002D77BA" w:rsidRPr="00D0236F">
        <w:rPr>
          <w:rFonts w:eastAsiaTheme="minorEastAsia"/>
          <w:color w:val="000000" w:themeColor="text1"/>
          <w:sz w:val="22"/>
          <w:szCs w:val="22"/>
          <w:lang w:eastAsia="ko-KR"/>
        </w:rPr>
        <w:t>a</w:t>
      </w:r>
      <w:r w:rsidR="001A568B" w:rsidRPr="00D0236F">
        <w:rPr>
          <w:rFonts w:eastAsiaTheme="minorEastAsia"/>
          <w:color w:val="000000" w:themeColor="text1"/>
          <w:sz w:val="22"/>
          <w:szCs w:val="22"/>
          <w:lang w:eastAsia="ko-KR"/>
        </w:rPr>
        <w:t xml:space="preserve"> </w:t>
      </w:r>
      <w:r w:rsidR="002D77BA" w:rsidRPr="00D0236F">
        <w:rPr>
          <w:rFonts w:eastAsiaTheme="minorEastAsia"/>
          <w:color w:val="000000" w:themeColor="text1"/>
          <w:sz w:val="22"/>
          <w:szCs w:val="22"/>
          <w:lang w:eastAsia="ko-KR"/>
        </w:rPr>
        <w:t>younger</w:t>
      </w:r>
      <w:r w:rsidR="001A568B" w:rsidRPr="00D0236F">
        <w:rPr>
          <w:rFonts w:eastAsiaTheme="minorEastAsia"/>
          <w:color w:val="000000" w:themeColor="text1"/>
          <w:sz w:val="22"/>
          <w:szCs w:val="22"/>
          <w:lang w:eastAsia="ko-KR"/>
        </w:rPr>
        <w:t xml:space="preserve"> age distribution than </w:t>
      </w:r>
      <w:r w:rsidRPr="00D0236F">
        <w:rPr>
          <w:rFonts w:eastAsiaTheme="minorEastAsia"/>
          <w:color w:val="000000" w:themeColor="text1"/>
          <w:sz w:val="22"/>
          <w:szCs w:val="22"/>
          <w:lang w:eastAsia="ko-KR"/>
        </w:rPr>
        <w:t xml:space="preserve">the </w:t>
      </w:r>
      <w:r w:rsidR="002D77BA" w:rsidRPr="00D0236F">
        <w:rPr>
          <w:rFonts w:eastAsiaTheme="minorEastAsia"/>
          <w:color w:val="000000" w:themeColor="text1"/>
          <w:sz w:val="22"/>
          <w:szCs w:val="22"/>
          <w:lang w:eastAsia="ko-KR"/>
        </w:rPr>
        <w:t>vaccine</w:t>
      </w:r>
      <w:r w:rsidR="001A568B" w:rsidRPr="00D0236F">
        <w:rPr>
          <w:rFonts w:eastAsiaTheme="minorEastAsia"/>
          <w:color w:val="000000" w:themeColor="text1"/>
          <w:sz w:val="22"/>
          <w:szCs w:val="22"/>
          <w:lang w:eastAsia="ko-KR"/>
        </w:rPr>
        <w:t xml:space="preserve"> group. Most hybrid (78%) and vaccine (86%) groups completed at least 3</w:t>
      </w:r>
      <w:r w:rsidR="001A568B" w:rsidRPr="00D0236F">
        <w:rPr>
          <w:rFonts w:eastAsiaTheme="minorEastAsia"/>
          <w:color w:val="000000" w:themeColor="text1"/>
          <w:sz w:val="22"/>
          <w:szCs w:val="22"/>
          <w:vertAlign w:val="superscript"/>
          <w:lang w:eastAsia="ko-KR"/>
        </w:rPr>
        <w:t>rd</w:t>
      </w:r>
      <w:r w:rsidR="001A568B" w:rsidRPr="00D0236F">
        <w:rPr>
          <w:rFonts w:eastAsiaTheme="minorEastAsia"/>
          <w:color w:val="000000" w:themeColor="text1"/>
          <w:sz w:val="22"/>
          <w:szCs w:val="22"/>
          <w:lang w:eastAsia="ko-KR"/>
        </w:rPr>
        <w:t xml:space="preserve"> booster vaccines. The hybrid group had the latest event (infection/vaccine) more recently than the vaccine group. (77% had the latest immunological event within 6 months for the hybrid group vs 42% for the vaccine group)</w:t>
      </w:r>
      <w:r w:rsidRPr="00D0236F">
        <w:rPr>
          <w:rFonts w:eastAsiaTheme="minorEastAsia"/>
          <w:color w:val="000000" w:themeColor="text1"/>
          <w:sz w:val="22"/>
          <w:szCs w:val="22"/>
          <w:lang w:eastAsia="ko-KR"/>
        </w:rPr>
        <w:t xml:space="preserve">. </w:t>
      </w:r>
      <w:r w:rsidR="001A568B" w:rsidRPr="00D0236F">
        <w:rPr>
          <w:rFonts w:eastAsiaTheme="minorEastAsia"/>
          <w:color w:val="000000" w:themeColor="text1"/>
          <w:sz w:val="22"/>
          <w:szCs w:val="22"/>
          <w:lang w:eastAsia="ko-KR"/>
        </w:rPr>
        <w:t>The hybrid group likely took the 4</w:t>
      </w:r>
      <w:r w:rsidR="001A568B" w:rsidRPr="00D0236F">
        <w:rPr>
          <w:rFonts w:eastAsiaTheme="minorEastAsia"/>
          <w:color w:val="000000" w:themeColor="text1"/>
          <w:sz w:val="22"/>
          <w:szCs w:val="22"/>
          <w:vertAlign w:val="superscript"/>
          <w:lang w:eastAsia="ko-KR"/>
        </w:rPr>
        <w:t>th</w:t>
      </w:r>
      <w:r w:rsidR="001A568B" w:rsidRPr="00D0236F">
        <w:rPr>
          <w:rFonts w:eastAsiaTheme="minorEastAsia"/>
          <w:color w:val="000000" w:themeColor="text1"/>
          <w:sz w:val="22"/>
          <w:szCs w:val="22"/>
          <w:lang w:eastAsia="ko-KR"/>
        </w:rPr>
        <w:t xml:space="preserve"> booster less than the vaccine group (21% vs 36% -- perhaps </w:t>
      </w:r>
      <w:r w:rsidR="002D77BA" w:rsidRPr="00D0236F">
        <w:rPr>
          <w:rFonts w:eastAsiaTheme="minorEastAsia"/>
          <w:color w:val="000000" w:themeColor="text1"/>
          <w:sz w:val="22"/>
          <w:szCs w:val="22"/>
          <w:lang w:eastAsia="ko-KR"/>
        </w:rPr>
        <w:t xml:space="preserve">due to the </w:t>
      </w:r>
      <w:r w:rsidR="001A568B" w:rsidRPr="00D0236F">
        <w:rPr>
          <w:rFonts w:eastAsiaTheme="minorEastAsia"/>
          <w:color w:val="000000" w:themeColor="text1"/>
          <w:sz w:val="22"/>
          <w:szCs w:val="22"/>
          <w:lang w:eastAsia="ko-KR"/>
        </w:rPr>
        <w:t>recent infection</w:t>
      </w:r>
      <w:r w:rsidR="002D77BA" w:rsidRPr="00D0236F">
        <w:rPr>
          <w:rFonts w:eastAsiaTheme="minorEastAsia"/>
          <w:color w:val="000000" w:themeColor="text1"/>
          <w:sz w:val="22"/>
          <w:szCs w:val="22"/>
          <w:lang w:eastAsia="ko-KR"/>
        </w:rPr>
        <w:t xml:space="preserve"> that they had</w:t>
      </w:r>
      <w:r w:rsidR="001A568B" w:rsidRPr="00D0236F">
        <w:rPr>
          <w:rFonts w:eastAsiaTheme="minorEastAsia"/>
          <w:color w:val="000000" w:themeColor="text1"/>
          <w:sz w:val="22"/>
          <w:szCs w:val="22"/>
          <w:lang w:eastAsia="ko-KR"/>
        </w:rPr>
        <w:t>)</w:t>
      </w:r>
      <w:r w:rsidRPr="00D0236F">
        <w:rPr>
          <w:rFonts w:eastAsiaTheme="minorEastAsia"/>
          <w:color w:val="000000" w:themeColor="text1"/>
          <w:sz w:val="22"/>
          <w:szCs w:val="22"/>
          <w:lang w:eastAsia="ko-KR"/>
        </w:rPr>
        <w:t>.</w:t>
      </w:r>
    </w:p>
    <w:p w14:paraId="37B23A9F" w14:textId="77777777" w:rsidR="00BF4C1D" w:rsidRPr="00D0236F" w:rsidRDefault="00BF4C1D" w:rsidP="00BF4C1D">
      <w:pPr>
        <w:pStyle w:val="BodyText"/>
        <w:spacing w:line="360" w:lineRule="auto"/>
        <w:ind w:left="0"/>
        <w:jc w:val="both"/>
        <w:rPr>
          <w:rFonts w:eastAsiaTheme="minorEastAsia"/>
          <w:color w:val="000000" w:themeColor="text1"/>
          <w:sz w:val="22"/>
          <w:szCs w:val="22"/>
          <w:lang w:eastAsia="ko-KR"/>
        </w:rPr>
      </w:pPr>
    </w:p>
    <w:p w14:paraId="46FD069E" w14:textId="77777777" w:rsidR="00BF4C1D" w:rsidRPr="00D0236F" w:rsidRDefault="00BF4C1D" w:rsidP="00BF4C1D">
      <w:pPr>
        <w:pStyle w:val="BodyText"/>
        <w:spacing w:line="360" w:lineRule="auto"/>
        <w:ind w:left="0"/>
        <w:jc w:val="both"/>
        <w:rPr>
          <w:rFonts w:eastAsiaTheme="minorEastAsia"/>
          <w:color w:val="000000" w:themeColor="text1"/>
          <w:sz w:val="22"/>
          <w:szCs w:val="22"/>
          <w:lang w:eastAsia="zh-CN"/>
        </w:rPr>
      </w:pPr>
      <w:r w:rsidRPr="00D0236F">
        <w:rPr>
          <w:rFonts w:eastAsiaTheme="minorEastAsia"/>
          <w:noProof/>
          <w:color w:val="000000" w:themeColor="text1"/>
          <w:sz w:val="22"/>
          <w:szCs w:val="22"/>
          <w:lang w:eastAsia="zh-CN"/>
          <w14:ligatures w14:val="standardContextual"/>
        </w:rPr>
        <w:lastRenderedPageBreak/>
        <w:drawing>
          <wp:inline distT="0" distB="0" distL="0" distR="0" wp14:anchorId="6731FA31" wp14:editId="0358219D">
            <wp:extent cx="6343650" cy="2983865"/>
            <wp:effectExtent l="0" t="0" r="6350" b="635"/>
            <wp:docPr id="1273129907" name="Picture 1" descr="A table with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29907" name="Picture 1" descr="A table with numbers and a number of object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43650" cy="2983865"/>
                    </a:xfrm>
                    <a:prstGeom prst="rect">
                      <a:avLst/>
                    </a:prstGeom>
                  </pic:spPr>
                </pic:pic>
              </a:graphicData>
            </a:graphic>
          </wp:inline>
        </w:drawing>
      </w:r>
    </w:p>
    <w:p w14:paraId="73F3B349" w14:textId="77777777" w:rsidR="00BF4C1D" w:rsidRPr="00D0236F" w:rsidRDefault="00BF4C1D" w:rsidP="00BF4C1D">
      <w:pPr>
        <w:pStyle w:val="BodyText"/>
        <w:spacing w:line="360" w:lineRule="auto"/>
        <w:ind w:left="2407"/>
        <w:rPr>
          <w:sz w:val="22"/>
          <w:szCs w:val="22"/>
        </w:rPr>
      </w:pPr>
      <w:r w:rsidRPr="00D0236F">
        <w:rPr>
          <w:sz w:val="22"/>
          <w:szCs w:val="22"/>
        </w:rPr>
        <w:t>Table 1: Summary table of cohort study design</w:t>
      </w:r>
    </w:p>
    <w:p w14:paraId="02CE5F94" w14:textId="77777777" w:rsidR="00BF4C1D" w:rsidRPr="00D0236F" w:rsidRDefault="00BF4C1D" w:rsidP="005B7F6E">
      <w:pPr>
        <w:pStyle w:val="BodyText"/>
        <w:spacing w:line="360" w:lineRule="auto"/>
        <w:ind w:left="0"/>
        <w:jc w:val="both"/>
        <w:rPr>
          <w:rFonts w:eastAsiaTheme="minorEastAsia"/>
          <w:b/>
          <w:bCs/>
          <w:sz w:val="22"/>
          <w:szCs w:val="22"/>
          <w:lang w:eastAsia="ko-KR"/>
        </w:rPr>
      </w:pPr>
    </w:p>
    <w:p w14:paraId="2EDFDDB2" w14:textId="77777777" w:rsidR="008D184F" w:rsidRPr="00D0236F" w:rsidRDefault="008D184F" w:rsidP="005B7F6E">
      <w:pPr>
        <w:pStyle w:val="BodyText"/>
        <w:spacing w:line="360" w:lineRule="auto"/>
        <w:ind w:left="0"/>
        <w:jc w:val="both"/>
        <w:rPr>
          <w:rFonts w:eastAsiaTheme="minorEastAsia"/>
          <w:sz w:val="22"/>
          <w:szCs w:val="22"/>
          <w:lang w:eastAsia="ko-KR"/>
        </w:rPr>
      </w:pPr>
    </w:p>
    <w:p w14:paraId="6F512D3C" w14:textId="58B4A6DD" w:rsidR="00B73E9A" w:rsidRPr="00D0236F" w:rsidRDefault="00963F77" w:rsidP="00963F77">
      <w:pPr>
        <w:pStyle w:val="BodyText"/>
        <w:spacing w:line="360" w:lineRule="auto"/>
        <w:ind w:left="0" w:right="795"/>
        <w:jc w:val="center"/>
        <w:rPr>
          <w:rFonts w:eastAsiaTheme="minorEastAsia"/>
          <w:b/>
          <w:bCs/>
          <w:sz w:val="22"/>
          <w:szCs w:val="22"/>
          <w:lang w:eastAsia="ko-KR"/>
        </w:rPr>
      </w:pPr>
      <w:r w:rsidRPr="00D0236F">
        <w:rPr>
          <w:rFonts w:eastAsiaTheme="minorEastAsia"/>
          <w:b/>
          <w:bCs/>
          <w:noProof/>
          <w:sz w:val="22"/>
          <w:szCs w:val="22"/>
          <w:lang w:eastAsia="ko-KR"/>
          <w14:ligatures w14:val="standardContextual"/>
        </w:rPr>
        <w:drawing>
          <wp:inline distT="0" distB="0" distL="0" distR="0" wp14:anchorId="25723EC8" wp14:editId="279300CE">
            <wp:extent cx="5950423" cy="2894205"/>
            <wp:effectExtent l="0" t="0" r="0" b="1905"/>
            <wp:docPr id="234141699" name="Picture 2"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41699" name="Picture 2" descr="A graph of different colored lines&#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56228" cy="2897028"/>
                    </a:xfrm>
                    <a:prstGeom prst="rect">
                      <a:avLst/>
                    </a:prstGeom>
                  </pic:spPr>
                </pic:pic>
              </a:graphicData>
            </a:graphic>
          </wp:inline>
        </w:drawing>
      </w:r>
    </w:p>
    <w:p w14:paraId="1C1CF022" w14:textId="438F6637" w:rsidR="00D3651D" w:rsidRPr="00D0236F" w:rsidRDefault="00D3651D" w:rsidP="005B7F6E">
      <w:pPr>
        <w:pStyle w:val="BodyText"/>
        <w:spacing w:line="360" w:lineRule="auto"/>
        <w:ind w:right="795" w:firstLine="566"/>
        <w:jc w:val="center"/>
        <w:rPr>
          <w:rFonts w:eastAsiaTheme="minorEastAsia"/>
          <w:sz w:val="22"/>
          <w:szCs w:val="22"/>
          <w:lang w:eastAsia="ko-KR"/>
        </w:rPr>
      </w:pPr>
      <w:r w:rsidRPr="00D0236F">
        <w:rPr>
          <w:sz w:val="22"/>
          <w:szCs w:val="22"/>
        </w:rPr>
        <w:t>Figure 2: Trajectory plot for different age group</w:t>
      </w:r>
      <w:r w:rsidRPr="00D0236F">
        <w:rPr>
          <w:rFonts w:eastAsiaTheme="minorEastAsia"/>
          <w:sz w:val="22"/>
          <w:szCs w:val="22"/>
          <w:lang w:eastAsia="ko-KR"/>
        </w:rPr>
        <w:t>s</w:t>
      </w:r>
    </w:p>
    <w:p w14:paraId="43CB2FD3" w14:textId="77777777" w:rsidR="004567C4" w:rsidRPr="00D0236F" w:rsidRDefault="004567C4" w:rsidP="005B7F6E">
      <w:pPr>
        <w:widowControl/>
        <w:tabs>
          <w:tab w:val="num" w:pos="720"/>
        </w:tabs>
        <w:adjustRightInd w:val="0"/>
        <w:spacing w:line="360" w:lineRule="auto"/>
        <w:contextualSpacing/>
        <w:jc w:val="both"/>
        <w:rPr>
          <w:rFonts w:eastAsiaTheme="minorEastAsia"/>
          <w:lang w:eastAsia="ko-KR"/>
        </w:rPr>
      </w:pPr>
    </w:p>
    <w:p w14:paraId="0995347C" w14:textId="77777777" w:rsidR="005C4E26" w:rsidRPr="00D0236F" w:rsidRDefault="005C4E26" w:rsidP="005C4E26">
      <w:pPr>
        <w:pStyle w:val="BodyText"/>
        <w:spacing w:line="360" w:lineRule="auto"/>
        <w:ind w:left="0"/>
        <w:jc w:val="both"/>
        <w:rPr>
          <w:rFonts w:eastAsiaTheme="minorEastAsia"/>
          <w:color w:val="0E0E0E"/>
          <w:sz w:val="22"/>
          <w:szCs w:val="22"/>
          <w:lang w:eastAsia="ko-KR"/>
          <w14:ligatures w14:val="standardContextual"/>
        </w:rPr>
      </w:pPr>
      <w:r w:rsidRPr="00D0236F">
        <w:rPr>
          <w:rFonts w:eastAsiaTheme="minorEastAsia"/>
          <w:color w:val="0E0E0E"/>
          <w:sz w:val="22"/>
          <w:szCs w:val="22"/>
          <w:lang w:eastAsia="ko-KR"/>
          <w14:ligatures w14:val="standardContextual"/>
        </w:rPr>
        <w:t>The trajectory plots of S antibody levels indicate that individuals in the hybrid-induced immunity group exhibit higher overall S antibody levels compared to those in the vaccine-induced group. Specifically, the hybrid group is able to maintain elevated S antibody levels (exceeding 10,000) for up to one year, whereas the S antibody levels in the vaccine-induced group decline below 5,000 within six months post-vaccination. Within the hybrid group, S antibody levels are slightly lower in individuals under 20 and over 60 compared to those aged 20-60. In contrast, there is no significant difference across age groups within the vaccine-induced group.</w:t>
      </w:r>
    </w:p>
    <w:p w14:paraId="5C85C5C9" w14:textId="77777777" w:rsidR="00A2237C" w:rsidRPr="00D0236F" w:rsidRDefault="00A2237C" w:rsidP="005C4E26">
      <w:pPr>
        <w:pStyle w:val="BodyText"/>
        <w:spacing w:line="360" w:lineRule="auto"/>
        <w:ind w:left="0"/>
        <w:jc w:val="both"/>
        <w:rPr>
          <w:rFonts w:eastAsiaTheme="minorEastAsia"/>
          <w:color w:val="0E0E0E"/>
          <w:sz w:val="22"/>
          <w:szCs w:val="22"/>
          <w:lang w:eastAsia="ko-KR"/>
          <w14:ligatures w14:val="standardContextual"/>
        </w:rPr>
      </w:pPr>
    </w:p>
    <w:p w14:paraId="137ACEAC" w14:textId="77777777" w:rsidR="00A418A9" w:rsidRPr="00D0236F" w:rsidRDefault="00A418A9" w:rsidP="005C4E26">
      <w:pPr>
        <w:pStyle w:val="BodyText"/>
        <w:spacing w:line="360" w:lineRule="auto"/>
        <w:ind w:left="0"/>
        <w:jc w:val="both"/>
        <w:rPr>
          <w:rFonts w:eastAsiaTheme="minorEastAsia"/>
          <w:color w:val="0E0E0E"/>
          <w:sz w:val="22"/>
          <w:szCs w:val="22"/>
          <w:lang w:eastAsia="ko-KR"/>
          <w14:ligatures w14:val="standardContextual"/>
        </w:rPr>
      </w:pPr>
    </w:p>
    <w:p w14:paraId="4EFC01F9" w14:textId="0053E4A5" w:rsidR="00A2237C" w:rsidRPr="00D0236F" w:rsidRDefault="00A2237C" w:rsidP="005C4E26">
      <w:pPr>
        <w:pStyle w:val="BodyText"/>
        <w:spacing w:line="360" w:lineRule="auto"/>
        <w:ind w:left="0"/>
        <w:jc w:val="both"/>
        <w:rPr>
          <w:rFonts w:eastAsiaTheme="minorEastAsia"/>
          <w:color w:val="0E0E0E"/>
          <w:sz w:val="22"/>
          <w:szCs w:val="22"/>
          <w:lang w:eastAsia="ko-KR"/>
          <w14:ligatures w14:val="standardContextual"/>
        </w:rPr>
      </w:pPr>
      <w:r w:rsidRPr="00D0236F">
        <w:rPr>
          <w:rFonts w:eastAsiaTheme="minorEastAsia"/>
          <w:color w:val="0E0E0E"/>
          <w:sz w:val="22"/>
          <w:szCs w:val="22"/>
          <w:lang w:eastAsia="ko-KR"/>
          <w14:ligatures w14:val="standardContextual"/>
        </w:rPr>
        <w:lastRenderedPageBreak/>
        <w:t xml:space="preserve">The S antibody decay after 6 months is about 2 times greater for </w:t>
      </w:r>
      <w:r w:rsidR="00C222A5" w:rsidRPr="00D0236F">
        <w:rPr>
          <w:rFonts w:eastAsiaTheme="minorEastAsia"/>
          <w:color w:val="0E0E0E"/>
          <w:sz w:val="22"/>
          <w:szCs w:val="22"/>
          <w:lang w:eastAsia="ko-KR"/>
          <w14:ligatures w14:val="standardContextual"/>
        </w:rPr>
        <w:t xml:space="preserve">the hybrid group compared to the vaccine group and remains relatively constant by and after 1 year; this translated into the infection events survival reduced by </w:t>
      </w:r>
      <w:r w:rsidRPr="00D0236F">
        <w:rPr>
          <w:rFonts w:eastAsiaTheme="minorEastAsia"/>
          <w:color w:val="0E0E0E"/>
          <w:sz w:val="22"/>
          <w:szCs w:val="22"/>
          <w:lang w:eastAsia="ko-KR"/>
          <w14:ligatures w14:val="standardContextual"/>
        </w:rPr>
        <w:t xml:space="preserve">about 10% by 6 months, but 40-50% by 12 months. </w:t>
      </w:r>
      <w:r w:rsidR="0090700F" w:rsidRPr="00D0236F">
        <w:rPr>
          <w:rFonts w:eastAsiaTheme="minorEastAsia"/>
          <w:color w:val="0E0E0E"/>
          <w:sz w:val="22"/>
          <w:szCs w:val="22"/>
          <w:lang w:eastAsia="ko-KR"/>
          <w14:ligatures w14:val="standardContextual"/>
        </w:rPr>
        <w:t xml:space="preserve">Together, this translated into the risk probability by S antibody for vaccine group is 10-45% lower than hybrid group across age subgroups. </w:t>
      </w:r>
    </w:p>
    <w:p w14:paraId="36A5C627" w14:textId="77777777" w:rsidR="005C4E26" w:rsidRPr="00D0236F" w:rsidRDefault="005C4E26" w:rsidP="005B7F6E">
      <w:pPr>
        <w:widowControl/>
        <w:tabs>
          <w:tab w:val="num" w:pos="720"/>
        </w:tabs>
        <w:adjustRightInd w:val="0"/>
        <w:spacing w:line="360" w:lineRule="auto"/>
        <w:contextualSpacing/>
        <w:jc w:val="both"/>
        <w:rPr>
          <w:rFonts w:eastAsiaTheme="minorEastAsia"/>
          <w:lang w:eastAsia="ko-KR"/>
        </w:rPr>
      </w:pPr>
    </w:p>
    <w:p w14:paraId="5F48A75D" w14:textId="50EB25E3" w:rsidR="00D3651D" w:rsidRPr="00D0236F" w:rsidRDefault="00E84F8E" w:rsidP="005B7F6E">
      <w:pPr>
        <w:widowControl/>
        <w:tabs>
          <w:tab w:val="num" w:pos="720"/>
        </w:tabs>
        <w:adjustRightInd w:val="0"/>
        <w:spacing w:line="360" w:lineRule="auto"/>
        <w:contextualSpacing/>
        <w:jc w:val="center"/>
        <w:rPr>
          <w:rFonts w:eastAsiaTheme="minorEastAsia"/>
        </w:rPr>
      </w:pPr>
      <w:r w:rsidRPr="00D0236F">
        <w:rPr>
          <w:rFonts w:eastAsiaTheme="minorEastAsia"/>
          <w:noProof/>
          <w14:ligatures w14:val="standardContextual"/>
        </w:rPr>
        <w:drawing>
          <wp:inline distT="0" distB="0" distL="0" distR="0" wp14:anchorId="681967A7" wp14:editId="3644BE81">
            <wp:extent cx="5274860" cy="4428177"/>
            <wp:effectExtent l="0" t="0" r="2540" b="0"/>
            <wp:docPr id="3840514" name="Picture 1" descr="A graph of a number of vaccin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514" name="Picture 1" descr="A graph of a number of vaccination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39552" cy="4482485"/>
                    </a:xfrm>
                    <a:prstGeom prst="rect">
                      <a:avLst/>
                    </a:prstGeom>
                  </pic:spPr>
                </pic:pic>
              </a:graphicData>
            </a:graphic>
          </wp:inline>
        </w:drawing>
      </w:r>
    </w:p>
    <w:p w14:paraId="3253AAA0" w14:textId="77777777" w:rsidR="00D3651D" w:rsidRPr="00D0236F" w:rsidRDefault="00D3651D" w:rsidP="005B7F6E">
      <w:pPr>
        <w:pStyle w:val="BodyText"/>
        <w:spacing w:line="360" w:lineRule="auto"/>
        <w:ind w:left="1191"/>
        <w:jc w:val="center"/>
        <w:rPr>
          <w:sz w:val="22"/>
          <w:szCs w:val="22"/>
        </w:rPr>
      </w:pPr>
      <w:r w:rsidRPr="00D0236F">
        <w:rPr>
          <w:sz w:val="22"/>
          <w:szCs w:val="22"/>
        </w:rPr>
        <w:t>Figure 3: Survival Plot for Hybrid-induced and Vaccine-induced Groups</w:t>
      </w:r>
    </w:p>
    <w:p w14:paraId="2DE0F4D9" w14:textId="77777777" w:rsidR="005C4E26" w:rsidRPr="00D0236F" w:rsidRDefault="005C4E26" w:rsidP="005C4E26">
      <w:pPr>
        <w:widowControl/>
        <w:tabs>
          <w:tab w:val="num" w:pos="720"/>
        </w:tabs>
        <w:adjustRightInd w:val="0"/>
        <w:spacing w:line="360" w:lineRule="auto"/>
        <w:contextualSpacing/>
        <w:jc w:val="both"/>
        <w:rPr>
          <w:rFonts w:eastAsiaTheme="minorEastAsia"/>
          <w:lang w:eastAsia="ko-KR"/>
        </w:rPr>
      </w:pPr>
    </w:p>
    <w:p w14:paraId="5631B079" w14:textId="072191BF" w:rsidR="005C4E26" w:rsidRPr="00D0236F" w:rsidRDefault="005C4E26" w:rsidP="005C4E26">
      <w:pPr>
        <w:widowControl/>
        <w:tabs>
          <w:tab w:val="num" w:pos="720"/>
        </w:tabs>
        <w:adjustRightInd w:val="0"/>
        <w:spacing w:line="360" w:lineRule="auto"/>
        <w:contextualSpacing/>
        <w:jc w:val="both"/>
      </w:pPr>
      <w:r w:rsidRPr="00D0236F">
        <w:t>The Kaplan-Meier survival analysis (Figure 3) demonstrates the survival probabilities, interpreted as the likelihood of remaining free from COVID-19 infection, over time for populations with vaccine-induced and hybrid-induced immunity. The analysis reveals substantial differences in survival probabilities between these two types of immunity across various age groups. Individuals with hybrid-induced immunity consistently exhibit higher survival probabilities, maintaining a rate of 98% over one year, compared to those with vaccine-induced immunity, whose probabilities decrease to 50-60% over the same period. Antibody decay is notably observed after the sixth month following the last immunological event for the vaccine group, with a more rapid decline in those over 60 and a greater magnitude of decline in those under 20 compared to the hybrid group.</w:t>
      </w:r>
    </w:p>
    <w:p w14:paraId="4EC58BEC" w14:textId="77777777" w:rsidR="00D3651D" w:rsidRPr="00D0236F" w:rsidRDefault="00D3651D" w:rsidP="005B7F6E">
      <w:pPr>
        <w:pStyle w:val="BodyText"/>
        <w:spacing w:line="360" w:lineRule="auto"/>
        <w:ind w:left="0"/>
        <w:rPr>
          <w:sz w:val="22"/>
          <w:szCs w:val="22"/>
        </w:rPr>
      </w:pPr>
    </w:p>
    <w:p w14:paraId="31D52641" w14:textId="7C5A4037" w:rsidR="00D3651D" w:rsidRPr="00D0236F" w:rsidRDefault="00D3651D" w:rsidP="005B7F6E">
      <w:pPr>
        <w:pStyle w:val="BodyText"/>
        <w:spacing w:line="360" w:lineRule="auto"/>
        <w:ind w:left="0"/>
        <w:rPr>
          <w:rFonts w:eastAsiaTheme="minorEastAsia"/>
          <w:sz w:val="22"/>
          <w:szCs w:val="22"/>
          <w:lang w:eastAsia="ko-KR"/>
        </w:rPr>
      </w:pPr>
      <w:bookmarkStart w:id="23" w:name="Infection_Risk_Factors_Analysis"/>
      <w:bookmarkEnd w:id="23"/>
      <w:r w:rsidRPr="00D0236F">
        <w:rPr>
          <w:noProof/>
          <w:sz w:val="22"/>
          <w:szCs w:val="22"/>
        </w:rPr>
        <w:lastRenderedPageBreak/>
        <w:drawing>
          <wp:anchor distT="0" distB="0" distL="0" distR="0" simplePos="0" relativeHeight="251660288" behindDoc="0" locked="0" layoutInCell="1" allowOverlap="1" wp14:anchorId="26C1149A" wp14:editId="6357DAF7">
            <wp:simplePos x="0" y="0"/>
            <wp:positionH relativeFrom="page">
              <wp:posOffset>647700</wp:posOffset>
            </wp:positionH>
            <wp:positionV relativeFrom="paragraph">
              <wp:posOffset>153670</wp:posOffset>
            </wp:positionV>
            <wp:extent cx="6227445" cy="1233805"/>
            <wp:effectExtent l="0" t="0" r="0" b="0"/>
            <wp:wrapTopAndBottom/>
            <wp:docPr id="9" name="image5.png"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A math equations on a white background&#10;&#10;Description automatically generated"/>
                    <pic:cNvPicPr/>
                  </pic:nvPicPr>
                  <pic:blipFill>
                    <a:blip r:embed="rId22" cstate="print"/>
                    <a:stretch>
                      <a:fillRect/>
                    </a:stretch>
                  </pic:blipFill>
                  <pic:spPr>
                    <a:xfrm>
                      <a:off x="0" y="0"/>
                      <a:ext cx="6227445" cy="1233805"/>
                    </a:xfrm>
                    <a:prstGeom prst="rect">
                      <a:avLst/>
                    </a:prstGeom>
                  </pic:spPr>
                </pic:pic>
              </a:graphicData>
            </a:graphic>
            <wp14:sizeRelH relativeFrom="margin">
              <wp14:pctWidth>0</wp14:pctWidth>
            </wp14:sizeRelH>
            <wp14:sizeRelV relativeFrom="margin">
              <wp14:pctHeight>0</wp14:pctHeight>
            </wp14:sizeRelV>
          </wp:anchor>
        </w:drawing>
      </w:r>
    </w:p>
    <w:p w14:paraId="592962E7" w14:textId="77777777" w:rsidR="00D3651D" w:rsidRPr="00D0236F" w:rsidRDefault="00D3651D" w:rsidP="005B7F6E">
      <w:pPr>
        <w:pStyle w:val="BodyText"/>
        <w:spacing w:line="360" w:lineRule="auto"/>
        <w:ind w:left="2040"/>
        <w:rPr>
          <w:rFonts w:eastAsiaTheme="minorEastAsia"/>
          <w:sz w:val="22"/>
          <w:szCs w:val="22"/>
          <w:lang w:eastAsia="ko-KR"/>
        </w:rPr>
      </w:pPr>
      <w:commentRangeStart w:id="24"/>
      <w:commentRangeStart w:id="25"/>
      <w:r w:rsidRPr="00D0236F">
        <w:rPr>
          <w:sz w:val="22"/>
          <w:szCs w:val="22"/>
        </w:rPr>
        <w:t>Table 2: Cox Proportional Hazards Regression Results</w:t>
      </w:r>
      <w:commentRangeEnd w:id="24"/>
      <w:r w:rsidR="001D07B1">
        <w:rPr>
          <w:rStyle w:val="CommentReference"/>
        </w:rPr>
        <w:commentReference w:id="24"/>
      </w:r>
      <w:commentRangeEnd w:id="25"/>
      <w:r w:rsidR="001D07B1">
        <w:rPr>
          <w:rStyle w:val="CommentReference"/>
        </w:rPr>
        <w:commentReference w:id="25"/>
      </w:r>
    </w:p>
    <w:p w14:paraId="3F4A0E9B" w14:textId="77777777" w:rsidR="002F0C3B" w:rsidRPr="00D0236F" w:rsidRDefault="002F0C3B" w:rsidP="005B7F6E">
      <w:pPr>
        <w:pStyle w:val="BodyText"/>
        <w:spacing w:line="360" w:lineRule="auto"/>
        <w:ind w:left="0"/>
        <w:jc w:val="both"/>
        <w:rPr>
          <w:sz w:val="22"/>
          <w:szCs w:val="22"/>
        </w:rPr>
      </w:pPr>
    </w:p>
    <w:p w14:paraId="55C53F4F" w14:textId="25300C06" w:rsidR="008D184F" w:rsidRPr="00D0236F" w:rsidRDefault="008D184F" w:rsidP="005B7F6E">
      <w:pPr>
        <w:pStyle w:val="BodyText"/>
        <w:spacing w:line="360" w:lineRule="auto"/>
        <w:ind w:left="0"/>
        <w:jc w:val="both"/>
        <w:rPr>
          <w:rFonts w:eastAsiaTheme="minorEastAsia"/>
          <w:sz w:val="22"/>
          <w:szCs w:val="22"/>
          <w:lang w:eastAsia="ko-KR"/>
        </w:rPr>
      </w:pPr>
      <w:r w:rsidRPr="00D0236F">
        <w:rPr>
          <w:sz w:val="22"/>
          <w:szCs w:val="22"/>
        </w:rPr>
        <w:t>The hazard ratio (exp(</w:t>
      </w:r>
      <w:proofErr w:type="spellStart"/>
      <w:r w:rsidRPr="00D0236F">
        <w:rPr>
          <w:sz w:val="22"/>
          <w:szCs w:val="22"/>
        </w:rPr>
        <w:t>coef</w:t>
      </w:r>
      <w:proofErr w:type="spellEnd"/>
      <w:r w:rsidRPr="00D0236F">
        <w:rPr>
          <w:sz w:val="22"/>
          <w:szCs w:val="22"/>
        </w:rPr>
        <w:t>))</w:t>
      </w:r>
      <w:r w:rsidRPr="00D0236F">
        <w:rPr>
          <w:rFonts w:eastAsiaTheme="minorEastAsia"/>
          <w:sz w:val="22"/>
          <w:szCs w:val="22"/>
          <w:lang w:eastAsia="ko-KR"/>
        </w:rPr>
        <w:t xml:space="preserve"> for hybrid group is significantly low as 0.09</w:t>
      </w:r>
      <w:r w:rsidRPr="00D0236F">
        <w:rPr>
          <w:sz w:val="22"/>
          <w:szCs w:val="22"/>
        </w:rPr>
        <w:t xml:space="preserve">, </w:t>
      </w:r>
      <w:r w:rsidRPr="00D0236F">
        <w:rPr>
          <w:rFonts w:eastAsiaTheme="minorEastAsia"/>
          <w:sz w:val="22"/>
          <w:szCs w:val="22"/>
          <w:lang w:eastAsia="ko-KR"/>
        </w:rPr>
        <w:t>indicating</w:t>
      </w:r>
      <w:r w:rsidRPr="00D0236F">
        <w:rPr>
          <w:sz w:val="22"/>
          <w:szCs w:val="22"/>
        </w:rPr>
        <w:t xml:space="preserve"> hybrid-induced immunity reduces the risk to approximately 9% of that for vaccine-induced immunity. For</w:t>
      </w:r>
      <w:r w:rsidRPr="00D0236F">
        <w:rPr>
          <w:spacing w:val="-10"/>
          <w:sz w:val="22"/>
          <w:szCs w:val="22"/>
        </w:rPr>
        <w:t xml:space="preserve"> </w:t>
      </w:r>
      <w:r w:rsidRPr="00D0236F">
        <w:rPr>
          <w:sz w:val="22"/>
          <w:szCs w:val="22"/>
        </w:rPr>
        <w:t>the,</w:t>
      </w:r>
      <w:r w:rsidRPr="00D0236F">
        <w:rPr>
          <w:spacing w:val="-9"/>
          <w:sz w:val="22"/>
          <w:szCs w:val="22"/>
        </w:rPr>
        <w:t xml:space="preserve"> </w:t>
      </w:r>
      <w:r w:rsidRPr="00D0236F">
        <w:rPr>
          <w:sz w:val="22"/>
          <w:szCs w:val="22"/>
        </w:rPr>
        <w:t>a</w:t>
      </w:r>
      <w:r w:rsidRPr="00D0236F">
        <w:rPr>
          <w:spacing w:val="-9"/>
          <w:sz w:val="22"/>
          <w:szCs w:val="22"/>
        </w:rPr>
        <w:t xml:space="preserve"> </w:t>
      </w:r>
      <w:r w:rsidRPr="00D0236F">
        <w:rPr>
          <w:sz w:val="22"/>
          <w:szCs w:val="22"/>
        </w:rPr>
        <w:t>hazard</w:t>
      </w:r>
      <w:r w:rsidRPr="00D0236F">
        <w:rPr>
          <w:spacing w:val="-10"/>
          <w:sz w:val="22"/>
          <w:szCs w:val="22"/>
        </w:rPr>
        <w:t xml:space="preserve"> </w:t>
      </w:r>
      <w:r w:rsidRPr="00D0236F">
        <w:rPr>
          <w:sz w:val="22"/>
          <w:szCs w:val="22"/>
        </w:rPr>
        <w:t>ratio</w:t>
      </w:r>
      <w:r w:rsidRPr="00D0236F">
        <w:rPr>
          <w:spacing w:val="-9"/>
          <w:sz w:val="22"/>
          <w:szCs w:val="22"/>
        </w:rPr>
        <w:t xml:space="preserve"> </w:t>
      </w:r>
      <w:r w:rsidRPr="00D0236F">
        <w:rPr>
          <w:rFonts w:eastAsiaTheme="minorEastAsia"/>
          <w:sz w:val="22"/>
          <w:szCs w:val="22"/>
          <w:lang w:eastAsia="ko-KR"/>
        </w:rPr>
        <w:t xml:space="preserve">of age groups&gt;20 show 42-69% lower risk of infection than age &lt;20 group with increasing risk trends with older age groups. </w:t>
      </w:r>
    </w:p>
    <w:p w14:paraId="3FF1DD8A" w14:textId="77777777" w:rsidR="009D2CEB" w:rsidRPr="00D0236F" w:rsidRDefault="009D2CEB" w:rsidP="005B7F6E">
      <w:pPr>
        <w:pStyle w:val="BodyText"/>
        <w:spacing w:line="360" w:lineRule="auto"/>
        <w:ind w:left="0"/>
        <w:jc w:val="both"/>
        <w:rPr>
          <w:sz w:val="22"/>
          <w:szCs w:val="22"/>
        </w:rPr>
      </w:pPr>
    </w:p>
    <w:p w14:paraId="7A1533DA" w14:textId="33E75F14" w:rsidR="00D3651D" w:rsidRPr="00D0236F" w:rsidRDefault="00DE29D0" w:rsidP="009A4689">
      <w:pPr>
        <w:pStyle w:val="BodyText"/>
        <w:spacing w:line="360" w:lineRule="auto"/>
        <w:ind w:left="168"/>
        <w:rPr>
          <w:sz w:val="22"/>
          <w:szCs w:val="22"/>
          <w:lang w:eastAsia="zh-CN"/>
        </w:rPr>
      </w:pPr>
      <w:r w:rsidRPr="00D0236F">
        <w:rPr>
          <w:noProof/>
          <w:sz w:val="22"/>
          <w:szCs w:val="22"/>
          <w:lang w:eastAsia="zh-CN"/>
          <w14:ligatures w14:val="standardContextual"/>
        </w:rPr>
        <w:drawing>
          <wp:inline distT="0" distB="0" distL="0" distR="0" wp14:anchorId="4E374673" wp14:editId="6B5705C5">
            <wp:extent cx="6343650" cy="3035935"/>
            <wp:effectExtent l="0" t="0" r="6350" b="0"/>
            <wp:docPr id="497643931"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43931" name="Picture 4" descr="A graph of different colored lin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43650" cy="3035935"/>
                    </a:xfrm>
                    <a:prstGeom prst="rect">
                      <a:avLst/>
                    </a:prstGeom>
                  </pic:spPr>
                </pic:pic>
              </a:graphicData>
            </a:graphic>
          </wp:inline>
        </w:drawing>
      </w:r>
    </w:p>
    <w:p w14:paraId="1A732E94" w14:textId="77777777" w:rsidR="00D3651D" w:rsidRPr="00D0236F" w:rsidRDefault="00D3651D" w:rsidP="009A4689">
      <w:pPr>
        <w:pStyle w:val="BodyText"/>
        <w:spacing w:line="360" w:lineRule="auto"/>
        <w:ind w:right="552"/>
        <w:jc w:val="center"/>
        <w:rPr>
          <w:rFonts w:eastAsiaTheme="minorEastAsia"/>
          <w:sz w:val="22"/>
          <w:szCs w:val="22"/>
          <w:lang w:eastAsia="ko-KR"/>
        </w:rPr>
      </w:pPr>
      <w:r w:rsidRPr="00D0236F">
        <w:rPr>
          <w:sz w:val="22"/>
          <w:szCs w:val="22"/>
        </w:rPr>
        <w:t xml:space="preserve">Figure </w:t>
      </w:r>
      <w:r w:rsidRPr="00D0236F">
        <w:rPr>
          <w:rFonts w:eastAsiaTheme="minorEastAsia"/>
          <w:sz w:val="22"/>
          <w:szCs w:val="22"/>
          <w:lang w:eastAsia="ko-KR"/>
        </w:rPr>
        <w:t>4</w:t>
      </w:r>
      <w:r w:rsidRPr="00D0236F">
        <w:rPr>
          <w:sz w:val="22"/>
          <w:szCs w:val="22"/>
        </w:rPr>
        <w:t xml:space="preserve">: Regression line comparison for vaccine-induced (left) and </w:t>
      </w:r>
      <w:commentRangeStart w:id="26"/>
      <w:commentRangeStart w:id="27"/>
      <w:r w:rsidRPr="00D0236F">
        <w:rPr>
          <w:sz w:val="22"/>
          <w:szCs w:val="22"/>
        </w:rPr>
        <w:t>hybrid-induced (right) groups</w:t>
      </w:r>
      <w:commentRangeEnd w:id="26"/>
      <w:r w:rsidR="001F5E3E" w:rsidRPr="00D0236F">
        <w:rPr>
          <w:rStyle w:val="CommentReference"/>
          <w:sz w:val="22"/>
          <w:szCs w:val="22"/>
        </w:rPr>
        <w:commentReference w:id="26"/>
      </w:r>
      <w:commentRangeEnd w:id="27"/>
      <w:r w:rsidR="00110837" w:rsidRPr="00D0236F">
        <w:rPr>
          <w:rStyle w:val="CommentReference"/>
          <w:sz w:val="22"/>
          <w:szCs w:val="22"/>
        </w:rPr>
        <w:commentReference w:id="27"/>
      </w:r>
    </w:p>
    <w:p w14:paraId="4265DCF6" w14:textId="77777777" w:rsidR="005C4E26" w:rsidRPr="00D0236F" w:rsidRDefault="005C4E26" w:rsidP="003F5D49">
      <w:pPr>
        <w:pStyle w:val="BodyText"/>
        <w:spacing w:line="360" w:lineRule="auto"/>
        <w:ind w:right="552"/>
        <w:rPr>
          <w:rFonts w:eastAsiaTheme="minorEastAsia"/>
          <w:sz w:val="22"/>
          <w:szCs w:val="22"/>
          <w:lang w:eastAsia="ko-KR"/>
        </w:rPr>
      </w:pPr>
    </w:p>
    <w:p w14:paraId="4FCEAB52" w14:textId="1DEDAF2C" w:rsidR="00D3651D" w:rsidRPr="00D0236F" w:rsidRDefault="003F5D49" w:rsidP="006C20C2">
      <w:pPr>
        <w:pStyle w:val="BodyText"/>
        <w:spacing w:line="360" w:lineRule="auto"/>
        <w:ind w:right="552" w:firstLine="516"/>
        <w:rPr>
          <w:rFonts w:eastAsiaTheme="minorEastAsia"/>
          <w:sz w:val="22"/>
          <w:szCs w:val="22"/>
          <w:lang w:eastAsia="ko-KR"/>
        </w:rPr>
      </w:pPr>
      <w:r w:rsidRPr="00D0236F">
        <w:rPr>
          <w:rFonts w:eastAsiaTheme="minorEastAsia"/>
          <w:sz w:val="22"/>
          <w:szCs w:val="22"/>
          <w:lang w:eastAsia="ko-KR"/>
        </w:rPr>
        <w:t xml:space="preserve">Our results show that S antibody levels greater than 250,000, 20,000, and 15,000 for &lt;20, &gt;60, and 40-60 age groups are associated with &gt;80% probability of remaining infection-free in the vaccine group. However, the hybrid group maintains over 95% of remaining infection-free regardless of the S antibody levels and age groups, similar to the results of the survival analyses. </w:t>
      </w:r>
    </w:p>
    <w:p w14:paraId="39CC9BA8" w14:textId="77777777" w:rsidR="003F5D49" w:rsidRPr="00D0236F" w:rsidRDefault="003F5D49" w:rsidP="003F5D49">
      <w:pPr>
        <w:pStyle w:val="BodyText"/>
        <w:spacing w:line="360" w:lineRule="auto"/>
        <w:ind w:right="552"/>
        <w:rPr>
          <w:rFonts w:eastAsiaTheme="minorEastAsia"/>
          <w:sz w:val="22"/>
          <w:szCs w:val="22"/>
          <w:lang w:eastAsia="ko-KR"/>
        </w:rPr>
      </w:pPr>
    </w:p>
    <w:p w14:paraId="468F5489" w14:textId="77777777" w:rsidR="00D3651D" w:rsidRPr="00D0236F" w:rsidRDefault="00D3651D" w:rsidP="005B7F6E">
      <w:pPr>
        <w:pStyle w:val="Heading1"/>
        <w:tabs>
          <w:tab w:val="left" w:pos="633"/>
          <w:tab w:val="left" w:pos="634"/>
        </w:tabs>
        <w:spacing w:before="0" w:after="0" w:line="360" w:lineRule="auto"/>
        <w:ind w:left="633" w:hanging="517"/>
        <w:rPr>
          <w:rFonts w:ascii="Times New Roman" w:hAnsi="Times New Roman" w:cs="Times New Roman"/>
          <w:b/>
          <w:bCs/>
          <w:color w:val="000000" w:themeColor="text1"/>
          <w:sz w:val="22"/>
          <w:szCs w:val="22"/>
          <w:lang w:eastAsia="zh-CN"/>
        </w:rPr>
      </w:pPr>
      <w:bookmarkStart w:id="28" w:name="Discussion"/>
      <w:bookmarkEnd w:id="28"/>
      <w:r w:rsidRPr="00D0236F">
        <w:rPr>
          <w:rFonts w:ascii="Times New Roman" w:hAnsi="Times New Roman" w:cs="Times New Roman"/>
          <w:b/>
          <w:bCs/>
          <w:color w:val="000000" w:themeColor="text1"/>
          <w:sz w:val="22"/>
          <w:szCs w:val="22"/>
        </w:rPr>
        <w:t>Discussion</w:t>
      </w:r>
    </w:p>
    <w:p w14:paraId="03AAED41" w14:textId="77777777" w:rsidR="00D3651D" w:rsidRPr="00D0236F" w:rsidRDefault="00D3651D" w:rsidP="005B7F6E">
      <w:pPr>
        <w:pStyle w:val="Heading1"/>
        <w:tabs>
          <w:tab w:val="left" w:pos="633"/>
          <w:tab w:val="left" w:pos="634"/>
        </w:tabs>
        <w:spacing w:before="0" w:after="0" w:line="360" w:lineRule="auto"/>
        <w:rPr>
          <w:rFonts w:ascii="Times New Roman" w:hAnsi="Times New Roman" w:cs="Times New Roman"/>
          <w:sz w:val="22"/>
          <w:szCs w:val="22"/>
        </w:rPr>
      </w:pPr>
    </w:p>
    <w:p w14:paraId="76942207" w14:textId="3DBB79CA" w:rsidR="005B3FC5" w:rsidRPr="005B3FC5" w:rsidRDefault="00D3651D" w:rsidP="00A04B29">
      <w:pPr>
        <w:pStyle w:val="BodyText"/>
        <w:spacing w:line="360" w:lineRule="auto"/>
        <w:rPr>
          <w:rFonts w:eastAsiaTheme="minorEastAsia" w:hint="eastAsia"/>
          <w:lang w:eastAsia="ko-KR"/>
        </w:rPr>
      </w:pPr>
      <w:r w:rsidRPr="00D0236F">
        <w:rPr>
          <w:rFonts w:eastAsiaTheme="minorEastAsia"/>
          <w:color w:val="000000"/>
          <w:sz w:val="22"/>
          <w:szCs w:val="22"/>
          <w:lang w:eastAsia="ko-KR"/>
        </w:rPr>
        <w:t xml:space="preserve">Our study examined the protective effectiveness of COVID-19 infection across age </w:t>
      </w:r>
      <w:r w:rsidR="00AC19CD" w:rsidRPr="00D0236F">
        <w:rPr>
          <w:rFonts w:eastAsiaTheme="minorEastAsia"/>
          <w:color w:val="000000"/>
          <w:sz w:val="22"/>
          <w:szCs w:val="22"/>
          <w:lang w:eastAsia="ko-KR"/>
        </w:rPr>
        <w:t>groups between hybrid and vaccine-induced</w:t>
      </w:r>
      <w:r w:rsidR="00F526BA" w:rsidRPr="00D0236F">
        <w:rPr>
          <w:rFonts w:eastAsiaTheme="minorEastAsia"/>
          <w:color w:val="000000"/>
          <w:sz w:val="22"/>
          <w:szCs w:val="22"/>
          <w:lang w:eastAsia="ko-KR"/>
        </w:rPr>
        <w:t xml:space="preserve"> immunity</w:t>
      </w:r>
      <w:r w:rsidR="00AC19CD" w:rsidRPr="00D0236F">
        <w:rPr>
          <w:rFonts w:eastAsiaTheme="minorEastAsia"/>
          <w:color w:val="000000"/>
          <w:sz w:val="22"/>
          <w:szCs w:val="22"/>
          <w:lang w:eastAsia="ko-KR"/>
        </w:rPr>
        <w:t xml:space="preserve"> in the </w:t>
      </w:r>
      <w:r w:rsidRPr="00D0236F">
        <w:rPr>
          <w:rFonts w:eastAsiaTheme="minorEastAsia"/>
          <w:color w:val="000000"/>
          <w:sz w:val="22"/>
          <w:szCs w:val="22"/>
          <w:lang w:eastAsia="ko-KR"/>
        </w:rPr>
        <w:t xml:space="preserve">general population </w:t>
      </w:r>
      <w:r w:rsidRPr="00D0236F">
        <w:rPr>
          <w:rFonts w:eastAsiaTheme="minorEastAsia"/>
          <w:sz w:val="22"/>
          <w:szCs w:val="22"/>
          <w:lang w:eastAsia="ko-KR"/>
        </w:rPr>
        <w:t>based on community-based nationwide surveillance</w:t>
      </w:r>
      <w:r w:rsidRPr="00D0236F">
        <w:rPr>
          <w:rFonts w:eastAsiaTheme="minorEastAsia"/>
          <w:color w:val="000000"/>
          <w:sz w:val="22"/>
          <w:szCs w:val="22"/>
          <w:lang w:eastAsia="ko-KR"/>
        </w:rPr>
        <w:t xml:space="preserve">. </w:t>
      </w:r>
      <w:r w:rsidRPr="00D0236F">
        <w:rPr>
          <w:sz w:val="22"/>
          <w:szCs w:val="22"/>
        </w:rPr>
        <w:t xml:space="preserve">In this </w:t>
      </w:r>
      <w:r w:rsidRPr="00D0236F">
        <w:rPr>
          <w:spacing w:val="-3"/>
          <w:sz w:val="22"/>
          <w:szCs w:val="22"/>
        </w:rPr>
        <w:t xml:space="preserve">study, </w:t>
      </w:r>
      <w:r w:rsidRPr="00D0236F">
        <w:rPr>
          <w:sz w:val="22"/>
          <w:szCs w:val="22"/>
        </w:rPr>
        <w:t xml:space="preserve">we utilized nationwide community-based surveillance data </w:t>
      </w:r>
      <w:r w:rsidRPr="00D0236F">
        <w:rPr>
          <w:rFonts w:eastAsiaTheme="minorEastAsia"/>
          <w:sz w:val="22"/>
          <w:szCs w:val="22"/>
          <w:lang w:eastAsia="ko-KR"/>
        </w:rPr>
        <w:t xml:space="preserve">(large sample sizes and wide age </w:t>
      </w:r>
      <w:r w:rsidRPr="00D0236F">
        <w:rPr>
          <w:rFonts w:eastAsiaTheme="minorEastAsia"/>
          <w:sz w:val="22"/>
          <w:szCs w:val="22"/>
          <w:lang w:eastAsia="ko-KR"/>
        </w:rPr>
        <w:lastRenderedPageBreak/>
        <w:t xml:space="preserve">spectrums) </w:t>
      </w:r>
      <w:r w:rsidRPr="00D0236F">
        <w:rPr>
          <w:sz w:val="22"/>
          <w:szCs w:val="22"/>
        </w:rPr>
        <w:t xml:space="preserve">from South </w:t>
      </w:r>
      <w:r w:rsidRPr="00D0236F">
        <w:rPr>
          <w:spacing w:val="-3"/>
          <w:sz w:val="22"/>
          <w:szCs w:val="22"/>
        </w:rPr>
        <w:t xml:space="preserve">Ko- </w:t>
      </w:r>
      <w:r w:rsidRPr="00D0236F">
        <w:rPr>
          <w:sz w:val="22"/>
          <w:szCs w:val="22"/>
        </w:rPr>
        <w:t>rea,</w:t>
      </w:r>
      <w:r w:rsidRPr="00D0236F">
        <w:rPr>
          <w:spacing w:val="-18"/>
          <w:sz w:val="22"/>
          <w:szCs w:val="22"/>
        </w:rPr>
        <w:t xml:space="preserve"> </w:t>
      </w:r>
      <w:r w:rsidRPr="00D0236F">
        <w:rPr>
          <w:sz w:val="22"/>
          <w:szCs w:val="22"/>
        </w:rPr>
        <w:t>involving</w:t>
      </w:r>
      <w:r w:rsidRPr="00D0236F">
        <w:rPr>
          <w:spacing w:val="-20"/>
          <w:sz w:val="22"/>
          <w:szCs w:val="22"/>
        </w:rPr>
        <w:t xml:space="preserve"> </w:t>
      </w:r>
      <w:r w:rsidRPr="00D0236F">
        <w:rPr>
          <w:sz w:val="22"/>
          <w:szCs w:val="22"/>
        </w:rPr>
        <w:t>10,000</w:t>
      </w:r>
      <w:r w:rsidRPr="00D0236F">
        <w:rPr>
          <w:spacing w:val="-20"/>
          <w:sz w:val="22"/>
          <w:szCs w:val="22"/>
        </w:rPr>
        <w:t xml:space="preserve"> </w:t>
      </w:r>
      <w:r w:rsidRPr="00D0236F">
        <w:rPr>
          <w:sz w:val="22"/>
          <w:szCs w:val="22"/>
        </w:rPr>
        <w:t>participants,</w:t>
      </w:r>
      <w:r w:rsidRPr="00D0236F">
        <w:rPr>
          <w:spacing w:val="-17"/>
          <w:sz w:val="22"/>
          <w:szCs w:val="22"/>
        </w:rPr>
        <w:t xml:space="preserve"> </w:t>
      </w:r>
      <w:r w:rsidRPr="00D0236F">
        <w:rPr>
          <w:rFonts w:eastAsiaTheme="minorEastAsia"/>
          <w:sz w:val="22"/>
          <w:szCs w:val="22"/>
          <w:lang w:eastAsia="ko-KR"/>
        </w:rPr>
        <w:t xml:space="preserve">with detailed demographic information and serological assessment twice after an epidemic wave of omicron </w:t>
      </w:r>
      <w:commentRangeStart w:id="29"/>
      <w:r w:rsidRPr="00D0236F">
        <w:rPr>
          <w:rFonts w:eastAsiaTheme="minorEastAsia"/>
          <w:sz w:val="22"/>
          <w:szCs w:val="22"/>
          <w:lang w:eastAsia="ko-KR"/>
        </w:rPr>
        <w:t>variants</w:t>
      </w:r>
      <w:commentRangeEnd w:id="29"/>
      <w:r w:rsidR="00107EC3" w:rsidRPr="00D0236F">
        <w:rPr>
          <w:rStyle w:val="CommentReference"/>
          <w:sz w:val="22"/>
          <w:szCs w:val="22"/>
        </w:rPr>
        <w:commentReference w:id="29"/>
      </w:r>
      <w:r w:rsidR="00D0236F" w:rsidRPr="00D0236F">
        <w:rPr>
          <w:rFonts w:eastAsiaTheme="minorEastAsia"/>
          <w:sz w:val="22"/>
          <w:szCs w:val="22"/>
          <w:lang w:eastAsia="zh-CN"/>
        </w:rPr>
        <w:t xml:space="preserve"> </w:t>
      </w:r>
      <w:r w:rsidR="00D0236F" w:rsidRPr="00D0236F">
        <w:rPr>
          <w:rFonts w:eastAsiaTheme="minorEastAsia"/>
          <w:sz w:val="22"/>
          <w:szCs w:val="22"/>
          <w:lang w:eastAsia="zh-CN"/>
        </w:rPr>
        <w:fldChar w:fldCharType="begin"/>
      </w:r>
      <w:r w:rsidR="00D0236F" w:rsidRPr="00D0236F">
        <w:rPr>
          <w:rFonts w:eastAsiaTheme="minorEastAsia"/>
          <w:sz w:val="22"/>
          <w:szCs w:val="22"/>
          <w:lang w:eastAsia="zh-CN"/>
        </w:rPr>
        <w:instrText xml:space="preserve"> ADDIN ZOTERO_ITEM CSL_CITATION {"citationID":"KlKWjeZG","properties":{"formattedCitation":"[16]","plainCitation":"[16]","noteIndex":0},"citationItems":[{"id":101,"uris":["http://zotero.org/users/14790911/items/CZ9UIUZY"],"itemData":{"id":101,"type":"webpage","title":"Seroprevalence of SARS-CoV-2 antibodies in the community based on participants in the 2020 Korea National Health and Nutrition Examination Survey","URL":"https://www.e-epih.org/journal/view.php?number=1276","accessed":{"date-parts":[["2024",9,4]]}}}],"schema":"https://github.com/citation-style-language/schema/raw/master/csl-citation.json"} </w:instrText>
      </w:r>
      <w:r w:rsidR="00D0236F" w:rsidRPr="00D0236F">
        <w:rPr>
          <w:rFonts w:eastAsiaTheme="minorEastAsia"/>
          <w:sz w:val="22"/>
          <w:szCs w:val="22"/>
          <w:lang w:eastAsia="zh-CN"/>
        </w:rPr>
        <w:fldChar w:fldCharType="separate"/>
      </w:r>
      <w:r w:rsidR="00D0236F" w:rsidRPr="00D0236F">
        <w:rPr>
          <w:rFonts w:eastAsiaTheme="minorEastAsia"/>
          <w:noProof/>
          <w:sz w:val="22"/>
          <w:szCs w:val="22"/>
          <w:lang w:eastAsia="zh-CN"/>
        </w:rPr>
        <w:t>[16]</w:t>
      </w:r>
      <w:r w:rsidR="00D0236F" w:rsidRPr="00D0236F">
        <w:rPr>
          <w:rFonts w:eastAsiaTheme="minorEastAsia"/>
          <w:sz w:val="22"/>
          <w:szCs w:val="22"/>
          <w:lang w:eastAsia="zh-CN"/>
        </w:rPr>
        <w:fldChar w:fldCharType="end"/>
      </w:r>
      <w:r w:rsidRPr="00D0236F">
        <w:rPr>
          <w:rFonts w:eastAsiaTheme="minorEastAsia"/>
          <w:sz w:val="22"/>
          <w:szCs w:val="22"/>
          <w:lang w:eastAsia="ko-KR"/>
        </w:rPr>
        <w:t xml:space="preserve">. </w:t>
      </w:r>
      <w:r w:rsidR="00A04B29" w:rsidRPr="00D0236F">
        <w:rPr>
          <w:color w:val="212121"/>
          <w:sz w:val="22"/>
          <w:szCs w:val="22"/>
          <w:shd w:val="clear" w:color="auto" w:fill="FFFFFF"/>
        </w:rPr>
        <w:t xml:space="preserve">Our results show that hybrid immunity </w:t>
      </w:r>
      <w:r w:rsidR="005B3FC5">
        <w:rPr>
          <w:rFonts w:eastAsiaTheme="minorEastAsia"/>
        </w:rPr>
        <w:t>maintained about 2 times higher antibody levels</w:t>
      </w:r>
      <w:r w:rsidR="005B3FC5">
        <w:rPr>
          <w:rFonts w:eastAsiaTheme="minorEastAsia" w:hint="eastAsia"/>
          <w:lang w:eastAsia="ko-KR"/>
        </w:rPr>
        <w:t xml:space="preserve"> (~10,000) at 12 months </w:t>
      </w:r>
      <w:r w:rsidR="005B3FC5">
        <w:rPr>
          <w:rFonts w:eastAsiaTheme="minorEastAsia"/>
        </w:rPr>
        <w:t xml:space="preserve">from the last immunological events </w:t>
      </w:r>
      <w:r w:rsidR="005B3FC5" w:rsidRPr="008126BD">
        <w:rPr>
          <w:rFonts w:eastAsiaTheme="minorEastAsia"/>
        </w:rPr>
        <w:t xml:space="preserve">compared to </w:t>
      </w:r>
      <w:r w:rsidR="005B3FC5">
        <w:rPr>
          <w:rFonts w:eastAsiaTheme="minorEastAsia"/>
        </w:rPr>
        <w:t xml:space="preserve">the </w:t>
      </w:r>
      <w:r w:rsidR="005B3FC5" w:rsidRPr="008126BD">
        <w:rPr>
          <w:rFonts w:eastAsiaTheme="minorEastAsia"/>
        </w:rPr>
        <w:t>vaccin</w:t>
      </w:r>
      <w:r w:rsidR="005B3FC5">
        <w:rPr>
          <w:rFonts w:eastAsiaTheme="minorEastAsia" w:hint="eastAsia"/>
          <w:lang w:eastAsia="ko-KR"/>
        </w:rPr>
        <w:t>e group</w:t>
      </w:r>
      <w:r w:rsidR="005B3FC5">
        <w:rPr>
          <w:rFonts w:eastAsiaTheme="minorEastAsia" w:hint="eastAsia"/>
          <w:lang w:eastAsia="ko-KR"/>
        </w:rPr>
        <w:t xml:space="preserve">, </w:t>
      </w:r>
      <w:r w:rsidR="005B3FC5">
        <w:rPr>
          <w:rFonts w:eastAsiaTheme="minorEastAsia"/>
          <w:lang w:eastAsia="ko-KR"/>
        </w:rPr>
        <w:t>conferring</w:t>
      </w:r>
      <w:r w:rsidR="005B3FC5">
        <w:rPr>
          <w:rFonts w:eastAsiaTheme="minorEastAsia" w:hint="eastAsia"/>
          <w:lang w:eastAsia="ko-KR"/>
        </w:rPr>
        <w:t xml:space="preserve"> a substantially lower (9%) hazard ratio compared to vaccine immunity</w:t>
      </w:r>
      <w:r w:rsidR="00C77D69" w:rsidRPr="00C77D69">
        <w:rPr>
          <w:color w:val="212121"/>
          <w:sz w:val="22"/>
          <w:szCs w:val="22"/>
          <w:shd w:val="clear" w:color="auto" w:fill="FFFFFF"/>
        </w:rPr>
        <w:t xml:space="preserve"> </w:t>
      </w:r>
      <w:r w:rsidR="00C77D69" w:rsidRPr="00D0236F">
        <w:rPr>
          <w:color w:val="212121"/>
          <w:sz w:val="22"/>
          <w:szCs w:val="22"/>
          <w:shd w:val="clear" w:color="auto" w:fill="FFFFFF"/>
        </w:rPr>
        <w:t>for COVID-19 re-infection with the Omicron variant</w:t>
      </w:r>
      <w:r w:rsidR="005B3FC5">
        <w:rPr>
          <w:rFonts w:eastAsiaTheme="minorEastAsia" w:hint="eastAsia"/>
          <w:lang w:eastAsia="ko-KR"/>
        </w:rPr>
        <w:t xml:space="preserve">. </w:t>
      </w:r>
      <w:r w:rsidR="005B3FC5">
        <w:rPr>
          <w:rFonts w:eastAsiaTheme="minorEastAsia" w:hint="eastAsia"/>
          <w:lang w:eastAsia="ko-KR"/>
        </w:rPr>
        <w:t xml:space="preserve">Although the antibody decay trend was similar across age groups, the protection effectiveness against infection was more </w:t>
      </w:r>
      <w:r w:rsidR="005B3FC5">
        <w:rPr>
          <w:rFonts w:eastAsiaTheme="minorEastAsia"/>
          <w:lang w:eastAsia="ko-KR"/>
        </w:rPr>
        <w:t>quickly</w:t>
      </w:r>
      <w:r w:rsidR="005B3FC5">
        <w:rPr>
          <w:rFonts w:eastAsiaTheme="minorEastAsia" w:hint="eastAsia"/>
          <w:lang w:eastAsia="ko-KR"/>
        </w:rPr>
        <w:t xml:space="preserve"> decreased for </w:t>
      </w:r>
      <w:r w:rsidR="005B3FC5" w:rsidRPr="008126BD">
        <w:rPr>
          <w:rFonts w:eastAsiaTheme="minorEastAsia"/>
        </w:rPr>
        <w:t xml:space="preserve">the&gt;60 age group but </w:t>
      </w:r>
      <w:r w:rsidR="005B3FC5">
        <w:rPr>
          <w:rFonts w:eastAsiaTheme="minorEastAsia" w:hint="eastAsia"/>
          <w:lang w:eastAsia="ko-KR"/>
        </w:rPr>
        <w:t xml:space="preserve">in a </w:t>
      </w:r>
      <w:r w:rsidR="005B3FC5" w:rsidRPr="008126BD">
        <w:rPr>
          <w:rFonts w:eastAsiaTheme="minorEastAsia"/>
        </w:rPr>
        <w:t xml:space="preserve">greater magnitude for the &lt;20 </w:t>
      </w:r>
      <w:r w:rsidR="005B3FC5">
        <w:rPr>
          <w:rFonts w:eastAsiaTheme="minorEastAsia" w:hint="eastAsia"/>
          <w:lang w:eastAsia="ko-KR"/>
        </w:rPr>
        <w:t xml:space="preserve">age </w:t>
      </w:r>
      <w:r w:rsidR="005B3FC5" w:rsidRPr="008126BD">
        <w:rPr>
          <w:rFonts w:eastAsiaTheme="minorEastAsia"/>
        </w:rPr>
        <w:t>group</w:t>
      </w:r>
      <w:r w:rsidR="005B3FC5">
        <w:rPr>
          <w:rFonts w:eastAsiaTheme="minorEastAsia" w:hint="eastAsia"/>
          <w:lang w:eastAsia="ko-KR"/>
        </w:rPr>
        <w:t xml:space="preserve"> over time in </w:t>
      </w:r>
      <w:r w:rsidR="005B3FC5">
        <w:rPr>
          <w:rFonts w:eastAsiaTheme="minorEastAsia"/>
          <w:lang w:eastAsia="ko-KR"/>
        </w:rPr>
        <w:t xml:space="preserve">the </w:t>
      </w:r>
      <w:r w:rsidR="005B3FC5">
        <w:rPr>
          <w:rFonts w:eastAsiaTheme="minorEastAsia" w:hint="eastAsia"/>
          <w:lang w:eastAsia="ko-KR"/>
        </w:rPr>
        <w:t xml:space="preserve">vaccine group. Considering the time to infection, </w:t>
      </w:r>
      <w:r w:rsidR="005B3FC5" w:rsidRPr="00D0236F">
        <w:rPr>
          <w:rFonts w:eastAsiaTheme="minorEastAsia"/>
          <w:lang w:eastAsia="ko-KR"/>
        </w:rPr>
        <w:t>&gt;20</w:t>
      </w:r>
      <w:r w:rsidR="005B3FC5">
        <w:rPr>
          <w:rFonts w:eastAsiaTheme="minorEastAsia" w:hint="eastAsia"/>
          <w:lang w:eastAsia="ko-KR"/>
        </w:rPr>
        <w:t xml:space="preserve"> age group</w:t>
      </w:r>
      <w:r w:rsidR="005B3FC5" w:rsidRPr="00D0236F">
        <w:rPr>
          <w:rFonts w:eastAsiaTheme="minorEastAsia"/>
          <w:lang w:eastAsia="ko-KR"/>
        </w:rPr>
        <w:t xml:space="preserve"> </w:t>
      </w:r>
      <w:r w:rsidR="005B3FC5">
        <w:rPr>
          <w:rFonts w:eastAsiaTheme="minorEastAsia" w:hint="eastAsia"/>
          <w:lang w:eastAsia="ko-KR"/>
        </w:rPr>
        <w:t xml:space="preserve">shows </w:t>
      </w:r>
      <w:r w:rsidR="005B3FC5" w:rsidRPr="00D0236F">
        <w:rPr>
          <w:rFonts w:eastAsiaTheme="minorEastAsia"/>
          <w:lang w:eastAsia="ko-KR"/>
        </w:rPr>
        <w:t xml:space="preserve">42-69% lower </w:t>
      </w:r>
      <w:r w:rsidR="00DE44D7">
        <w:rPr>
          <w:rFonts w:eastAsiaTheme="minorEastAsia" w:hint="eastAsia"/>
          <w:lang w:eastAsia="ko-KR"/>
        </w:rPr>
        <w:t>hazard ratio</w:t>
      </w:r>
      <w:r w:rsidR="005B3FC5" w:rsidRPr="00D0236F">
        <w:rPr>
          <w:rFonts w:eastAsiaTheme="minorEastAsia"/>
          <w:lang w:eastAsia="ko-KR"/>
        </w:rPr>
        <w:t xml:space="preserve"> of infection than &lt;20 </w:t>
      </w:r>
      <w:r w:rsidR="005B3FC5">
        <w:rPr>
          <w:rFonts w:eastAsiaTheme="minorEastAsia" w:hint="eastAsia"/>
          <w:lang w:eastAsia="ko-KR"/>
        </w:rPr>
        <w:t xml:space="preserve">age </w:t>
      </w:r>
      <w:r w:rsidR="005B3FC5" w:rsidRPr="00D0236F">
        <w:rPr>
          <w:rFonts w:eastAsiaTheme="minorEastAsia"/>
          <w:lang w:eastAsia="ko-KR"/>
        </w:rPr>
        <w:t>group with increasing risk trends with older age groups</w:t>
      </w:r>
      <w:r w:rsidR="005B3FC5">
        <w:rPr>
          <w:rFonts w:eastAsiaTheme="minorEastAsia" w:hint="eastAsia"/>
          <w:lang w:eastAsia="ko-KR"/>
        </w:rPr>
        <w:t>. To expect &gt;</w:t>
      </w:r>
      <w:r w:rsidR="005B3FC5" w:rsidRPr="00D051AD">
        <w:rPr>
          <w:rFonts w:eastAsiaTheme="minorEastAsia"/>
          <w:lang w:eastAsia="ko-KR"/>
        </w:rPr>
        <w:t>80% probability of remaining infection-free</w:t>
      </w:r>
      <w:r w:rsidR="005B3FC5">
        <w:rPr>
          <w:rFonts w:eastAsiaTheme="minorEastAsia" w:hint="eastAsia"/>
          <w:lang w:eastAsia="ko-KR"/>
        </w:rPr>
        <w:t>, different S antibody levels thresholds are estimated as &gt;250,000, 20,000, and 15,000 for &lt;20, &gt;60, and 40-60 age groups.</w:t>
      </w:r>
      <w:r w:rsidR="00B900F8">
        <w:rPr>
          <w:rFonts w:eastAsiaTheme="minorEastAsia" w:hint="eastAsia"/>
          <w:lang w:eastAsia="ko-KR"/>
        </w:rPr>
        <w:t xml:space="preserve"> </w:t>
      </w:r>
      <w:r w:rsidR="00B900F8" w:rsidRPr="00D0236F">
        <w:rPr>
          <w:rFonts w:eastAsiaTheme="minorEastAsia"/>
          <w:sz w:val="22"/>
          <w:szCs w:val="22"/>
        </w:rPr>
        <w:t>All these differences accounted for heterogeneous individual vaccine responses and individual levels of exposure.</w:t>
      </w:r>
      <w:r w:rsidR="00BD7835" w:rsidRPr="00BD7835">
        <w:rPr>
          <w:rFonts w:eastAsiaTheme="minorEastAsia"/>
          <w:sz w:val="22"/>
          <w:szCs w:val="22"/>
          <w:lang w:eastAsia="ko-KR"/>
        </w:rPr>
        <w:t xml:space="preserve"> </w:t>
      </w:r>
      <w:r w:rsidR="00BD7835" w:rsidRPr="00D0236F">
        <w:rPr>
          <w:rFonts w:eastAsiaTheme="minorEastAsia"/>
          <w:sz w:val="22"/>
          <w:szCs w:val="22"/>
          <w:lang w:eastAsia="ko-KR"/>
        </w:rPr>
        <w:fldChar w:fldCharType="begin"/>
      </w:r>
      <w:r w:rsidR="00BD7835" w:rsidRPr="00D0236F">
        <w:rPr>
          <w:rFonts w:eastAsiaTheme="minorEastAsia"/>
          <w:sz w:val="22"/>
          <w:szCs w:val="22"/>
          <w:lang w:eastAsia="ko-KR"/>
        </w:rPr>
        <w:instrText xml:space="preserve"> ADDIN ZOTERO_ITEM CSL_CITATION {"citationID":"FulRMC52","properties":{"formattedCitation":"[14]","plainCitation":"[14]","dontUpdate":true,"noteIndex":0},"citationItems":[{"id":60,"uris":["http://zotero.org/users/14790911/items/5AMXDKHA"],"itemData":{"id":60,"type":"article-journal","abstract":"BACKGROUND: Heterogeneity of the population in relation to infection, COVID-19 vaccination, and host characteristics is likely reflected in the underlying SARS-CoV-2 antibody responses.\nMETHODS: We measured IgM, IgA, and IgG levels against SARS-CoV-2 spike and nucleocapsid antigens in 1076 adults of a cohort study in Catalonia between June and November 2020 and a second time between May and July 2021. Questionnaire data and electronic health records on vaccination and COVID-19 testing were available in both periods. Data on several lifestyle, health-related, and sociodemographic characteristics were also available.\nRESULTS: Antibody seroreversion occurred in 35.8% of the 64 participants non-vaccinated and infected almost a year ago and was related to asymptomatic infection, age above 60 years, and smoking. Moreover, the analysis on kinetics revealed that among all responses, IgG RBD, IgA RBD, and IgG S2 decreased less within 1 year after infection. Among vaccinated, 2.1% did not present antibodies at the time of testing and approximately 1% had breakthrough infections post-vaccination. In the post-vaccination era, IgM responses and those against nucleoprotein were much less prevalent. In previously infected individuals, vaccination boosted the immune response and there was a slight but statistically significant increase in responses after a 2nd compared to the 1st dose. Infected vaccinated participants had superior antibody levels across time compared to naïve-vaccinated people. mRNA vaccines and, particularly the Spikevax, induced higher antibodies after 1st and 2nd doses compared to Vaxzevria or Janssen COVID-19 vaccines. In multivariable regression analyses, antibody responses after vaccination were predicted by the type of vaccine, infection age, sex, smoking, and mental and cardiovascular diseases.\nCONCLUSIONS: Our data support that infected people would benefit from vaccination. Results also indicate that hybrid immunity results in superior antibody responses and infection-naïve people would need a booster dose earlier than previously infected people. Mental diseases are associated with less efficient responses to vaccination.","container-title":"BMC medicine","DOI":"10.1186/s12916-022-02547-2","ISSN":"1741-7015","issue":"1","journalAbbreviation":"BMC Med","language":"eng","note":"PMID: 36109713\nPMCID: PMC9479347","page":"347","source":"PubMed","title":"SARS-CoV-2 infection, vaccination, and antibody response trajectories in adults: a cohort study in Catalonia","title-short":"SARS-CoV-2 infection, vaccination, and antibody response trajectories in adults","volume":"20","author":[{"family":"Karachaliou","given":"Marianna"},{"family":"Moncunill","given":"Gemma"},{"family":"Espinosa","given":"Ana"},{"family":"Castaño-Vinyals","given":"Gemma"},{"family":"Rubio","given":"Rocío"},{"family":"Vidal","given":"Marta"},{"family":"Jiménez","given":"Alfons"},{"family":"Prados","given":"Esther"},{"family":"Carreras","given":"Anna"},{"family":"Cortés","given":"Beatriz"},{"family":"Blay","given":"Natàlia"},{"family":"Bañuls","given":"Marc"},{"family":"Pleguezuelos","given":"Vanessa"},{"family":"Melero","given":"Natalia Rodrigo"},{"family":"Serra","given":"Pau"},{"family":"Parras","given":"Daniel"},{"family":"Izquierdo","given":"Luis"},{"family":"Santamaría","given":"Pere"},{"family":"Carolis","given":"Carlo"},{"family":"Papantoniou","given":"Kyriaki"},{"family":"Goldberg","given":"Ximena"},{"family":"Aguilar","given":"Ruth"},{"family":"Garcia-Aymerich","given":"Judith"},{"family":"Cid","given":"Rafael","non-dropping-particle":"de"},{"family":"Kogevinas","given":"Manolis"},{"family":"Dobaño","given":"Carlota"}],"issued":{"date-parts":[["2022",9,16]]}}}],"schema":"https://github.com/citation-style-language/schema/raw/master/csl-citation.json"} </w:instrText>
      </w:r>
      <w:r w:rsidR="00BD7835" w:rsidRPr="00D0236F">
        <w:rPr>
          <w:rFonts w:eastAsiaTheme="minorEastAsia"/>
          <w:sz w:val="22"/>
          <w:szCs w:val="22"/>
          <w:lang w:eastAsia="ko-KR"/>
        </w:rPr>
        <w:fldChar w:fldCharType="separate"/>
      </w:r>
      <w:r w:rsidR="00BD7835" w:rsidRPr="00D0236F">
        <w:rPr>
          <w:rFonts w:eastAsiaTheme="minorEastAsia"/>
          <w:noProof/>
          <w:sz w:val="22"/>
          <w:szCs w:val="22"/>
          <w:lang w:eastAsia="ko-KR"/>
        </w:rPr>
        <w:t>[12]</w:t>
      </w:r>
      <w:r w:rsidR="00BD7835" w:rsidRPr="00D0236F">
        <w:rPr>
          <w:rFonts w:eastAsiaTheme="minorEastAsia"/>
          <w:sz w:val="22"/>
          <w:szCs w:val="22"/>
          <w:lang w:eastAsia="ko-KR"/>
        </w:rPr>
        <w:fldChar w:fldCharType="end"/>
      </w:r>
    </w:p>
    <w:p w14:paraId="532BC479" w14:textId="77777777" w:rsidR="005B3FC5" w:rsidRDefault="005B3FC5" w:rsidP="00A04B29">
      <w:pPr>
        <w:pStyle w:val="BodyText"/>
        <w:spacing w:line="360" w:lineRule="auto"/>
        <w:rPr>
          <w:rFonts w:eastAsiaTheme="minorEastAsia"/>
          <w:lang w:eastAsia="ko-KR"/>
        </w:rPr>
      </w:pPr>
    </w:p>
    <w:p w14:paraId="2F471272" w14:textId="39E5EFE1" w:rsidR="006A5700" w:rsidRPr="006A5700" w:rsidRDefault="006A5700" w:rsidP="007B4FC3">
      <w:pPr>
        <w:pStyle w:val="BodyText"/>
        <w:spacing w:line="360" w:lineRule="auto"/>
        <w:rPr>
          <w:rFonts w:eastAsiaTheme="minorEastAsia" w:hint="eastAsia"/>
          <w:color w:val="7030A0"/>
          <w:sz w:val="22"/>
          <w:szCs w:val="22"/>
          <w:lang w:eastAsia="ko-KR"/>
        </w:rPr>
      </w:pPr>
      <w:r>
        <w:rPr>
          <w:rFonts w:eastAsiaTheme="minorEastAsia" w:hint="eastAsia"/>
          <w:color w:val="7030A0"/>
          <w:sz w:val="22"/>
          <w:szCs w:val="22"/>
          <w:lang w:eastAsia="ko-KR"/>
        </w:rPr>
        <w:t xml:space="preserve">Our study observed relatively small infection events </w:t>
      </w:r>
      <w:r w:rsidR="001724BD">
        <w:rPr>
          <w:rFonts w:eastAsiaTheme="minorEastAsia" w:hint="eastAsia"/>
          <w:color w:val="7030A0"/>
          <w:sz w:val="22"/>
          <w:szCs w:val="22"/>
          <w:lang w:eastAsia="ko-KR"/>
        </w:rPr>
        <w:t xml:space="preserve">(high protective effectiveness) </w:t>
      </w:r>
      <w:r>
        <w:rPr>
          <w:rFonts w:eastAsiaTheme="minorEastAsia" w:hint="eastAsia"/>
          <w:color w:val="7030A0"/>
          <w:sz w:val="22"/>
          <w:szCs w:val="22"/>
          <w:lang w:eastAsia="ko-KR"/>
        </w:rPr>
        <w:t xml:space="preserve">among </w:t>
      </w:r>
      <w:r w:rsidR="00565335">
        <w:rPr>
          <w:rFonts w:eastAsiaTheme="minorEastAsia"/>
          <w:color w:val="7030A0"/>
          <w:sz w:val="22"/>
          <w:szCs w:val="22"/>
          <w:lang w:eastAsia="ko-KR"/>
        </w:rPr>
        <w:t xml:space="preserve">the </w:t>
      </w:r>
      <w:r>
        <w:rPr>
          <w:rFonts w:eastAsiaTheme="minorEastAsia" w:hint="eastAsia"/>
          <w:color w:val="7030A0"/>
          <w:sz w:val="22"/>
          <w:szCs w:val="22"/>
          <w:lang w:eastAsia="ko-KR"/>
        </w:rPr>
        <w:t xml:space="preserve">hybrid immunity group as the study was conducted 3 months after the highest omicron epidemic peak (April 2022) and most people (77% for </w:t>
      </w:r>
      <w:r>
        <w:rPr>
          <w:rFonts w:eastAsiaTheme="minorEastAsia"/>
          <w:color w:val="7030A0"/>
          <w:sz w:val="22"/>
          <w:szCs w:val="22"/>
          <w:lang w:eastAsia="ko-KR"/>
        </w:rPr>
        <w:t xml:space="preserve">the </w:t>
      </w:r>
      <w:r>
        <w:rPr>
          <w:rFonts w:eastAsiaTheme="minorEastAsia" w:hint="eastAsia"/>
          <w:color w:val="7030A0"/>
          <w:sz w:val="22"/>
          <w:szCs w:val="22"/>
          <w:lang w:eastAsia="ko-KR"/>
        </w:rPr>
        <w:t xml:space="preserve">hybrid group and 42% for </w:t>
      </w:r>
      <w:r>
        <w:rPr>
          <w:rFonts w:eastAsiaTheme="minorEastAsia"/>
          <w:color w:val="7030A0"/>
          <w:sz w:val="22"/>
          <w:szCs w:val="22"/>
          <w:lang w:eastAsia="ko-KR"/>
        </w:rPr>
        <w:t xml:space="preserve">the </w:t>
      </w:r>
      <w:r>
        <w:rPr>
          <w:rFonts w:eastAsiaTheme="minorEastAsia" w:hint="eastAsia"/>
          <w:color w:val="7030A0"/>
          <w:sz w:val="22"/>
          <w:szCs w:val="22"/>
          <w:lang w:eastAsia="ko-KR"/>
        </w:rPr>
        <w:t xml:space="preserve">vaccine group) had the </w:t>
      </w:r>
      <w:r w:rsidR="00B22FE8">
        <w:rPr>
          <w:rFonts w:eastAsiaTheme="minorEastAsia" w:hint="eastAsia"/>
          <w:color w:val="7030A0"/>
          <w:sz w:val="22"/>
          <w:szCs w:val="22"/>
          <w:lang w:eastAsia="ko-KR"/>
        </w:rPr>
        <w:t xml:space="preserve">recent </w:t>
      </w:r>
      <w:r>
        <w:rPr>
          <w:rFonts w:eastAsiaTheme="minorEastAsia"/>
          <w:color w:val="7030A0"/>
          <w:sz w:val="22"/>
          <w:szCs w:val="22"/>
          <w:lang w:eastAsia="ko-KR"/>
        </w:rPr>
        <w:t>immunological</w:t>
      </w:r>
      <w:r>
        <w:rPr>
          <w:rFonts w:eastAsiaTheme="minorEastAsia" w:hint="eastAsia"/>
          <w:color w:val="7030A0"/>
          <w:sz w:val="22"/>
          <w:szCs w:val="22"/>
          <w:lang w:eastAsia="ko-KR"/>
        </w:rPr>
        <w:t xml:space="preserve"> events </w:t>
      </w:r>
      <w:r w:rsidR="00B22FE8">
        <w:rPr>
          <w:rFonts w:eastAsiaTheme="minorEastAsia" w:hint="eastAsia"/>
          <w:color w:val="7030A0"/>
          <w:sz w:val="22"/>
          <w:szCs w:val="22"/>
          <w:lang w:eastAsia="ko-KR"/>
        </w:rPr>
        <w:t>(</w:t>
      </w:r>
      <w:r>
        <w:rPr>
          <w:rFonts w:eastAsiaTheme="minorEastAsia" w:hint="eastAsia"/>
          <w:color w:val="7030A0"/>
          <w:sz w:val="22"/>
          <w:szCs w:val="22"/>
          <w:lang w:eastAsia="ko-KR"/>
        </w:rPr>
        <w:t>either infection or vaccine</w:t>
      </w:r>
      <w:r w:rsidR="00B22FE8">
        <w:rPr>
          <w:rFonts w:eastAsiaTheme="minorEastAsia" w:hint="eastAsia"/>
          <w:color w:val="7030A0"/>
          <w:sz w:val="22"/>
          <w:szCs w:val="22"/>
          <w:lang w:eastAsia="ko-KR"/>
        </w:rPr>
        <w:t xml:space="preserve">) within 6 months. </w:t>
      </w:r>
      <w:r w:rsidR="00A72734" w:rsidRPr="00D0236F">
        <w:rPr>
          <w:rFonts w:eastAsiaTheme="minorEastAsia"/>
          <w:color w:val="7030A0"/>
          <w:sz w:val="22"/>
          <w:szCs w:val="22"/>
          <w:lang w:eastAsia="ko-KR"/>
        </w:rPr>
        <w:t>In the hybrid group, except for gender, no clear and significant risk factors for infection (</w:t>
      </w:r>
      <w:r w:rsidR="00A72734">
        <w:rPr>
          <w:rFonts w:eastAsiaTheme="minorEastAsia" w:hint="eastAsia"/>
          <w:color w:val="7030A0"/>
          <w:sz w:val="22"/>
          <w:szCs w:val="22"/>
          <w:lang w:eastAsia="ko-KR"/>
        </w:rPr>
        <w:t xml:space="preserve">due in part </w:t>
      </w:r>
      <w:r w:rsidR="00A72734" w:rsidRPr="00D0236F">
        <w:rPr>
          <w:rFonts w:eastAsiaTheme="minorEastAsia"/>
          <w:color w:val="7030A0"/>
          <w:sz w:val="22"/>
          <w:szCs w:val="22"/>
          <w:lang w:eastAsia="ko-KR"/>
        </w:rPr>
        <w:t>to small events) Interestingly, we found that the hybrid 3</w:t>
      </w:r>
      <w:r w:rsidR="00A72734" w:rsidRPr="00D0236F">
        <w:rPr>
          <w:rFonts w:eastAsiaTheme="minorEastAsia"/>
          <w:color w:val="7030A0"/>
          <w:sz w:val="22"/>
          <w:szCs w:val="22"/>
          <w:vertAlign w:val="superscript"/>
          <w:lang w:eastAsia="ko-KR"/>
        </w:rPr>
        <w:t>rd</w:t>
      </w:r>
      <w:r w:rsidR="00A72734" w:rsidRPr="00D0236F">
        <w:rPr>
          <w:rFonts w:eastAsiaTheme="minorEastAsia"/>
          <w:color w:val="7030A0"/>
          <w:sz w:val="22"/>
          <w:szCs w:val="22"/>
          <w:lang w:eastAsia="ko-KR"/>
        </w:rPr>
        <w:t xml:space="preserve"> or 4th booster showed a higher risk than the hybrid 2nd primary group; the counterintuitive result may be due to the different types of latest events between those with the 4</w:t>
      </w:r>
      <w:r w:rsidR="00A72734" w:rsidRPr="00D0236F">
        <w:rPr>
          <w:rFonts w:eastAsiaTheme="minorEastAsia"/>
          <w:color w:val="7030A0"/>
          <w:sz w:val="22"/>
          <w:szCs w:val="22"/>
          <w:vertAlign w:val="superscript"/>
          <w:lang w:eastAsia="ko-KR"/>
        </w:rPr>
        <w:t>th</w:t>
      </w:r>
      <w:r w:rsidR="00A72734" w:rsidRPr="00D0236F">
        <w:rPr>
          <w:rFonts w:eastAsiaTheme="minorEastAsia"/>
          <w:color w:val="7030A0"/>
          <w:sz w:val="22"/>
          <w:szCs w:val="22"/>
          <w:lang w:eastAsia="ko-KR"/>
        </w:rPr>
        <w:t xml:space="preserve"> booster and 2</w:t>
      </w:r>
      <w:r w:rsidR="00A72734" w:rsidRPr="00D0236F">
        <w:rPr>
          <w:rFonts w:eastAsiaTheme="minorEastAsia"/>
          <w:color w:val="7030A0"/>
          <w:sz w:val="22"/>
          <w:szCs w:val="22"/>
          <w:vertAlign w:val="superscript"/>
          <w:lang w:eastAsia="ko-KR"/>
        </w:rPr>
        <w:t>nd</w:t>
      </w:r>
      <w:r w:rsidR="00A72734" w:rsidRPr="00D0236F">
        <w:rPr>
          <w:rFonts w:eastAsiaTheme="minorEastAsia"/>
          <w:color w:val="7030A0"/>
          <w:sz w:val="22"/>
          <w:szCs w:val="22"/>
          <w:lang w:eastAsia="ko-KR"/>
        </w:rPr>
        <w:t xml:space="preserve"> primary vaccines (as vaccine vs infection). </w:t>
      </w:r>
      <w:commentRangeStart w:id="30"/>
      <w:commentRangeStart w:id="31"/>
      <w:r w:rsidR="00A72734" w:rsidRPr="00D0236F">
        <w:rPr>
          <w:rFonts w:eastAsiaTheme="minorEastAsia"/>
          <w:color w:val="7030A0"/>
          <w:sz w:val="22"/>
          <w:szCs w:val="22"/>
          <w:lang w:eastAsia="ko-KR"/>
        </w:rPr>
        <w:sym w:font="Wingdings" w:char="F0E0"/>
      </w:r>
      <w:r w:rsidR="00A72734" w:rsidRPr="00D0236F">
        <w:rPr>
          <w:rFonts w:eastAsiaTheme="minorEastAsia"/>
          <w:color w:val="7030A0"/>
          <w:sz w:val="22"/>
          <w:szCs w:val="22"/>
          <w:lang w:eastAsia="ko-KR"/>
        </w:rPr>
        <w:t xml:space="preserve"> </w:t>
      </w:r>
      <w:r w:rsidR="00A72734" w:rsidRPr="00A04B29">
        <w:rPr>
          <w:rFonts w:eastAsiaTheme="minorEastAsia"/>
          <w:color w:val="7030A0"/>
          <w:sz w:val="22"/>
          <w:szCs w:val="22"/>
          <w:highlight w:val="yellow"/>
          <w:lang w:eastAsia="ko-KR"/>
        </w:rPr>
        <w:t xml:space="preserve">Within the hybrid group, the protection level may significantly differ by the type of latest event and time since the latest event as well.  </w:t>
      </w:r>
      <w:r w:rsidR="00A72734" w:rsidRPr="00A04B29">
        <w:rPr>
          <w:color w:val="222222"/>
          <w:sz w:val="22"/>
          <w:szCs w:val="22"/>
          <w:highlight w:val="yellow"/>
          <w:shd w:val="clear" w:color="auto" w:fill="FFFFFF"/>
        </w:rPr>
        <w:t> </w:t>
      </w:r>
      <w:commentRangeEnd w:id="30"/>
      <w:r w:rsidR="00A72734" w:rsidRPr="00A04B29">
        <w:rPr>
          <w:rStyle w:val="CommentReference"/>
          <w:sz w:val="22"/>
          <w:szCs w:val="22"/>
          <w:highlight w:val="yellow"/>
        </w:rPr>
        <w:commentReference w:id="30"/>
      </w:r>
      <w:commentRangeEnd w:id="31"/>
      <w:r w:rsidR="00A72734">
        <w:rPr>
          <w:rStyle w:val="CommentReference"/>
        </w:rPr>
        <w:commentReference w:id="31"/>
      </w:r>
    </w:p>
    <w:p w14:paraId="2338A446" w14:textId="77777777" w:rsidR="006A5700" w:rsidRDefault="006A5700" w:rsidP="007B4FC3">
      <w:pPr>
        <w:pStyle w:val="BodyText"/>
        <w:spacing w:line="360" w:lineRule="auto"/>
        <w:rPr>
          <w:rFonts w:eastAsiaTheme="minorEastAsia"/>
          <w:color w:val="7030A0"/>
          <w:sz w:val="22"/>
          <w:szCs w:val="22"/>
          <w:lang w:eastAsia="ko-KR"/>
        </w:rPr>
      </w:pPr>
    </w:p>
    <w:p w14:paraId="0B346697" w14:textId="241175B1" w:rsidR="00220517" w:rsidRDefault="00A72734" w:rsidP="001A5699">
      <w:pPr>
        <w:pStyle w:val="BodyText"/>
        <w:spacing w:line="360" w:lineRule="auto"/>
        <w:rPr>
          <w:rFonts w:eastAsiaTheme="minorEastAsia"/>
          <w:sz w:val="22"/>
          <w:szCs w:val="22"/>
          <w:lang w:eastAsia="ko-KR"/>
        </w:rPr>
      </w:pPr>
      <w:r>
        <w:rPr>
          <w:rFonts w:eastAsiaTheme="minorEastAsia" w:hint="eastAsia"/>
          <w:color w:val="7030A0"/>
          <w:sz w:val="22"/>
          <w:szCs w:val="22"/>
          <w:lang w:eastAsia="ko-KR"/>
        </w:rPr>
        <w:t>A</w:t>
      </w:r>
      <w:r>
        <w:rPr>
          <w:rFonts w:eastAsiaTheme="minorEastAsia"/>
          <w:color w:val="7030A0"/>
          <w:sz w:val="22"/>
          <w:szCs w:val="22"/>
          <w:lang w:eastAsia="ko-KR"/>
        </w:rPr>
        <w:t>m</w:t>
      </w:r>
      <w:r>
        <w:rPr>
          <w:rFonts w:eastAsiaTheme="minorEastAsia" w:hint="eastAsia"/>
          <w:color w:val="7030A0"/>
          <w:sz w:val="22"/>
          <w:szCs w:val="22"/>
          <w:lang w:eastAsia="ko-KR"/>
        </w:rPr>
        <w:t xml:space="preserve">ong vaccine groups, age, sex, and S ab level were significant risk factors. </w:t>
      </w:r>
      <w:r w:rsidRPr="00D0236F">
        <w:rPr>
          <w:rFonts w:eastAsiaTheme="minorEastAsia"/>
          <w:color w:val="000000"/>
          <w:sz w:val="22"/>
          <w:szCs w:val="22"/>
          <w:lang w:eastAsia="ko-KR"/>
        </w:rPr>
        <w:t xml:space="preserve">When the Omicron variant emerged, the presumed population immunity was between 80% and 85%, although nearly half of the children were estimated to have no immunity </w:t>
      </w:r>
      <w:r w:rsidRPr="00D0236F">
        <w:rPr>
          <w:rFonts w:eastAsiaTheme="minorEastAsia"/>
          <w:color w:val="000000"/>
          <w:sz w:val="22"/>
          <w:szCs w:val="22"/>
          <w:lang w:eastAsia="ko-KR"/>
        </w:rPr>
        <w:fldChar w:fldCharType="begin"/>
      </w:r>
      <w:r w:rsidRPr="00D0236F">
        <w:rPr>
          <w:rFonts w:eastAsiaTheme="minorEastAsia"/>
          <w:color w:val="000000"/>
          <w:sz w:val="22"/>
          <w:szCs w:val="22"/>
          <w:lang w:eastAsia="ko-KR"/>
        </w:rPr>
        <w:instrText xml:space="preserve"> ADDIN ZOTERO_ITEM CSL_CITATION {"citationID":"FIGhr6GE","properties":{"formattedCitation":"[22]","plainCitation":"[22]","noteIndex":0},"citationItems":[{"id":39,"uris":["http://zotero.org/users/14790911/items/5AIGFITG"],"itemData":{"id":39,"type":"article-journal","abstract":"Objectives\nWe estimated the overall and age-specific percentages of the Korean population with presumed immunity against severe acute respiratory syndrome coronavirus 2 (SARS-CoV-2) as of April 2022 using the national registry.\n\nMethods\nWe used the national coronavirus disease 2019 (COVID-19) infection and vaccination registry from South Korea, as described to define individuals with a previous history of COVID-19 infection, vaccination, or both, as persons with presumed immunity.\n\nResults\nOf a total of 53,304,627 observed persons, 24.4% had vaccination and infection, 58.1% had vaccination and no infection, 7.6% had infection and no vaccination, and 9.9% had no immunity. The SARS-CoV-2 Omicron variant emerged at a time when the presumed population immunity ranged from 80% to 85%; however, nearly half of the children were presumed to have no immunity.\n\nConclusion\nWe report a gap in population immunity, with lower presumed protection in children than in adults. The approach presented in this work can provide valuable informed tools to assist vaccine policy-making at a national level.","container-title":"Osong Public Health and Research Perspectives","DOI":"10.24171/j.phrp.2022.0209","ISSN":"2210-9099","issue":"5","journalAbbreviation":"Osong Public Health Res Perspect","note":"PMID: 36328242\nPMCID: PMC9633270","page":"377-381","source":"PubMed Central","title":"Presumed population immunity to SARS-CoV-2 in South Korea, April 2022","volume":"13","author":[{"family":"Jang","given":"Eun Jung"},{"family":"Choe","given":"Young June"},{"family":"Choe","given":"Seung Ah"},{"family":"Kim","given":"Yoo-Yeon"},{"family":"Kim","given":"Ryu Kyung"},{"family":"Kim","given":"Jia"},{"family":"Lim","given":"Do Sang"},{"family":"Lee","given":"Ju Hee"},{"family":"Yi","given":"Seonju"},{"family":"Lee","given":"Sangwon"},{"family":"Park","given":"Young-Joon"}],"issued":{"date-parts":[["2022",10]]}}}],"schema":"https://github.com/citation-style-language/schema/raw/master/csl-citation.json"} </w:instrText>
      </w:r>
      <w:r w:rsidRPr="00D0236F">
        <w:rPr>
          <w:rFonts w:eastAsiaTheme="minorEastAsia"/>
          <w:color w:val="000000"/>
          <w:sz w:val="22"/>
          <w:szCs w:val="22"/>
          <w:lang w:eastAsia="ko-KR"/>
        </w:rPr>
        <w:fldChar w:fldCharType="separate"/>
      </w:r>
      <w:r w:rsidRPr="00D0236F">
        <w:rPr>
          <w:rFonts w:eastAsiaTheme="minorEastAsia"/>
          <w:noProof/>
          <w:color w:val="000000"/>
          <w:sz w:val="22"/>
          <w:szCs w:val="22"/>
          <w:lang w:eastAsia="ko-KR"/>
        </w:rPr>
        <w:t>[22]</w:t>
      </w:r>
      <w:r w:rsidRPr="00D0236F">
        <w:rPr>
          <w:rFonts w:eastAsiaTheme="minorEastAsia"/>
          <w:color w:val="000000"/>
          <w:sz w:val="22"/>
          <w:szCs w:val="22"/>
          <w:lang w:eastAsia="ko-KR"/>
        </w:rPr>
        <w:fldChar w:fldCharType="end"/>
      </w:r>
      <w:r w:rsidRPr="00D0236F">
        <w:rPr>
          <w:rFonts w:eastAsiaTheme="minorEastAsia"/>
          <w:color w:val="000000"/>
          <w:sz w:val="22"/>
          <w:szCs w:val="22"/>
          <w:lang w:eastAsia="ko-KR"/>
        </w:rPr>
        <w:t>. As t</w:t>
      </w:r>
      <w:r w:rsidRPr="00D0236F">
        <w:rPr>
          <w:rFonts w:eastAsiaTheme="minorEastAsia"/>
          <w:sz w:val="22"/>
          <w:szCs w:val="22"/>
          <w:lang w:eastAsia="ko-KR"/>
        </w:rPr>
        <w:t xml:space="preserve">he younger (&lt;20) age group was less vaccinated or previously exposed due to shielding guidance, they may become more at risk with the lift of the social distancing policy. The older (&gt;60) age group showed the second highest infection risks and the highest infection hospitalization risk among all age groups, although the hospitalization events were quite small (which </w:t>
      </w:r>
      <w:r w:rsidRPr="00D0236F">
        <w:rPr>
          <w:sz w:val="22"/>
          <w:szCs w:val="22"/>
        </w:rPr>
        <w:t>limited sample size precludes more detailed statistical</w:t>
      </w:r>
      <w:r w:rsidRPr="00D0236F">
        <w:rPr>
          <w:spacing w:val="-2"/>
          <w:sz w:val="22"/>
          <w:szCs w:val="22"/>
        </w:rPr>
        <w:t xml:space="preserve"> </w:t>
      </w:r>
      <w:r w:rsidRPr="00D0236F">
        <w:rPr>
          <w:sz w:val="22"/>
          <w:szCs w:val="22"/>
        </w:rPr>
        <w:t>analysis</w:t>
      </w:r>
      <w:r w:rsidRPr="00D0236F">
        <w:rPr>
          <w:rFonts w:eastAsiaTheme="minorEastAsia"/>
          <w:sz w:val="22"/>
          <w:szCs w:val="22"/>
          <w:lang w:eastAsia="ko-KR"/>
        </w:rPr>
        <w:t>: Appendix Table S1)</w:t>
      </w:r>
      <w:r w:rsidRPr="00D0236F">
        <w:rPr>
          <w:rFonts w:eastAsiaTheme="minorEastAsia"/>
          <w:spacing w:val="7"/>
          <w:sz w:val="22"/>
          <w:szCs w:val="22"/>
          <w:lang w:eastAsia="ko-KR"/>
        </w:rPr>
        <w:t xml:space="preserve">. </w:t>
      </w:r>
      <w:r w:rsidRPr="00D0236F">
        <w:rPr>
          <w:rFonts w:eastAsiaTheme="minorEastAsia"/>
          <w:sz w:val="22"/>
          <w:szCs w:val="22"/>
          <w:lang w:eastAsia="ko-KR"/>
        </w:rPr>
        <w:t xml:space="preserve">This can be explained by </w:t>
      </w:r>
      <w:proofErr w:type="spellStart"/>
      <w:r w:rsidR="001A5699" w:rsidRPr="00D0236F">
        <w:rPr>
          <w:color w:val="000000"/>
          <w:sz w:val="22"/>
          <w:szCs w:val="22"/>
          <w:shd w:val="clear" w:color="auto" w:fill="FFFFFF"/>
        </w:rPr>
        <w:t>immunosenescence</w:t>
      </w:r>
      <w:proofErr w:type="spellEnd"/>
      <w:r w:rsidR="001A5699" w:rsidRPr="00D0236F">
        <w:rPr>
          <w:color w:val="000000"/>
          <w:sz w:val="22"/>
          <w:szCs w:val="22"/>
          <w:shd w:val="clear" w:color="auto" w:fill="FFFFFF"/>
        </w:rPr>
        <w:t xml:space="preserve">, the age-related decline in the functioning of the immune system, results in a less complete immune response to novel antigens and a reduced ability to develop robust immunity after infections or vaccination </w:t>
      </w:r>
      <w:commentRangeStart w:id="32"/>
      <w:r w:rsidR="001A5699" w:rsidRPr="00D0236F">
        <w:rPr>
          <w:color w:val="000000"/>
          <w:sz w:val="22"/>
          <w:szCs w:val="22"/>
          <w:shd w:val="clear" w:color="auto" w:fill="FFFFFF"/>
        </w:rPr>
        <w:t>(</w:t>
      </w:r>
      <w:r w:rsidR="001A5699" w:rsidRPr="00D0236F">
        <w:rPr>
          <w:i/>
          <w:iCs/>
          <w:color w:val="000000"/>
          <w:sz w:val="22"/>
          <w:szCs w:val="22"/>
          <w:shd w:val="clear" w:color="auto" w:fill="FFFFFF"/>
        </w:rPr>
        <w:t>8</w:t>
      </w:r>
      <w:r w:rsidR="001A5699" w:rsidRPr="00D0236F">
        <w:rPr>
          <w:color w:val="000000"/>
          <w:sz w:val="22"/>
          <w:szCs w:val="22"/>
          <w:shd w:val="clear" w:color="auto" w:fill="FFFFFF"/>
        </w:rPr>
        <w:t>).</w:t>
      </w:r>
      <w:commentRangeEnd w:id="32"/>
      <w:r w:rsidR="001A5699">
        <w:rPr>
          <w:rStyle w:val="CommentReference"/>
        </w:rPr>
        <w:commentReference w:id="32"/>
      </w:r>
      <w:r w:rsidR="001A5699">
        <w:rPr>
          <w:rFonts w:eastAsiaTheme="minorEastAsia" w:hint="eastAsia"/>
          <w:sz w:val="22"/>
          <w:szCs w:val="22"/>
          <w:lang w:eastAsia="ko-KR"/>
        </w:rPr>
        <w:t xml:space="preserve"> P</w:t>
      </w:r>
      <w:r w:rsidRPr="00D0236F">
        <w:rPr>
          <w:rFonts w:eastAsiaTheme="minorEastAsia"/>
          <w:sz w:val="22"/>
          <w:szCs w:val="22"/>
          <w:lang w:eastAsia="ko-KR"/>
        </w:rPr>
        <w:t xml:space="preserve">revious studies showed individuals 60 years or </w:t>
      </w:r>
      <w:r w:rsidRPr="00D0236F">
        <w:rPr>
          <w:rFonts w:eastAsiaTheme="minorEastAsia"/>
          <w:sz w:val="22"/>
          <w:szCs w:val="22"/>
          <w:u w:val="single"/>
          <w:lang w:eastAsia="ko-KR"/>
        </w:rPr>
        <w:t xml:space="preserve">older had lower antibody levels </w:t>
      </w:r>
      <w:r w:rsidRPr="00D0236F">
        <w:rPr>
          <w:rFonts w:eastAsiaTheme="minorEastAsia"/>
          <w:sz w:val="22"/>
          <w:szCs w:val="22"/>
          <w:lang w:eastAsia="ko-KR"/>
        </w:rPr>
        <w:t xml:space="preserve">after vaccination compared to younger participants and increased age has been associated with reduced vaccine responses in a number of studies irrespective of vaccine type </w:t>
      </w:r>
      <w:r w:rsidRPr="00D0236F">
        <w:rPr>
          <w:rFonts w:eastAsiaTheme="minorEastAsia"/>
          <w:sz w:val="22"/>
          <w:szCs w:val="22"/>
          <w:lang w:eastAsia="ko-KR"/>
        </w:rPr>
        <w:fldChar w:fldCharType="begin"/>
      </w:r>
      <w:r w:rsidRPr="00D0236F">
        <w:rPr>
          <w:rFonts w:eastAsiaTheme="minorEastAsia"/>
          <w:sz w:val="22"/>
          <w:szCs w:val="22"/>
          <w:lang w:eastAsia="ko-KR"/>
        </w:rPr>
        <w:instrText xml:space="preserve"> ADDIN ZOTERO_ITEM CSL_CITATION {"citationID":"dtWOtrOc","properties":{"formattedCitation":"[23]","plainCitation":"[23]","noteIndex":0},"citationItems":[{"id":57,"uris":["http://zotero.org/users/14790911/items/CCWZSV47"],"itemData":{"id":57,"type":"article-journal","abstract":"Objective To evaluate the durability of response 3 months after the third BNT162b2 vaccine in adults aged 60 years and older.\nDesign Prospective cohort study.\nSetting Single tertiary centre.\nParticipants Healthcare workers/family members aged ≥60 years old who received the third BNT162b2 dose.\n\nInterventions Blood samples were drawn immediately before (T0), 10–19 days (T1) and 74–103 days (T2) after the third dose.\nPrimary and secondary outcome measures Anti-spike IgG titres were determined using a commercial assay and seropositivity was defined as ≥50 arbitrary units (AU)/mL. Neutralising antibody titres were determined at T2. Adverse events, COVID-19 infections and Clinical Frailty Scale (CFS) levels were documented.\nResults The analysis included 97 participants (median age, 70 years (IQR, 66–74), 58% CFS level 2). IgG titres, which increased significantly from T0 to T1 (median, 440 AU/mL (IQR, 294–923) and median, 25 429 AU/mL (IQR, 14 203–36 114), respectively; p&lt;0.001), decreased significantly by T2, but all remained seropositive (median, 8306 AU/mL (IQR, 4595–14 701), p&lt;0.001 vs T1). In a multivariable analysis, only time from the second vaccine was significantly associated with lower IgG levels at T2 (p=0.017). At T2, 60 patients were evaluated for neutralising antibodies; all were seropositive (median, 1294 antibody titres; IQR, 848–2072). Neutralising antibody and anti-spike IgG levels were correlated (r=0.6, p&lt;0.001). No major adverse events or COVID-19 infections were reported.\nConclusions Anti-spike IgG and neutralising antibody levels remain adequate 3 months after the third BNT162b2 vaccine in healthy adults aged ≥60 years, although the decline in IgG is concerning. A third dose of vaccine in this population should be top priority.","container-title":"BMJ Open","DOI":"10.1136/bmjopen-2022-061584","ISSN":"2044-6055, 2044-6055","issue":"8","language":"en","license":"© Author(s) (or their employer(s)) 2022. Re-use permitted under CC BY-NC. No commercial re-use. See rights and permissions. Published by BMJ.. http://creativecommons.org/licenses/by-nc/4.0/This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appropriate credit is given, any changes made indicated, and the use is non-commercial. See: http://creativecommons.org/licenses/by-nc/4.0/.","note":"publisher: British Medical Journal Publishing Group\nsection: Infectious diseases\nPMID: 35918111","page":"e061584","source":"bmjopen.bmj.com","title":"Three-month follow-up of durability of response to the third dose of the SARS-CoV-2 BNT162b2 vaccine in adults aged 60 years and older: a prospective cohort study","title-short":"Three-month follow-up of durability of response to the third dose of the SARS-CoV-2 BNT162b2 vaccine in adults aged 60 years and older","volume":"12","author":[{"family":"Eliakim-Raz","given":"Noa"},{"family":"Stemmer","given":"Amos"},{"family":"Leibovici-Weisman","given":"Yaara"},{"family":"Ness","given":"Asaf"},{"family":"Awwad","given":"Muhammad"},{"family":"Ghantous","given":"Nassem"},{"family":"Erez","given":"Noam"},{"family":"Bareket-Samish","given":"Avital"},{"family":"Levy-Barda","given":"Adva"},{"family":"Ben-Zvi","given":"Haim"},{"family":"Moskovits","given":"Neta"},{"family":"Bar-Haim","given":"Erez"},{"family":"Stemmer","given":"Salomon M."}],"issued":{"date-parts":[["2022",8,1]]}}}],"schema":"https://github.com/citation-style-language/schema/raw/master/csl-citation.json"} </w:instrText>
      </w:r>
      <w:r w:rsidRPr="00D0236F">
        <w:rPr>
          <w:rFonts w:eastAsiaTheme="minorEastAsia"/>
          <w:sz w:val="22"/>
          <w:szCs w:val="22"/>
          <w:lang w:eastAsia="ko-KR"/>
        </w:rPr>
        <w:fldChar w:fldCharType="separate"/>
      </w:r>
      <w:r w:rsidRPr="00D0236F">
        <w:rPr>
          <w:rFonts w:eastAsiaTheme="minorEastAsia"/>
          <w:noProof/>
          <w:sz w:val="22"/>
          <w:szCs w:val="22"/>
          <w:lang w:eastAsia="ko-KR"/>
        </w:rPr>
        <w:t>[23]</w:t>
      </w:r>
      <w:r w:rsidRPr="00D0236F">
        <w:rPr>
          <w:rFonts w:eastAsiaTheme="minorEastAsia"/>
          <w:sz w:val="22"/>
          <w:szCs w:val="22"/>
          <w:lang w:eastAsia="ko-KR"/>
        </w:rPr>
        <w:fldChar w:fldCharType="end"/>
      </w:r>
      <w:r w:rsidRPr="00D0236F">
        <w:rPr>
          <w:rFonts w:eastAsiaTheme="minorEastAsia"/>
          <w:sz w:val="22"/>
          <w:szCs w:val="22"/>
          <w:lang w:eastAsia="ko-KR"/>
        </w:rPr>
        <w:t>.</w:t>
      </w:r>
      <w:r w:rsidRPr="00D0236F">
        <w:rPr>
          <w:sz w:val="22"/>
          <w:szCs w:val="22"/>
        </w:rPr>
        <w:t xml:space="preserve"> </w:t>
      </w:r>
      <w:r w:rsidRPr="00D0236F">
        <w:rPr>
          <w:rFonts w:eastAsiaTheme="minorEastAsia"/>
          <w:sz w:val="22"/>
          <w:szCs w:val="22"/>
          <w:lang w:eastAsia="ko-KR"/>
        </w:rPr>
        <w:t>A similar effect has been seen with antibody responses after infection.</w:t>
      </w:r>
      <w:r>
        <w:rPr>
          <w:rFonts w:eastAsiaTheme="minorEastAsia" w:hint="eastAsia"/>
          <w:sz w:val="22"/>
          <w:szCs w:val="22"/>
          <w:lang w:eastAsia="ko-KR"/>
        </w:rPr>
        <w:t xml:space="preserve"> </w:t>
      </w:r>
    </w:p>
    <w:p w14:paraId="02E1E32A" w14:textId="77777777" w:rsidR="00220517" w:rsidRDefault="00220517" w:rsidP="007B4FC3">
      <w:pPr>
        <w:pStyle w:val="BodyText"/>
        <w:spacing w:line="360" w:lineRule="auto"/>
        <w:rPr>
          <w:rFonts w:eastAsiaTheme="minorEastAsia"/>
          <w:sz w:val="22"/>
          <w:szCs w:val="22"/>
          <w:lang w:eastAsia="ko-KR"/>
        </w:rPr>
      </w:pPr>
    </w:p>
    <w:p w14:paraId="4D2491B7" w14:textId="1EB1F59A" w:rsidR="00A04B29" w:rsidRDefault="002F0C3B" w:rsidP="00A04B29">
      <w:pPr>
        <w:pStyle w:val="BodyText"/>
        <w:spacing w:line="360" w:lineRule="auto"/>
        <w:rPr>
          <w:rFonts w:eastAsiaTheme="minorEastAsia"/>
          <w:color w:val="000000"/>
          <w:sz w:val="22"/>
          <w:szCs w:val="22"/>
          <w:shd w:val="clear" w:color="auto" w:fill="FFFFFF"/>
          <w:lang w:eastAsia="ko-KR"/>
        </w:rPr>
      </w:pPr>
      <w:r w:rsidRPr="00D0236F">
        <w:rPr>
          <w:rFonts w:eastAsiaTheme="minorEastAsia"/>
          <w:sz w:val="22"/>
          <w:szCs w:val="22"/>
          <w:lang w:eastAsia="ko-KR"/>
        </w:rPr>
        <w:t xml:space="preserve">Our findings </w:t>
      </w:r>
      <w:r w:rsidR="00000905">
        <w:rPr>
          <w:rFonts w:eastAsiaTheme="minorEastAsia" w:hint="eastAsia"/>
          <w:sz w:val="22"/>
          <w:szCs w:val="22"/>
          <w:lang w:eastAsia="ko-KR"/>
        </w:rPr>
        <w:t>highlight that c</w:t>
      </w:r>
      <w:r w:rsidR="00000905" w:rsidRPr="00D0236F">
        <w:rPr>
          <w:rFonts w:eastAsiaTheme="minorEastAsia"/>
          <w:sz w:val="22"/>
          <w:szCs w:val="22"/>
          <w:lang w:eastAsia="ko-KR"/>
        </w:rPr>
        <w:t xml:space="preserve">hildren without previous infection is the high risk and priority group for booster </w:t>
      </w:r>
      <w:commentRangeStart w:id="33"/>
      <w:r w:rsidR="00000905" w:rsidRPr="00D0236F">
        <w:rPr>
          <w:rFonts w:eastAsiaTheme="minorEastAsia"/>
          <w:sz w:val="22"/>
          <w:szCs w:val="22"/>
          <w:lang w:eastAsia="ko-KR"/>
        </w:rPr>
        <w:lastRenderedPageBreak/>
        <w:t>vaccine</w:t>
      </w:r>
      <w:commentRangeEnd w:id="33"/>
      <w:r w:rsidR="00000905" w:rsidRPr="00D0236F">
        <w:rPr>
          <w:rStyle w:val="CommentReference"/>
          <w:sz w:val="22"/>
          <w:szCs w:val="22"/>
        </w:rPr>
        <w:commentReference w:id="33"/>
      </w:r>
      <w:r w:rsidR="00000905" w:rsidRPr="00D0236F">
        <w:rPr>
          <w:rFonts w:eastAsiaTheme="minorEastAsia"/>
          <w:sz w:val="22"/>
          <w:szCs w:val="22"/>
          <w:lang w:eastAsia="zh-CN"/>
        </w:rPr>
        <w:t xml:space="preserve"> </w:t>
      </w:r>
      <w:r w:rsidR="00000905" w:rsidRPr="00D0236F">
        <w:rPr>
          <w:rFonts w:eastAsiaTheme="minorEastAsia"/>
          <w:sz w:val="22"/>
          <w:szCs w:val="22"/>
          <w:lang w:eastAsia="zh-CN"/>
        </w:rPr>
        <w:fldChar w:fldCharType="begin"/>
      </w:r>
      <w:r w:rsidR="00000905" w:rsidRPr="00D0236F">
        <w:rPr>
          <w:rFonts w:eastAsiaTheme="minorEastAsia"/>
          <w:sz w:val="22"/>
          <w:szCs w:val="22"/>
          <w:lang w:eastAsia="zh-CN"/>
        </w:rPr>
        <w:instrText xml:space="preserve"> ADDIN ZOTERO_ITEM CSL_CITATION {"citationID":"UcwqlZZ1","properties":{"formattedCitation":"[17]","plainCitation":"[17]","noteIndex":0},"citationItems":[{"id":103,"uris":["http://zotero.org/users/14790911/items/QVGAL84V"],"itemData":{"id":103,"type":"webpage","title":"Hybrid immunity against reinfection with SARS-CoV-2 following a previous SARS-CoV-2 infection and single dose of the BNT162b2 vaccine in children and adolescents: a target trial emulation - The Lancet Microbe","URL":"https://www.thelancet.com/journals/lanmic/article/PIIS2666-5247(23)00103-9/fulltext","accessed":{"date-parts":[["2024",9,4]]}}}],"schema":"https://github.com/citation-style-language/schema/raw/master/csl-citation.json"} </w:instrText>
      </w:r>
      <w:r w:rsidR="00000905" w:rsidRPr="00D0236F">
        <w:rPr>
          <w:rFonts w:eastAsiaTheme="minorEastAsia"/>
          <w:sz w:val="22"/>
          <w:szCs w:val="22"/>
          <w:lang w:eastAsia="zh-CN"/>
        </w:rPr>
        <w:fldChar w:fldCharType="separate"/>
      </w:r>
      <w:r w:rsidR="00000905" w:rsidRPr="00D0236F">
        <w:rPr>
          <w:rFonts w:eastAsiaTheme="minorEastAsia"/>
          <w:noProof/>
          <w:sz w:val="22"/>
          <w:szCs w:val="22"/>
          <w:lang w:eastAsia="zh-CN"/>
        </w:rPr>
        <w:t>[17]</w:t>
      </w:r>
      <w:r w:rsidR="00000905" w:rsidRPr="00D0236F">
        <w:rPr>
          <w:rFonts w:eastAsiaTheme="minorEastAsia"/>
          <w:sz w:val="22"/>
          <w:szCs w:val="22"/>
          <w:lang w:eastAsia="zh-CN"/>
        </w:rPr>
        <w:fldChar w:fldCharType="end"/>
      </w:r>
      <w:r w:rsidR="00000905" w:rsidRPr="00D0236F">
        <w:rPr>
          <w:rFonts w:eastAsiaTheme="minorEastAsia"/>
          <w:sz w:val="22"/>
          <w:szCs w:val="22"/>
          <w:lang w:eastAsia="ko-KR"/>
        </w:rPr>
        <w:t xml:space="preserve">. </w:t>
      </w:r>
      <w:r w:rsidR="00000905">
        <w:rPr>
          <w:rFonts w:eastAsiaTheme="minorEastAsia"/>
          <w:sz w:val="22"/>
          <w:szCs w:val="22"/>
          <w:lang w:eastAsia="ko-KR"/>
        </w:rPr>
        <w:t>Moreover</w:t>
      </w:r>
      <w:r w:rsidR="00000905">
        <w:rPr>
          <w:rFonts w:eastAsiaTheme="minorEastAsia" w:hint="eastAsia"/>
          <w:sz w:val="22"/>
          <w:szCs w:val="22"/>
          <w:lang w:eastAsia="ko-KR"/>
        </w:rPr>
        <w:t xml:space="preserve">, </w:t>
      </w:r>
      <w:r w:rsidR="00000905" w:rsidRPr="00D0236F">
        <w:rPr>
          <w:color w:val="000000"/>
          <w:sz w:val="22"/>
          <w:szCs w:val="22"/>
          <w:shd w:val="clear" w:color="auto" w:fill="FFFFFF"/>
        </w:rPr>
        <w:t xml:space="preserve">adults aged ≥65 years are more likely than are younger adults, adolescents, and children to rely upon vaccination to increase immunity that might have waned and might need more frequent vaccine doses to maintain protection. Coverage with the updated COVID-19 vaccine among adults aged </w:t>
      </w:r>
      <w:r w:rsidR="00000905" w:rsidRPr="00000905">
        <w:rPr>
          <w:color w:val="000000"/>
          <w:sz w:val="22"/>
          <w:szCs w:val="22"/>
          <w:highlight w:val="yellow"/>
          <w:shd w:val="clear" w:color="auto" w:fill="FFFFFF"/>
        </w:rPr>
        <w:t>≥65 years was 42% as of February 3, 2024</w:t>
      </w:r>
      <w:r w:rsidR="00000905" w:rsidRPr="00D0236F">
        <w:rPr>
          <w:color w:val="000000"/>
          <w:sz w:val="22"/>
          <w:szCs w:val="22"/>
          <w:shd w:val="clear" w:color="auto" w:fill="FFFFFF"/>
        </w:rPr>
        <w:t xml:space="preserve"> (</w:t>
      </w:r>
      <w:r w:rsidR="00000905" w:rsidRPr="00D0236F">
        <w:rPr>
          <w:i/>
          <w:iCs/>
          <w:color w:val="000000"/>
          <w:sz w:val="22"/>
          <w:szCs w:val="22"/>
          <w:shd w:val="clear" w:color="auto" w:fill="FFFFFF"/>
        </w:rPr>
        <w:t>10</w:t>
      </w:r>
      <w:r w:rsidR="00000905" w:rsidRPr="00D0236F">
        <w:rPr>
          <w:color w:val="000000"/>
          <w:sz w:val="22"/>
          <w:szCs w:val="22"/>
          <w:shd w:val="clear" w:color="auto" w:fill="FFFFFF"/>
        </w:rPr>
        <w:t>,</w:t>
      </w:r>
      <w:r w:rsidR="00000905" w:rsidRPr="00D0236F">
        <w:rPr>
          <w:i/>
          <w:iCs/>
          <w:color w:val="000000"/>
          <w:sz w:val="22"/>
          <w:szCs w:val="22"/>
          <w:shd w:val="clear" w:color="auto" w:fill="FFFFFF"/>
        </w:rPr>
        <w:t>11</w:t>
      </w:r>
      <w:r w:rsidR="00000905" w:rsidRPr="00D0236F">
        <w:rPr>
          <w:color w:val="000000"/>
          <w:sz w:val="22"/>
          <w:szCs w:val="22"/>
          <w:shd w:val="clear" w:color="auto" w:fill="FFFFFF"/>
        </w:rPr>
        <w:t>).</w:t>
      </w:r>
      <w:r w:rsidR="00000905">
        <w:rPr>
          <w:rFonts w:eastAsiaTheme="minorEastAsia" w:hint="eastAsia"/>
          <w:color w:val="000000"/>
          <w:sz w:val="22"/>
          <w:szCs w:val="22"/>
          <w:shd w:val="clear" w:color="auto" w:fill="FFFFFF"/>
          <w:lang w:eastAsia="ko-KR"/>
        </w:rPr>
        <w:t xml:space="preserve"> It also i</w:t>
      </w:r>
      <w:r w:rsidRPr="00D0236F">
        <w:rPr>
          <w:rFonts w:eastAsiaTheme="minorEastAsia"/>
          <w:sz w:val="22"/>
          <w:szCs w:val="22"/>
          <w:lang w:eastAsia="ko-KR"/>
        </w:rPr>
        <w:t>ndicate</w:t>
      </w:r>
      <w:r w:rsidR="00000905">
        <w:rPr>
          <w:rFonts w:eastAsiaTheme="minorEastAsia" w:hint="eastAsia"/>
          <w:sz w:val="22"/>
          <w:szCs w:val="22"/>
          <w:lang w:eastAsia="ko-KR"/>
        </w:rPr>
        <w:t>s</w:t>
      </w:r>
      <w:r w:rsidRPr="00D0236F">
        <w:rPr>
          <w:rFonts w:eastAsiaTheme="minorEastAsia"/>
          <w:sz w:val="22"/>
          <w:szCs w:val="22"/>
          <w:lang w:eastAsia="ko-KR"/>
        </w:rPr>
        <w:t xml:space="preserve"> that the need for and timing of booster doses may differ for individuals with hybrid immunity compared to those with vaccine-induced immunity, with the possibility of delaying booster doses by six months for those with hybrid immunity while still maintaining strong protection against severe disease. On a broader scale, the optimal number of vaccine doses and intervals may vary depending on the prevalence of vaccine versus infection-induced immunity </w:t>
      </w:r>
      <w:r w:rsidR="002405EA">
        <w:rPr>
          <w:rFonts w:eastAsiaTheme="minorEastAsia" w:hint="eastAsia"/>
          <w:sz w:val="22"/>
          <w:szCs w:val="22"/>
          <w:lang w:eastAsia="ko-KR"/>
        </w:rPr>
        <w:t xml:space="preserve">(i.e. N and S ab prevalence levels) </w:t>
      </w:r>
      <w:r w:rsidRPr="00D0236F">
        <w:rPr>
          <w:rFonts w:eastAsiaTheme="minorEastAsia"/>
          <w:sz w:val="22"/>
          <w:szCs w:val="22"/>
          <w:lang w:eastAsia="ko-KR"/>
        </w:rPr>
        <w:t>within a population, suggesting that booster strategies should account for both vaccination history and previous infections, alongside the clinical characteristics of those infections. Further research is needed to better understand the interaction between natural and vaccine-induced immunity, the effects of variant exposure, and the timing between exposures. These insights can help policymakers project population-level protection using local vaccination and seroprevalence data, thus informing the strategic use and timing of COVID-19 vaccinations as a vital public healt</w:t>
      </w:r>
      <w:commentRangeStart w:id="34"/>
      <w:r w:rsidRPr="00D0236F">
        <w:rPr>
          <w:rFonts w:eastAsiaTheme="minorEastAsia"/>
          <w:sz w:val="22"/>
          <w:szCs w:val="22"/>
          <w:lang w:eastAsia="ko-KR"/>
        </w:rPr>
        <w:t>h tool</w:t>
      </w:r>
      <w:commentRangeEnd w:id="34"/>
      <w:r w:rsidR="00A04B29">
        <w:rPr>
          <w:rStyle w:val="CommentReference"/>
        </w:rPr>
        <w:commentReference w:id="34"/>
      </w:r>
      <w:r w:rsidRPr="00D0236F">
        <w:rPr>
          <w:rFonts w:eastAsiaTheme="minorEastAsia"/>
          <w:sz w:val="22"/>
          <w:szCs w:val="22"/>
          <w:lang w:eastAsia="ko-KR"/>
        </w:rPr>
        <w:t>.</w:t>
      </w:r>
      <w:r w:rsidR="00A04B29" w:rsidRPr="00A04B29">
        <w:rPr>
          <w:color w:val="212121"/>
          <w:shd w:val="clear" w:color="auto" w:fill="FFFFFF"/>
        </w:rPr>
        <w:t xml:space="preserve"> </w:t>
      </w:r>
      <w:r w:rsidR="00A04B29" w:rsidRPr="00D0236F">
        <w:rPr>
          <w:color w:val="212121"/>
          <w:sz w:val="22"/>
          <w:szCs w:val="22"/>
          <w:shd w:val="clear" w:color="auto" w:fill="FFFFFF"/>
        </w:rPr>
        <w:t> </w:t>
      </w:r>
      <w:hyperlink r:id="rId24" w:anchor="b0075" w:history="1">
        <w:r w:rsidR="00A04B29" w:rsidRPr="00D0236F">
          <w:rPr>
            <w:rStyle w:val="Hyperlink"/>
            <w:rFonts w:eastAsiaTheme="majorEastAsia"/>
            <w:color w:val="376FAA"/>
            <w:sz w:val="22"/>
            <w:szCs w:val="22"/>
            <w:shd w:val="clear" w:color="auto" w:fill="FFFFFF"/>
          </w:rPr>
          <w:t>[15]</w:t>
        </w:r>
      </w:hyperlink>
      <w:r w:rsidR="00A04B29" w:rsidRPr="00D0236F">
        <w:rPr>
          <w:color w:val="212121"/>
          <w:sz w:val="22"/>
          <w:szCs w:val="22"/>
          <w:shd w:val="clear" w:color="auto" w:fill="FFFFFF"/>
        </w:rPr>
        <w:t>, </w:t>
      </w:r>
      <w:hyperlink r:id="rId25" w:anchor="b0080" w:history="1">
        <w:r w:rsidR="00A04B29" w:rsidRPr="00D0236F">
          <w:rPr>
            <w:rStyle w:val="Hyperlink"/>
            <w:rFonts w:eastAsiaTheme="majorEastAsia"/>
            <w:color w:val="376FAA"/>
            <w:sz w:val="22"/>
            <w:szCs w:val="22"/>
            <w:shd w:val="clear" w:color="auto" w:fill="FFFFFF"/>
          </w:rPr>
          <w:t>[16]</w:t>
        </w:r>
      </w:hyperlink>
      <w:r w:rsidR="00A04B29" w:rsidRPr="00D0236F">
        <w:rPr>
          <w:color w:val="212121"/>
          <w:sz w:val="22"/>
          <w:szCs w:val="22"/>
          <w:shd w:val="clear" w:color="auto" w:fill="FFFFFF"/>
        </w:rPr>
        <w:t>, </w:t>
      </w:r>
      <w:hyperlink r:id="rId26" w:anchor="b0085" w:history="1">
        <w:r w:rsidR="00A04B29" w:rsidRPr="00D0236F">
          <w:rPr>
            <w:rStyle w:val="Hyperlink"/>
            <w:rFonts w:eastAsiaTheme="majorEastAsia"/>
            <w:color w:val="376FAA"/>
            <w:sz w:val="22"/>
            <w:szCs w:val="22"/>
            <w:shd w:val="clear" w:color="auto" w:fill="FFFFFF"/>
          </w:rPr>
          <w:t>[17]</w:t>
        </w:r>
      </w:hyperlink>
      <w:r w:rsidR="00A04B29" w:rsidRPr="00D0236F">
        <w:rPr>
          <w:color w:val="212121"/>
          <w:sz w:val="22"/>
          <w:szCs w:val="22"/>
          <w:shd w:val="clear" w:color="auto" w:fill="FFFFFF"/>
        </w:rPr>
        <w:t>, </w:t>
      </w:r>
      <w:hyperlink r:id="rId27" w:anchor="b0090" w:history="1">
        <w:r w:rsidR="00A04B29" w:rsidRPr="00D0236F">
          <w:rPr>
            <w:rStyle w:val="Hyperlink"/>
            <w:rFonts w:eastAsiaTheme="majorEastAsia"/>
            <w:color w:val="376FAA"/>
            <w:sz w:val="22"/>
            <w:szCs w:val="22"/>
            <w:shd w:val="clear" w:color="auto" w:fill="FFFFFF"/>
          </w:rPr>
          <w:t>[18]</w:t>
        </w:r>
      </w:hyperlink>
      <w:r w:rsidR="00A04B29" w:rsidRPr="00D0236F">
        <w:rPr>
          <w:color w:val="212121"/>
          <w:sz w:val="22"/>
          <w:szCs w:val="22"/>
          <w:shd w:val="clear" w:color="auto" w:fill="FFFFFF"/>
        </w:rPr>
        <w:t>.</w:t>
      </w:r>
      <w:r w:rsidR="00000905">
        <w:rPr>
          <w:rFonts w:eastAsiaTheme="minorEastAsia" w:hint="eastAsia"/>
          <w:color w:val="212121"/>
          <w:sz w:val="22"/>
          <w:szCs w:val="22"/>
          <w:shd w:val="clear" w:color="auto" w:fill="FFFFFF"/>
          <w:lang w:eastAsia="ko-KR"/>
        </w:rPr>
        <w:t xml:space="preserve"> </w:t>
      </w:r>
      <w:r w:rsidR="001F2D1B" w:rsidRPr="00DC5B0B">
        <w:rPr>
          <w:rFonts w:eastAsiaTheme="minorEastAsia"/>
          <w:sz w:val="22"/>
          <w:szCs w:val="22"/>
          <w:highlight w:val="yellow"/>
          <w:lang w:eastAsia="ko-KR"/>
        </w:rPr>
        <w:t>Age specific consideration</w:t>
      </w:r>
      <w:r w:rsidR="001F2D1B" w:rsidRPr="00D0236F">
        <w:rPr>
          <w:rFonts w:eastAsiaTheme="minorEastAsia"/>
          <w:sz w:val="22"/>
          <w:szCs w:val="22"/>
          <w:lang w:eastAsia="ko-KR"/>
        </w:rPr>
        <w:t xml:space="preserve">-- </w:t>
      </w:r>
    </w:p>
    <w:p w14:paraId="5A31081A" w14:textId="77777777" w:rsidR="00A04B29" w:rsidRDefault="00A04B29" w:rsidP="00A04B29">
      <w:pPr>
        <w:pStyle w:val="BodyText"/>
        <w:spacing w:line="360" w:lineRule="auto"/>
        <w:rPr>
          <w:rFonts w:eastAsiaTheme="minorEastAsia"/>
          <w:color w:val="000000"/>
          <w:sz w:val="22"/>
          <w:szCs w:val="22"/>
          <w:shd w:val="clear" w:color="auto" w:fill="FFFFFF"/>
          <w:lang w:eastAsia="ko-KR"/>
        </w:rPr>
      </w:pPr>
    </w:p>
    <w:p w14:paraId="2608E10E" w14:textId="1D5E7C1B" w:rsidR="00A04B29" w:rsidRPr="00D0236F" w:rsidRDefault="002F0C3B" w:rsidP="00A04B29">
      <w:pPr>
        <w:pStyle w:val="BodyText"/>
        <w:spacing w:line="360" w:lineRule="auto"/>
        <w:rPr>
          <w:rFonts w:eastAsiaTheme="minorEastAsia"/>
          <w:color w:val="222222"/>
          <w:sz w:val="22"/>
          <w:szCs w:val="22"/>
          <w:shd w:val="clear" w:color="auto" w:fill="FFFFFF"/>
          <w:lang w:eastAsia="ko-KR"/>
        </w:rPr>
      </w:pPr>
      <w:r w:rsidRPr="00D0236F">
        <w:rPr>
          <w:rFonts w:eastAsiaTheme="minorEastAsia"/>
          <w:color w:val="0E0E0E"/>
          <w:sz w:val="22"/>
          <w:szCs w:val="22"/>
          <w:lang w:eastAsia="ko-KR"/>
          <w14:ligatures w14:val="standardContextual"/>
        </w:rPr>
        <w:t xml:space="preserve">Our study has some limitations. Firstly, </w:t>
      </w:r>
      <w:r w:rsidR="002C3E27" w:rsidRPr="00D0236F">
        <w:rPr>
          <w:color w:val="282828"/>
          <w:sz w:val="22"/>
          <w:szCs w:val="22"/>
          <w:shd w:val="clear" w:color="auto" w:fill="F7F7F7"/>
        </w:rPr>
        <w:t xml:space="preserve">we did not perform individual analyses for each vaccine and booster combination, provided that not all combinations had a large enough number of outcomes to allow for adequate comparisons. The role of vaccination and boosters’ interaction with predominant circulating variants remains an area of opportunity for future research. Given that most reinfections occurred during periods of Omicron predominance and that immunity-boosting by infection with Omicron seems to be low, real-world studies on hybrid immunity that consider the effects of immune imprinting from SARS-CoV-2 on protection against reinfection will be fundamental for determining the need of booster shots and its frequency in future vaccination </w:t>
      </w:r>
      <w:commentRangeStart w:id="35"/>
      <w:r w:rsidR="002C3E27" w:rsidRPr="00D0236F">
        <w:rPr>
          <w:color w:val="282828"/>
          <w:sz w:val="22"/>
          <w:szCs w:val="22"/>
          <w:shd w:val="clear" w:color="auto" w:fill="F7F7F7"/>
        </w:rPr>
        <w:t>waves</w:t>
      </w:r>
      <w:commentRangeEnd w:id="35"/>
      <w:r w:rsidR="002C3E27" w:rsidRPr="00D0236F">
        <w:rPr>
          <w:rStyle w:val="CommentReference"/>
          <w:sz w:val="22"/>
          <w:szCs w:val="22"/>
        </w:rPr>
        <w:commentReference w:id="35"/>
      </w:r>
      <w:r w:rsidR="002C3E27" w:rsidRPr="00D0236F">
        <w:rPr>
          <w:color w:val="282828"/>
          <w:sz w:val="22"/>
          <w:szCs w:val="22"/>
          <w:shd w:val="clear" w:color="auto" w:fill="F7F7F7"/>
        </w:rPr>
        <w:t>.</w:t>
      </w:r>
      <w:r w:rsidR="002C3E27">
        <w:rPr>
          <w:rFonts w:eastAsiaTheme="minorEastAsia" w:hint="eastAsia"/>
          <w:color w:val="282828"/>
          <w:sz w:val="22"/>
          <w:szCs w:val="22"/>
          <w:shd w:val="clear" w:color="auto" w:fill="F7F7F7"/>
          <w:lang w:eastAsia="ko-KR"/>
        </w:rPr>
        <w:t xml:space="preserve"> </w:t>
      </w:r>
      <w:r w:rsidR="00427745">
        <w:rPr>
          <w:rFonts w:eastAsiaTheme="minorEastAsia" w:hint="eastAsia"/>
          <w:color w:val="282828"/>
          <w:sz w:val="22"/>
          <w:szCs w:val="22"/>
          <w:shd w:val="clear" w:color="auto" w:fill="F7F7F7"/>
          <w:lang w:eastAsia="ko-KR"/>
        </w:rPr>
        <w:t xml:space="preserve">Second, </w:t>
      </w:r>
      <w:r w:rsidR="009607EA">
        <w:rPr>
          <w:rFonts w:eastAsiaTheme="minorEastAsia" w:hint="eastAsia"/>
          <w:color w:val="282828"/>
          <w:sz w:val="22"/>
          <w:szCs w:val="22"/>
          <w:shd w:val="clear" w:color="auto" w:fill="F7F7F7"/>
          <w:lang w:eastAsia="ko-KR"/>
        </w:rPr>
        <w:t>u</w:t>
      </w:r>
      <w:r w:rsidR="009607EA" w:rsidRPr="00D0236F">
        <w:rPr>
          <w:rFonts w:eastAsiaTheme="minorEastAsia"/>
          <w:color w:val="0E0E0E"/>
          <w:sz w:val="22"/>
          <w:szCs w:val="22"/>
          <w:lang w:eastAsia="ko-KR"/>
          <w14:ligatures w14:val="standardContextual"/>
        </w:rPr>
        <w:t>nmeasured bias in exposure may stem from the observational nature of the study</w:t>
      </w:r>
      <w:r w:rsidR="009607EA">
        <w:rPr>
          <w:rFonts w:eastAsiaTheme="minorEastAsia" w:hint="eastAsia"/>
          <w:color w:val="0E0E0E"/>
          <w:sz w:val="22"/>
          <w:szCs w:val="22"/>
          <w:lang w:eastAsia="ko-KR"/>
          <w14:ligatures w14:val="standardContextual"/>
        </w:rPr>
        <w:t xml:space="preserve">. </w:t>
      </w:r>
      <w:r w:rsidR="009607EA" w:rsidRPr="00D0236F">
        <w:rPr>
          <w:rFonts w:eastAsiaTheme="minorEastAsia"/>
          <w:color w:val="0E0E0E"/>
          <w:sz w:val="22"/>
          <w:szCs w:val="22"/>
          <w:lang w:eastAsia="ko-KR"/>
          <w14:ligatures w14:val="standardContextual"/>
        </w:rPr>
        <w:t xml:space="preserve"> </w:t>
      </w:r>
      <w:r w:rsidR="009607EA">
        <w:rPr>
          <w:rFonts w:eastAsiaTheme="minorEastAsia" w:hint="eastAsia"/>
          <w:color w:val="0E0E0E"/>
          <w:sz w:val="22"/>
          <w:szCs w:val="22"/>
          <w:lang w:eastAsia="ko-KR"/>
          <w14:ligatures w14:val="standardContextual"/>
        </w:rPr>
        <w:t>C</w:t>
      </w:r>
      <w:r w:rsidR="000D623E" w:rsidRPr="00D0236F">
        <w:rPr>
          <w:color w:val="222222"/>
          <w:sz w:val="22"/>
          <w:szCs w:val="22"/>
          <w:shd w:val="clear" w:color="auto" w:fill="FFFFFF"/>
        </w:rPr>
        <w:t xml:space="preserve">onfounding is expected to arise due to the lack of randomization, given substantial differences in the clinical backgrounds and sociodemographic characteristics of the comparison groups. Even though in the analysis, we accounted for sex, education, comorbidities, SARS-CoV-2 testing probability and SARS-CoV-2 environmental exposure risk, residual confounding is possible. Our results might be affected by differences between the groups in terms of </w:t>
      </w:r>
      <w:r w:rsidR="009607EA" w:rsidRPr="00D0236F">
        <w:rPr>
          <w:rFonts w:eastAsiaTheme="minorEastAsia"/>
          <w:color w:val="0E0E0E"/>
          <w:sz w:val="22"/>
          <w:szCs w:val="22"/>
          <w:lang w:eastAsia="ko-KR"/>
          <w14:ligatures w14:val="standardContextual"/>
        </w:rPr>
        <w:t>healthcare-seeking behavior or risk aversion among participants</w:t>
      </w:r>
      <w:r w:rsidR="000D623E" w:rsidRPr="00D0236F">
        <w:rPr>
          <w:color w:val="222222"/>
          <w:sz w:val="22"/>
          <w:szCs w:val="22"/>
          <w:shd w:val="clear" w:color="auto" w:fill="FFFFFF"/>
        </w:rPr>
        <w:t xml:space="preserve">, a possible confounder that was not assessed. While these biases might influence our estimates, they seem unlikely to have caused the clear patterns observed </w:t>
      </w:r>
      <w:commentRangeStart w:id="36"/>
      <w:commentRangeStart w:id="37"/>
      <w:r w:rsidR="000D623E" w:rsidRPr="00D0236F">
        <w:rPr>
          <w:color w:val="222222"/>
          <w:sz w:val="22"/>
          <w:szCs w:val="22"/>
          <w:shd w:val="clear" w:color="auto" w:fill="FFFFFF"/>
        </w:rPr>
        <w:t>in this study.</w:t>
      </w:r>
      <w:commentRangeEnd w:id="36"/>
      <w:r w:rsidR="000D623E">
        <w:rPr>
          <w:rStyle w:val="CommentReference"/>
        </w:rPr>
        <w:commentReference w:id="36"/>
      </w:r>
      <w:commentRangeEnd w:id="37"/>
      <w:r w:rsidR="00E32CBF">
        <w:rPr>
          <w:rStyle w:val="CommentReference"/>
        </w:rPr>
        <w:commentReference w:id="37"/>
      </w:r>
      <w:r w:rsidR="009607EA" w:rsidRPr="009607EA">
        <w:rPr>
          <w:rFonts w:eastAsiaTheme="minorEastAsia"/>
          <w:color w:val="0E0E0E"/>
          <w:sz w:val="22"/>
          <w:szCs w:val="22"/>
          <w:lang w:eastAsia="ko-KR"/>
          <w14:ligatures w14:val="standardContextual"/>
        </w:rPr>
        <w:t xml:space="preserve"> </w:t>
      </w:r>
      <w:r w:rsidR="00AB1483" w:rsidRPr="00AB1483">
        <w:rPr>
          <w:rFonts w:eastAsiaTheme="minorEastAsia"/>
          <w:color w:val="222222"/>
          <w:sz w:val="22"/>
          <w:szCs w:val="22"/>
          <w:highlight w:val="yellow"/>
          <w:shd w:val="clear" w:color="auto" w:fill="FFFFFF"/>
          <w:lang w:eastAsia="ko-KR"/>
        </w:rPr>
        <w:t xml:space="preserve">Number of factors on breakthrough </w:t>
      </w:r>
      <w:commentRangeStart w:id="38"/>
      <w:r w:rsidR="00AB1483" w:rsidRPr="00AB1483">
        <w:rPr>
          <w:rFonts w:eastAsiaTheme="minorEastAsia"/>
          <w:color w:val="222222"/>
          <w:sz w:val="22"/>
          <w:szCs w:val="22"/>
          <w:highlight w:val="yellow"/>
          <w:shd w:val="clear" w:color="auto" w:fill="FFFFFF"/>
          <w:lang w:eastAsia="ko-KR"/>
        </w:rPr>
        <w:t>infection</w:t>
      </w:r>
      <w:commentRangeEnd w:id="38"/>
      <w:r w:rsidR="00AB1483" w:rsidRPr="00AB1483">
        <w:rPr>
          <w:rStyle w:val="CommentReference"/>
          <w:sz w:val="22"/>
          <w:szCs w:val="22"/>
          <w:highlight w:val="yellow"/>
        </w:rPr>
        <w:commentReference w:id="38"/>
      </w:r>
      <w:r w:rsidR="00AB1483" w:rsidRPr="00D0236F">
        <w:rPr>
          <w:rFonts w:eastAsiaTheme="minorEastAsia"/>
          <w:color w:val="222222"/>
          <w:sz w:val="22"/>
          <w:szCs w:val="22"/>
          <w:shd w:val="clear" w:color="auto" w:fill="FFFFFF"/>
          <w:lang w:eastAsia="ko-KR"/>
        </w:rPr>
        <w:t>.</w:t>
      </w:r>
      <w:r w:rsidR="00AB1483">
        <w:rPr>
          <w:rFonts w:eastAsiaTheme="minorEastAsia" w:hint="eastAsia"/>
          <w:color w:val="222222"/>
          <w:sz w:val="22"/>
          <w:szCs w:val="22"/>
          <w:shd w:val="clear" w:color="auto" w:fill="FFFFFF"/>
          <w:lang w:eastAsia="ko-KR"/>
        </w:rPr>
        <w:t xml:space="preserve"> </w:t>
      </w:r>
      <w:r w:rsidR="009607EA">
        <w:rPr>
          <w:rFonts w:eastAsiaTheme="minorEastAsia" w:hint="eastAsia"/>
          <w:color w:val="0E0E0E"/>
          <w:sz w:val="22"/>
          <w:szCs w:val="22"/>
          <w:lang w:eastAsia="ko-KR"/>
          <w14:ligatures w14:val="standardContextual"/>
        </w:rPr>
        <w:t>Third</w:t>
      </w:r>
      <w:r w:rsidR="009607EA" w:rsidRPr="00D0236F">
        <w:rPr>
          <w:rFonts w:eastAsiaTheme="minorEastAsia"/>
          <w:color w:val="0E0E0E"/>
          <w:sz w:val="22"/>
          <w:szCs w:val="22"/>
          <w:lang w:eastAsia="ko-KR"/>
          <w14:ligatures w14:val="standardContextual"/>
        </w:rPr>
        <w:t xml:space="preserve">, </w:t>
      </w:r>
      <w:r w:rsidR="00EB7371">
        <w:rPr>
          <w:rFonts w:eastAsiaTheme="minorEastAsia" w:hint="eastAsia"/>
          <w:color w:val="0E0E0E"/>
          <w:sz w:val="22"/>
          <w:szCs w:val="22"/>
          <w:lang w:eastAsia="ko-KR"/>
          <w14:ligatures w14:val="standardContextual"/>
        </w:rPr>
        <w:t>o</w:t>
      </w:r>
      <w:r w:rsidR="00EB7371" w:rsidRPr="00D0236F">
        <w:rPr>
          <w:color w:val="222222"/>
          <w:sz w:val="22"/>
          <w:szCs w:val="22"/>
          <w:shd w:val="clear" w:color="auto" w:fill="FFFFFF"/>
        </w:rPr>
        <w:t xml:space="preserve">ur infected cohort and new infection cohort did not include those who might have had a SARS-CoV-2 infection but were not tested. The effect of this bias is conservative, leading to underestimation of the true effects. </w:t>
      </w:r>
      <w:r w:rsidR="009607EA">
        <w:rPr>
          <w:rFonts w:eastAsiaTheme="minorEastAsia" w:hint="eastAsia"/>
          <w:color w:val="0E0E0E"/>
          <w:sz w:val="22"/>
          <w:szCs w:val="22"/>
          <w:lang w:eastAsia="ko-KR"/>
          <w14:ligatures w14:val="standardContextual"/>
        </w:rPr>
        <w:t>Moreover, t</w:t>
      </w:r>
      <w:r w:rsidR="009607EA" w:rsidRPr="00D0236F">
        <w:rPr>
          <w:rFonts w:eastAsiaTheme="minorEastAsia"/>
          <w:color w:val="0E0E0E"/>
          <w:sz w:val="22"/>
          <w:szCs w:val="22"/>
          <w:lang w:eastAsia="ko-KR"/>
          <w14:ligatures w14:val="standardContextual"/>
        </w:rPr>
        <w:t xml:space="preserve">he antibody assays used in our study were developed before the emergence of Variants of Concern, raising questions about whether these assays, based on the original Wuhan-Hu-1 strain, accurately </w:t>
      </w:r>
      <w:r w:rsidR="009607EA">
        <w:rPr>
          <w:rFonts w:eastAsiaTheme="minorEastAsia" w:hint="eastAsia"/>
          <w:color w:val="0E0E0E"/>
          <w:sz w:val="22"/>
          <w:szCs w:val="22"/>
          <w:lang w:eastAsia="ko-KR"/>
          <w14:ligatures w14:val="standardContextual"/>
        </w:rPr>
        <w:t>detect the</w:t>
      </w:r>
      <w:r w:rsidR="009607EA" w:rsidRPr="00D0236F">
        <w:rPr>
          <w:rFonts w:eastAsiaTheme="minorEastAsia"/>
          <w:color w:val="0E0E0E"/>
          <w:sz w:val="22"/>
          <w:szCs w:val="22"/>
          <w:lang w:eastAsia="ko-KR"/>
          <w14:ligatures w14:val="standardContextual"/>
        </w:rPr>
        <w:t xml:space="preserve"> </w:t>
      </w:r>
      <w:r w:rsidR="009607EA">
        <w:rPr>
          <w:rFonts w:eastAsiaTheme="minorEastAsia" w:hint="eastAsia"/>
          <w:color w:val="0E0E0E"/>
          <w:sz w:val="22"/>
          <w:szCs w:val="22"/>
          <w:lang w:eastAsia="ko-KR"/>
          <w14:ligatures w14:val="standardContextual"/>
        </w:rPr>
        <w:t xml:space="preserve">S antibody activation/levels </w:t>
      </w:r>
      <w:r w:rsidR="009607EA" w:rsidRPr="00D0236F">
        <w:rPr>
          <w:rFonts w:eastAsiaTheme="minorEastAsia"/>
          <w:color w:val="0E0E0E"/>
          <w:sz w:val="22"/>
          <w:szCs w:val="22"/>
          <w:lang w:eastAsia="ko-KR"/>
          <w14:ligatures w14:val="standardContextual"/>
        </w:rPr>
        <w:t xml:space="preserve">with </w:t>
      </w:r>
      <w:r w:rsidR="009607EA">
        <w:rPr>
          <w:rFonts w:eastAsiaTheme="minorEastAsia" w:hint="eastAsia"/>
          <w:color w:val="0E0E0E"/>
          <w:sz w:val="22"/>
          <w:szCs w:val="22"/>
          <w:lang w:eastAsia="ko-KR"/>
          <w14:ligatures w14:val="standardContextual"/>
        </w:rPr>
        <w:t>Omicron</w:t>
      </w:r>
      <w:r w:rsidR="009607EA" w:rsidRPr="00D0236F">
        <w:rPr>
          <w:rFonts w:eastAsiaTheme="minorEastAsia"/>
          <w:color w:val="0E0E0E"/>
          <w:sz w:val="22"/>
          <w:szCs w:val="22"/>
          <w:lang w:eastAsia="ko-KR"/>
          <w14:ligatures w14:val="standardContextual"/>
        </w:rPr>
        <w:t xml:space="preserve"> variants</w:t>
      </w:r>
      <w:r w:rsidR="009607EA">
        <w:rPr>
          <w:rFonts w:eastAsiaTheme="minorEastAsia" w:hint="eastAsia"/>
          <w:color w:val="0E0E0E"/>
          <w:sz w:val="22"/>
          <w:szCs w:val="22"/>
          <w:lang w:eastAsia="ko-KR"/>
          <w14:ligatures w14:val="standardContextual"/>
        </w:rPr>
        <w:t xml:space="preserve"> which is </w:t>
      </w:r>
      <w:r w:rsidR="009607EA" w:rsidRPr="00D0236F">
        <w:rPr>
          <w:rFonts w:eastAsiaTheme="minorEastAsia"/>
          <w:color w:val="0E0E0E"/>
          <w:sz w:val="22"/>
          <w:szCs w:val="22"/>
          <w:lang w:eastAsia="ko-KR"/>
          <w14:ligatures w14:val="standardContextual"/>
        </w:rPr>
        <w:t xml:space="preserve">a matter that should be evaluated in ongoing </w:t>
      </w:r>
      <w:proofErr w:type="spellStart"/>
      <w:r w:rsidR="009607EA" w:rsidRPr="00D0236F">
        <w:rPr>
          <w:rFonts w:eastAsiaTheme="minorEastAsia"/>
          <w:color w:val="0E0E0E"/>
          <w:sz w:val="22"/>
          <w:szCs w:val="22"/>
          <w:lang w:eastAsia="ko-KR"/>
          <w14:ligatures w14:val="standardContextual"/>
        </w:rPr>
        <w:t>seroepidemiological</w:t>
      </w:r>
      <w:proofErr w:type="spellEnd"/>
      <w:r w:rsidR="009607EA" w:rsidRPr="00D0236F">
        <w:rPr>
          <w:rFonts w:eastAsiaTheme="minorEastAsia"/>
          <w:color w:val="0E0E0E"/>
          <w:sz w:val="22"/>
          <w:szCs w:val="22"/>
          <w:lang w:eastAsia="ko-KR"/>
          <w14:ligatures w14:val="standardContextual"/>
        </w:rPr>
        <w:t xml:space="preserve"> studies. Potential sources of misclassification bias include the decay of neutralizing antibodies, the sensitivity and specificity of antibody testing, and the timing of testing relative to </w:t>
      </w:r>
      <w:r w:rsidR="009607EA">
        <w:rPr>
          <w:rFonts w:eastAsiaTheme="minorEastAsia" w:hint="eastAsia"/>
          <w:color w:val="0E0E0E"/>
          <w:sz w:val="22"/>
          <w:szCs w:val="22"/>
          <w:lang w:eastAsia="ko-KR"/>
          <w14:ligatures w14:val="standardContextual"/>
        </w:rPr>
        <w:t xml:space="preserve">recent </w:t>
      </w:r>
      <w:r w:rsidR="009607EA" w:rsidRPr="00D0236F">
        <w:rPr>
          <w:rFonts w:eastAsiaTheme="minorEastAsia"/>
          <w:color w:val="0E0E0E"/>
          <w:sz w:val="22"/>
          <w:szCs w:val="22"/>
          <w:lang w:eastAsia="ko-KR"/>
          <w14:ligatures w14:val="standardContextual"/>
        </w:rPr>
        <w:t xml:space="preserve">infection and vaccination. </w:t>
      </w:r>
      <w:r w:rsidR="000A2145">
        <w:rPr>
          <w:rFonts w:eastAsiaTheme="minorEastAsia"/>
          <w:color w:val="0E0E0E"/>
          <w:sz w:val="22"/>
          <w:szCs w:val="22"/>
          <w:lang w:eastAsia="ko-KR"/>
          <w14:ligatures w14:val="standardContextual"/>
        </w:rPr>
        <w:t>Finally</w:t>
      </w:r>
      <w:r w:rsidR="000A2145">
        <w:rPr>
          <w:rFonts w:eastAsiaTheme="minorEastAsia" w:hint="eastAsia"/>
          <w:color w:val="0E0E0E"/>
          <w:sz w:val="22"/>
          <w:szCs w:val="22"/>
          <w:lang w:eastAsia="ko-KR"/>
          <w14:ligatures w14:val="standardContextual"/>
        </w:rPr>
        <w:t xml:space="preserve">, </w:t>
      </w:r>
      <w:r w:rsidR="00EB7371" w:rsidRPr="00D0236F">
        <w:rPr>
          <w:rFonts w:eastAsiaTheme="minorEastAsia"/>
          <w:color w:val="0E0E0E"/>
          <w:sz w:val="22"/>
          <w:szCs w:val="22"/>
          <w:lang w:eastAsia="ko-KR"/>
          <w14:ligatures w14:val="standardContextual"/>
        </w:rPr>
        <w:t xml:space="preserve">we measured binding antibodies rather than neutralizing antibodies, which </w:t>
      </w:r>
      <w:r w:rsidR="00EB7371" w:rsidRPr="00D0236F">
        <w:rPr>
          <w:rFonts w:eastAsiaTheme="minorEastAsia"/>
          <w:color w:val="0E0E0E"/>
          <w:sz w:val="22"/>
          <w:szCs w:val="22"/>
          <w:lang w:eastAsia="ko-KR"/>
          <w14:ligatures w14:val="standardContextual"/>
        </w:rPr>
        <w:lastRenderedPageBreak/>
        <w:t>are arguably a better surrogate for immune protection.</w:t>
      </w:r>
      <w:r w:rsidR="000A2145" w:rsidRPr="000A2145">
        <w:rPr>
          <w:color w:val="212121"/>
          <w:sz w:val="22"/>
          <w:szCs w:val="22"/>
          <w:shd w:val="clear" w:color="auto" w:fill="FFFFFF"/>
        </w:rPr>
        <w:t xml:space="preserve"> </w:t>
      </w:r>
      <w:r w:rsidR="000A2145">
        <w:rPr>
          <w:rFonts w:eastAsiaTheme="minorEastAsia" w:hint="eastAsia"/>
          <w:color w:val="0E0E0E"/>
          <w:sz w:val="22"/>
          <w:szCs w:val="22"/>
          <w:lang w:eastAsia="ko-KR"/>
          <w14:ligatures w14:val="standardContextual"/>
        </w:rPr>
        <w:t>While th</w:t>
      </w:r>
      <w:r w:rsidR="000A2145">
        <w:rPr>
          <w:rFonts w:eastAsiaTheme="minorEastAsia" w:hint="eastAsia"/>
          <w:color w:val="0E0E0E"/>
          <w:sz w:val="22"/>
          <w:szCs w:val="22"/>
          <w:lang w:eastAsia="ko-KR"/>
          <w14:ligatures w14:val="standardContextual"/>
        </w:rPr>
        <w:t>ese</w:t>
      </w:r>
      <w:r w:rsidR="000A2145">
        <w:rPr>
          <w:rFonts w:eastAsiaTheme="minorEastAsia" w:hint="eastAsia"/>
          <w:color w:val="0E0E0E"/>
          <w:sz w:val="22"/>
          <w:szCs w:val="22"/>
          <w:lang w:eastAsia="ko-KR"/>
          <w14:ligatures w14:val="standardContextual"/>
        </w:rPr>
        <w:t xml:space="preserve"> limited our analyses to determine specific S antibody </w:t>
      </w:r>
      <w:r w:rsidR="000A2145">
        <w:rPr>
          <w:rFonts w:eastAsiaTheme="minorEastAsia"/>
          <w:color w:val="0E0E0E"/>
          <w:sz w:val="22"/>
          <w:szCs w:val="22"/>
          <w:lang w:eastAsia="ko-KR"/>
          <w14:ligatures w14:val="standardContextual"/>
        </w:rPr>
        <w:t xml:space="preserve">threshold levels, </w:t>
      </w:r>
      <w:r w:rsidR="00AB1483">
        <w:rPr>
          <w:rFonts w:eastAsiaTheme="minorEastAsia" w:hint="eastAsia"/>
          <w:color w:val="0E0E0E"/>
          <w:sz w:val="22"/>
          <w:szCs w:val="22"/>
          <w:lang w:eastAsia="ko-KR"/>
          <w14:ligatures w14:val="standardContextual"/>
        </w:rPr>
        <w:t xml:space="preserve">we think </w:t>
      </w:r>
      <w:r w:rsidR="000A2145">
        <w:rPr>
          <w:rFonts w:eastAsiaTheme="minorEastAsia"/>
          <w:color w:val="0E0E0E"/>
          <w:sz w:val="22"/>
          <w:szCs w:val="22"/>
          <w:lang w:eastAsia="ko-KR"/>
          <w14:ligatures w14:val="standardContextual"/>
        </w:rPr>
        <w:t xml:space="preserve">our conclusion on the relative comparison of the </w:t>
      </w:r>
      <w:r w:rsidR="00AB1483">
        <w:rPr>
          <w:rFonts w:eastAsiaTheme="minorEastAsia" w:hint="eastAsia"/>
          <w:color w:val="0E0E0E"/>
          <w:sz w:val="22"/>
          <w:szCs w:val="22"/>
          <w:lang w:eastAsia="ko-KR"/>
          <w14:ligatures w14:val="standardContextual"/>
        </w:rPr>
        <w:t xml:space="preserve">S antibody decay trends and the risk of breakthrough infections </w:t>
      </w:r>
      <w:r w:rsidR="000A2145">
        <w:rPr>
          <w:rFonts w:eastAsiaTheme="minorEastAsia"/>
          <w:color w:val="0E0E0E"/>
          <w:sz w:val="22"/>
          <w:szCs w:val="22"/>
          <w:lang w:eastAsia="ko-KR"/>
          <w14:ligatures w14:val="standardContextual"/>
        </w:rPr>
        <w:t>among different groups (hybrid and vaccine and age subgroups) remains</w:t>
      </w:r>
      <w:r w:rsidR="000A2145">
        <w:rPr>
          <w:rFonts w:eastAsiaTheme="minorEastAsia" w:hint="eastAsia"/>
          <w:color w:val="0E0E0E"/>
          <w:sz w:val="22"/>
          <w:szCs w:val="22"/>
          <w:lang w:eastAsia="ko-KR"/>
          <w14:ligatures w14:val="standardContextual"/>
        </w:rPr>
        <w:t xml:space="preserve"> valid.</w:t>
      </w:r>
      <w:r w:rsidR="00AB1483">
        <w:rPr>
          <w:rFonts w:eastAsiaTheme="minorEastAsia" w:hint="eastAsia"/>
          <w:color w:val="0E0E0E"/>
          <w:sz w:val="22"/>
          <w:szCs w:val="22"/>
          <w:lang w:eastAsia="ko-KR"/>
          <w14:ligatures w14:val="standardContextual"/>
        </w:rPr>
        <w:t xml:space="preserve"> </w:t>
      </w:r>
      <w:r w:rsidR="00A04B29" w:rsidRPr="00D0236F">
        <w:rPr>
          <w:color w:val="222222"/>
          <w:sz w:val="22"/>
          <w:szCs w:val="22"/>
          <w:shd w:val="clear" w:color="auto" w:fill="FFFFFF"/>
        </w:rPr>
        <w:t xml:space="preserve"> We would like to highlight that our use of a large, population-based sample size increases the generalizability to other </w:t>
      </w:r>
      <w:r w:rsidR="00AB1483">
        <w:rPr>
          <w:rFonts w:eastAsiaTheme="minorEastAsia" w:hint="eastAsia"/>
          <w:color w:val="222222"/>
          <w:sz w:val="22"/>
          <w:szCs w:val="22"/>
          <w:shd w:val="clear" w:color="auto" w:fill="FFFFFF"/>
          <w:lang w:eastAsia="ko-KR"/>
        </w:rPr>
        <w:t>settings</w:t>
      </w:r>
      <w:r w:rsidR="00A04B29" w:rsidRPr="00D0236F">
        <w:rPr>
          <w:color w:val="222222"/>
          <w:sz w:val="22"/>
          <w:szCs w:val="22"/>
          <w:shd w:val="clear" w:color="auto" w:fill="FFFFFF"/>
        </w:rPr>
        <w:t xml:space="preserve"> with similar population structures (and public/health care provisions).</w:t>
      </w:r>
    </w:p>
    <w:p w14:paraId="1E680864" w14:textId="77777777" w:rsidR="002F0C3B" w:rsidRPr="00D0236F" w:rsidRDefault="002F0C3B" w:rsidP="00D5728E">
      <w:pPr>
        <w:pStyle w:val="BodyText"/>
        <w:spacing w:line="360" w:lineRule="auto"/>
        <w:rPr>
          <w:rFonts w:eastAsiaTheme="minorEastAsia"/>
          <w:sz w:val="22"/>
          <w:szCs w:val="22"/>
          <w:lang w:eastAsia="ko-KR"/>
        </w:rPr>
      </w:pPr>
    </w:p>
    <w:p w14:paraId="092C8A58" w14:textId="77777777" w:rsidR="00D3651D" w:rsidRPr="00D0236F" w:rsidRDefault="00D3651D" w:rsidP="00D5728E">
      <w:pPr>
        <w:pStyle w:val="BodyText"/>
        <w:spacing w:line="360" w:lineRule="auto"/>
        <w:rPr>
          <w:rFonts w:eastAsiaTheme="minorEastAsia"/>
          <w:b/>
          <w:bCs/>
          <w:sz w:val="22"/>
          <w:szCs w:val="22"/>
          <w:lang w:eastAsia="zh-CN"/>
        </w:rPr>
      </w:pPr>
      <w:r w:rsidRPr="00D0236F">
        <w:rPr>
          <w:rFonts w:eastAsiaTheme="minorEastAsia"/>
          <w:b/>
          <w:bCs/>
          <w:sz w:val="22"/>
          <w:szCs w:val="22"/>
        </w:rPr>
        <w:t>Conclusions</w:t>
      </w:r>
    </w:p>
    <w:p w14:paraId="0CC40273" w14:textId="77777777" w:rsidR="00D3651D" w:rsidRPr="00D0236F" w:rsidRDefault="00D3651D" w:rsidP="00D5728E">
      <w:pPr>
        <w:pStyle w:val="BodyText"/>
        <w:spacing w:line="360" w:lineRule="auto"/>
        <w:rPr>
          <w:rFonts w:eastAsiaTheme="minorEastAsia"/>
          <w:b/>
          <w:bCs/>
          <w:sz w:val="22"/>
          <w:szCs w:val="22"/>
        </w:rPr>
      </w:pPr>
    </w:p>
    <w:p w14:paraId="7A8DDCAF" w14:textId="4725E99C" w:rsidR="00D114D9" w:rsidRDefault="00D3651D" w:rsidP="00D114D9">
      <w:pPr>
        <w:widowControl/>
        <w:tabs>
          <w:tab w:val="num" w:pos="720"/>
        </w:tabs>
        <w:adjustRightInd w:val="0"/>
        <w:spacing w:line="360" w:lineRule="auto"/>
        <w:contextualSpacing/>
        <w:jc w:val="both"/>
        <w:rPr>
          <w:rFonts w:eastAsiaTheme="minorEastAsia"/>
          <w:color w:val="000000"/>
          <w:shd w:val="clear" w:color="auto" w:fill="FFFFFF"/>
          <w:lang w:eastAsia="ko-KR"/>
        </w:rPr>
      </w:pPr>
      <w:r w:rsidRPr="00D0236F">
        <w:rPr>
          <w:rFonts w:eastAsiaTheme="minorEastAsia"/>
        </w:rPr>
        <w:t xml:space="preserve">In summary, in this large cohort study, we compared the antibody </w:t>
      </w:r>
      <w:r w:rsidR="00114BF9" w:rsidRPr="00D0236F">
        <w:rPr>
          <w:rFonts w:eastAsiaTheme="minorEastAsia"/>
        </w:rPr>
        <w:t>responses,</w:t>
      </w:r>
      <w:r w:rsidRPr="00D0236F">
        <w:rPr>
          <w:rFonts w:eastAsiaTheme="minorEastAsia"/>
        </w:rPr>
        <w:t xml:space="preserve"> and their infection risks induced by different COVID-19 immunity statuses (hybrid and vaccine) across age groups. We showed that S a</w:t>
      </w:r>
      <w:r w:rsidR="00C66F38" w:rsidRPr="00D0236F">
        <w:rPr>
          <w:rFonts w:eastAsiaTheme="minorEastAsia"/>
          <w:lang w:eastAsia="ko-KR"/>
        </w:rPr>
        <w:t>ntibody</w:t>
      </w:r>
      <w:r w:rsidRPr="00D0236F">
        <w:rPr>
          <w:rFonts w:eastAsiaTheme="minorEastAsia"/>
        </w:rPr>
        <w:t xml:space="preserve"> waning and risk infection trends are highly correlated; hybrid group resulted in </w:t>
      </w:r>
      <w:r w:rsidR="00D114D9">
        <w:rPr>
          <w:rFonts w:eastAsiaTheme="minorEastAsia" w:hint="eastAsia"/>
          <w:lang w:eastAsia="ko-KR"/>
        </w:rPr>
        <w:t xml:space="preserve">at least 2 times </w:t>
      </w:r>
      <w:r w:rsidRPr="00D0236F">
        <w:rPr>
          <w:rFonts w:eastAsiaTheme="minorEastAsia"/>
        </w:rPr>
        <w:t xml:space="preserve">higher and longer-lasting antibody responses compared to vaccination alone. </w:t>
      </w:r>
      <w:r w:rsidR="00D114D9">
        <w:rPr>
          <w:rFonts w:eastAsiaTheme="minorEastAsia" w:hint="eastAsia"/>
          <w:lang w:eastAsia="ko-KR"/>
        </w:rPr>
        <w:t xml:space="preserve">Considering the time to infection, </w:t>
      </w:r>
      <w:r w:rsidR="00D114D9" w:rsidRPr="00D0236F">
        <w:rPr>
          <w:rFonts w:eastAsiaTheme="minorEastAsia"/>
          <w:lang w:eastAsia="ko-KR"/>
        </w:rPr>
        <w:t>&gt;20</w:t>
      </w:r>
      <w:r w:rsidR="00D114D9">
        <w:rPr>
          <w:rFonts w:eastAsiaTheme="minorEastAsia" w:hint="eastAsia"/>
          <w:lang w:eastAsia="ko-KR"/>
        </w:rPr>
        <w:t xml:space="preserve"> age group</w:t>
      </w:r>
      <w:r w:rsidR="00D114D9" w:rsidRPr="00D0236F">
        <w:rPr>
          <w:rFonts w:eastAsiaTheme="minorEastAsia"/>
          <w:lang w:eastAsia="ko-KR"/>
        </w:rPr>
        <w:t xml:space="preserve"> </w:t>
      </w:r>
      <w:r w:rsidR="00D114D9">
        <w:rPr>
          <w:rFonts w:eastAsiaTheme="minorEastAsia" w:hint="eastAsia"/>
          <w:lang w:eastAsia="ko-KR"/>
        </w:rPr>
        <w:t xml:space="preserve">shows </w:t>
      </w:r>
      <w:r w:rsidR="00D114D9" w:rsidRPr="00D0236F">
        <w:rPr>
          <w:rFonts w:eastAsiaTheme="minorEastAsia"/>
          <w:lang w:eastAsia="ko-KR"/>
        </w:rPr>
        <w:t xml:space="preserve">42-69% lower </w:t>
      </w:r>
      <w:r w:rsidR="00D114D9">
        <w:rPr>
          <w:rFonts w:eastAsiaTheme="minorEastAsia" w:hint="eastAsia"/>
          <w:lang w:eastAsia="ko-KR"/>
        </w:rPr>
        <w:t>hazard ratio</w:t>
      </w:r>
      <w:r w:rsidR="00D114D9" w:rsidRPr="00D0236F">
        <w:rPr>
          <w:rFonts w:eastAsiaTheme="minorEastAsia"/>
          <w:lang w:eastAsia="ko-KR"/>
        </w:rPr>
        <w:t xml:space="preserve"> of infection than &lt;20 </w:t>
      </w:r>
      <w:r w:rsidR="00D114D9">
        <w:rPr>
          <w:rFonts w:eastAsiaTheme="minorEastAsia" w:hint="eastAsia"/>
          <w:lang w:eastAsia="ko-KR"/>
        </w:rPr>
        <w:t xml:space="preserve">age </w:t>
      </w:r>
      <w:r w:rsidR="00D114D9" w:rsidRPr="00D0236F">
        <w:rPr>
          <w:rFonts w:eastAsiaTheme="minorEastAsia"/>
          <w:lang w:eastAsia="ko-KR"/>
        </w:rPr>
        <w:t>group with increasing risk trends with older age groups</w:t>
      </w:r>
      <w:r w:rsidR="00D114D9">
        <w:rPr>
          <w:rFonts w:eastAsiaTheme="minorEastAsia" w:hint="eastAsia"/>
          <w:lang w:eastAsia="ko-KR"/>
        </w:rPr>
        <w:t>. To expect &gt;</w:t>
      </w:r>
      <w:r w:rsidR="00D114D9" w:rsidRPr="00D051AD">
        <w:rPr>
          <w:rFonts w:eastAsiaTheme="minorEastAsia"/>
          <w:lang w:eastAsia="ko-KR"/>
        </w:rPr>
        <w:t>80% probability of remaining infection-free</w:t>
      </w:r>
      <w:r w:rsidR="00D114D9">
        <w:rPr>
          <w:rFonts w:eastAsiaTheme="minorEastAsia" w:hint="eastAsia"/>
          <w:lang w:eastAsia="ko-KR"/>
        </w:rPr>
        <w:t xml:space="preserve">, different S antibody levels thresholds are estimated as &gt;250,000, 20,000, and 15,000 for &lt;20, &gt;60, and 40-60 age groups. </w:t>
      </w:r>
      <w:r w:rsidR="00D114D9" w:rsidRPr="00D0236F">
        <w:rPr>
          <w:rFonts w:eastAsiaTheme="minorEastAsia"/>
          <w:lang w:eastAsia="ko-KR"/>
        </w:rPr>
        <w:t xml:space="preserve">Our findings </w:t>
      </w:r>
      <w:r w:rsidR="00D114D9">
        <w:rPr>
          <w:rFonts w:eastAsiaTheme="minorEastAsia" w:hint="eastAsia"/>
          <w:lang w:eastAsia="ko-KR"/>
        </w:rPr>
        <w:t>highlight that c</w:t>
      </w:r>
      <w:r w:rsidR="00D114D9" w:rsidRPr="00D0236F">
        <w:rPr>
          <w:rFonts w:eastAsiaTheme="minorEastAsia"/>
          <w:lang w:eastAsia="ko-KR"/>
        </w:rPr>
        <w:t xml:space="preserve">hildren without previous infection is the high risk and priority group for booster </w:t>
      </w:r>
      <w:commentRangeStart w:id="39"/>
      <w:r w:rsidR="00D114D9" w:rsidRPr="00D0236F">
        <w:rPr>
          <w:rFonts w:eastAsiaTheme="minorEastAsia"/>
          <w:lang w:eastAsia="ko-KR"/>
        </w:rPr>
        <w:t>vaccine</w:t>
      </w:r>
      <w:commentRangeEnd w:id="39"/>
      <w:r w:rsidR="00D114D9" w:rsidRPr="00D0236F">
        <w:rPr>
          <w:rStyle w:val="CommentReference"/>
          <w:sz w:val="22"/>
          <w:szCs w:val="22"/>
        </w:rPr>
        <w:commentReference w:id="39"/>
      </w:r>
      <w:r w:rsidR="00D114D9" w:rsidRPr="00D0236F">
        <w:rPr>
          <w:rFonts w:eastAsiaTheme="minorEastAsia"/>
          <w:lang w:eastAsia="zh-CN"/>
        </w:rPr>
        <w:t xml:space="preserve"> </w:t>
      </w:r>
      <w:r w:rsidR="00D114D9" w:rsidRPr="00D0236F">
        <w:rPr>
          <w:rFonts w:eastAsiaTheme="minorEastAsia"/>
          <w:lang w:eastAsia="zh-CN"/>
        </w:rPr>
        <w:fldChar w:fldCharType="begin"/>
      </w:r>
      <w:r w:rsidR="00D114D9" w:rsidRPr="00D0236F">
        <w:rPr>
          <w:rFonts w:eastAsiaTheme="minorEastAsia"/>
          <w:lang w:eastAsia="zh-CN"/>
        </w:rPr>
        <w:instrText xml:space="preserve"> ADDIN ZOTERO_ITEM CSL_CITATION {"citationID":"UcwqlZZ1","properties":{"formattedCitation":"[17]","plainCitation":"[17]","noteIndex":0},"citationItems":[{"id":103,"uris":["http://zotero.org/users/14790911/items/QVGAL84V"],"itemData":{"id":103,"type":"webpage","title":"Hybrid immunity against reinfection with SARS-CoV-2 following a previous SARS-CoV-2 infection and single dose of the BNT162b2 vaccine in children and adolescents: a target trial emulation - The Lancet Microbe","URL":"https://www.thelancet.com/journals/lanmic/article/PIIS2666-5247(23)00103-9/fulltext","accessed":{"date-parts":[["2024",9,4]]}}}],"schema":"https://github.com/citation-style-language/schema/raw/master/csl-citation.json"} </w:instrText>
      </w:r>
      <w:r w:rsidR="00D114D9" w:rsidRPr="00D0236F">
        <w:rPr>
          <w:rFonts w:eastAsiaTheme="minorEastAsia"/>
          <w:lang w:eastAsia="zh-CN"/>
        </w:rPr>
        <w:fldChar w:fldCharType="separate"/>
      </w:r>
      <w:r w:rsidR="00D114D9" w:rsidRPr="00D0236F">
        <w:rPr>
          <w:rFonts w:eastAsiaTheme="minorEastAsia"/>
          <w:noProof/>
          <w:lang w:eastAsia="zh-CN"/>
        </w:rPr>
        <w:t>[17]</w:t>
      </w:r>
      <w:r w:rsidR="00D114D9" w:rsidRPr="00D0236F">
        <w:rPr>
          <w:rFonts w:eastAsiaTheme="minorEastAsia"/>
          <w:lang w:eastAsia="zh-CN"/>
        </w:rPr>
        <w:fldChar w:fldCharType="end"/>
      </w:r>
      <w:r w:rsidR="00D114D9" w:rsidRPr="00D0236F">
        <w:rPr>
          <w:rFonts w:eastAsiaTheme="minorEastAsia"/>
          <w:lang w:eastAsia="ko-KR"/>
        </w:rPr>
        <w:t xml:space="preserve">. </w:t>
      </w:r>
      <w:r w:rsidR="00D114D9">
        <w:rPr>
          <w:rFonts w:eastAsiaTheme="minorEastAsia"/>
          <w:lang w:eastAsia="ko-KR"/>
        </w:rPr>
        <w:t>Moreover</w:t>
      </w:r>
      <w:r w:rsidR="00D114D9">
        <w:rPr>
          <w:rFonts w:eastAsiaTheme="minorEastAsia" w:hint="eastAsia"/>
          <w:lang w:eastAsia="ko-KR"/>
        </w:rPr>
        <w:t xml:space="preserve">, </w:t>
      </w:r>
      <w:r w:rsidR="00D114D9" w:rsidRPr="00D0236F">
        <w:rPr>
          <w:color w:val="000000"/>
          <w:shd w:val="clear" w:color="auto" w:fill="FFFFFF"/>
        </w:rPr>
        <w:t>adults aged ≥65 years are more likely than are younger adults, adolescents, and children to rely upon vaccination to increase immunity that might have waned and might need more frequent vaccine doses to maintain protection.</w:t>
      </w:r>
    </w:p>
    <w:p w14:paraId="36BD77C3" w14:textId="77777777" w:rsidR="00D114D9" w:rsidRPr="00D114D9" w:rsidRDefault="00D114D9" w:rsidP="00D114D9">
      <w:pPr>
        <w:widowControl/>
        <w:tabs>
          <w:tab w:val="num" w:pos="720"/>
        </w:tabs>
        <w:adjustRightInd w:val="0"/>
        <w:spacing w:line="360" w:lineRule="auto"/>
        <w:contextualSpacing/>
        <w:jc w:val="both"/>
        <w:rPr>
          <w:rFonts w:eastAsiaTheme="minorEastAsia" w:hint="eastAsia"/>
          <w:lang w:eastAsia="ko-KR"/>
        </w:rPr>
      </w:pPr>
    </w:p>
    <w:p w14:paraId="1E3102FB" w14:textId="77777777" w:rsidR="004567C4" w:rsidRPr="00D0236F" w:rsidRDefault="004567C4" w:rsidP="00D3651D">
      <w:pPr>
        <w:pStyle w:val="BodyText"/>
        <w:spacing w:line="276" w:lineRule="auto"/>
        <w:rPr>
          <w:rFonts w:eastAsiaTheme="minorEastAsia"/>
          <w:sz w:val="22"/>
          <w:szCs w:val="22"/>
          <w:lang w:eastAsia="ko-KR"/>
        </w:rPr>
      </w:pPr>
    </w:p>
    <w:p w14:paraId="2E350EA1" w14:textId="245CA34B" w:rsidR="008737AA" w:rsidRDefault="00D3651D" w:rsidP="008737AA">
      <w:pPr>
        <w:pStyle w:val="Heading1"/>
        <w:spacing w:before="0" w:after="0" w:line="276" w:lineRule="auto"/>
        <w:ind w:left="117"/>
        <w:rPr>
          <w:rFonts w:ascii="Times New Roman" w:hAnsi="Times New Roman" w:cs="Times New Roman"/>
          <w:b/>
          <w:bCs/>
          <w:color w:val="000000" w:themeColor="text1"/>
          <w:sz w:val="22"/>
          <w:szCs w:val="22"/>
        </w:rPr>
      </w:pPr>
      <w:r w:rsidRPr="00D0236F">
        <w:rPr>
          <w:rFonts w:ascii="Times New Roman" w:hAnsi="Times New Roman" w:cs="Times New Roman"/>
          <w:b/>
          <w:bCs/>
          <w:color w:val="000000" w:themeColor="text1"/>
          <w:sz w:val="22"/>
          <w:szCs w:val="22"/>
        </w:rPr>
        <w:t>References</w:t>
      </w:r>
    </w:p>
    <w:p w14:paraId="6ECE9239" w14:textId="77777777" w:rsidR="002D196E" w:rsidRPr="002D196E" w:rsidRDefault="002D196E" w:rsidP="002D196E">
      <w:pPr>
        <w:rPr>
          <w:rFonts w:eastAsiaTheme="minorEastAsia" w:hint="eastAsia"/>
          <w:lang w:eastAsia="ko-KR"/>
        </w:rPr>
      </w:pPr>
    </w:p>
    <w:p w14:paraId="09E2F63F" w14:textId="77777777" w:rsidR="00D0236F" w:rsidRPr="00D0236F" w:rsidRDefault="007C6646" w:rsidP="00D0236F">
      <w:pPr>
        <w:pStyle w:val="Bibliography"/>
      </w:pPr>
      <w:r w:rsidRPr="00D0236F">
        <w:fldChar w:fldCharType="begin"/>
      </w:r>
      <w:r w:rsidR="00611A3B" w:rsidRPr="00D0236F">
        <w:instrText xml:space="preserve"> ADDIN ZOTERO_BIBL {"uncited":[],"omitted":[],"custom":[]} CSL_BIBLIOGRAPHY </w:instrText>
      </w:r>
      <w:r w:rsidRPr="00D0236F">
        <w:fldChar w:fldCharType="separate"/>
      </w:r>
      <w:r w:rsidR="00D0236F" w:rsidRPr="00D0236F">
        <w:t>[1]</w:t>
      </w:r>
      <w:r w:rsidR="00D0236F" w:rsidRPr="00D0236F">
        <w:tab/>
        <w:t xml:space="preserve">M. Karachaliou </w:t>
      </w:r>
      <w:r w:rsidR="00D0236F" w:rsidRPr="00D0236F">
        <w:rPr>
          <w:i/>
          <w:iCs/>
        </w:rPr>
        <w:t>et al.</w:t>
      </w:r>
      <w:r w:rsidR="00D0236F" w:rsidRPr="00D0236F">
        <w:t xml:space="preserve">, “SARS-CoV-2 infection, vaccination, and antibody response trajectories in adults: a cohort study in Catalonia,” </w:t>
      </w:r>
      <w:r w:rsidR="00D0236F" w:rsidRPr="00D0236F">
        <w:rPr>
          <w:i/>
          <w:iCs/>
        </w:rPr>
        <w:t>BMC Med.</w:t>
      </w:r>
      <w:r w:rsidR="00D0236F" w:rsidRPr="00D0236F">
        <w:t>, vol. 20, p. 347, Sep. 2022, doi: 10.1186/s12916-022-02547-2.</w:t>
      </w:r>
    </w:p>
    <w:p w14:paraId="630D9684" w14:textId="77777777" w:rsidR="00D0236F" w:rsidRPr="00D0236F" w:rsidRDefault="00D0236F" w:rsidP="00D0236F">
      <w:pPr>
        <w:pStyle w:val="Bibliography"/>
      </w:pPr>
      <w:r w:rsidRPr="00D0236F">
        <w:t>[2]</w:t>
      </w:r>
      <w:r w:rsidRPr="00D0236F">
        <w:tab/>
        <w:t xml:space="preserve">Y. Wei </w:t>
      </w:r>
      <w:r w:rsidRPr="00D0236F">
        <w:rPr>
          <w:i/>
          <w:iCs/>
        </w:rPr>
        <w:t>et al.</w:t>
      </w:r>
      <w:r w:rsidRPr="00D0236F">
        <w:t xml:space="preserve">, “Estimation of Vaccine Effectiveness of CoronaVac and BNT162b2 Against Severe Outcomes Over Time Among Patients With SARS-CoV-2 Omicron,” </w:t>
      </w:r>
      <w:r w:rsidRPr="00D0236F">
        <w:rPr>
          <w:i/>
          <w:iCs/>
        </w:rPr>
        <w:t>JAMA Netw. Open</w:t>
      </w:r>
      <w:r w:rsidRPr="00D0236F">
        <w:t>, vol. 6, no. 2, p. e2254777, Feb. 2023, doi: 10.1001/jamanetworkopen.2022.54777.</w:t>
      </w:r>
    </w:p>
    <w:p w14:paraId="1B5438AC" w14:textId="77777777" w:rsidR="00D0236F" w:rsidRPr="00D0236F" w:rsidRDefault="00D0236F" w:rsidP="00D0236F">
      <w:pPr>
        <w:pStyle w:val="Bibliography"/>
      </w:pPr>
      <w:r w:rsidRPr="00D0236F">
        <w:t>[3]</w:t>
      </w:r>
      <w:r w:rsidRPr="00D0236F">
        <w:tab/>
        <w:t xml:space="preserve">M. Fabiani </w:t>
      </w:r>
      <w:r w:rsidRPr="00D0236F">
        <w:rPr>
          <w:i/>
          <w:iCs/>
        </w:rPr>
        <w:t>et al.</w:t>
      </w:r>
      <w:r w:rsidRPr="00D0236F">
        <w:t xml:space="preserve">, “Effectiveness of mRNA vaccines and waning of protection against SARS-CoV-2 infection and severe covid-19 during predominant circulation of the delta variant in Italy: retrospective cohort study,” </w:t>
      </w:r>
      <w:r w:rsidRPr="00D0236F">
        <w:rPr>
          <w:i/>
          <w:iCs/>
        </w:rPr>
        <w:t>BMJ</w:t>
      </w:r>
      <w:r w:rsidRPr="00D0236F">
        <w:t>, vol. 376, p. e069052, Feb. 2022, doi: 10.1136/bmj-2021-069052.</w:t>
      </w:r>
    </w:p>
    <w:p w14:paraId="090ED57C" w14:textId="77777777" w:rsidR="00D0236F" w:rsidRPr="00D0236F" w:rsidRDefault="00D0236F" w:rsidP="00D0236F">
      <w:pPr>
        <w:pStyle w:val="Bibliography"/>
      </w:pPr>
      <w:r w:rsidRPr="00D0236F">
        <w:t>[4]</w:t>
      </w:r>
      <w:r w:rsidRPr="00D0236F">
        <w:tab/>
        <w:t xml:space="preserve">N. Wu </w:t>
      </w:r>
      <w:r w:rsidRPr="00D0236F">
        <w:rPr>
          <w:i/>
          <w:iCs/>
        </w:rPr>
        <w:t>et al.</w:t>
      </w:r>
      <w:r w:rsidRPr="00D0236F">
        <w:t xml:space="preserve">, “Long-term effectiveness of COVID-19 vaccines against infections, hospitalisations, and mortality in adults: findings from a rapid living systematic evidence synthesis and meta-analysis up to December, 2022,” </w:t>
      </w:r>
      <w:r w:rsidRPr="00D0236F">
        <w:rPr>
          <w:i/>
          <w:iCs/>
        </w:rPr>
        <w:t>Lancet Respir. Med.</w:t>
      </w:r>
      <w:r w:rsidRPr="00D0236F">
        <w:t>, vol. 11, no. 5, pp. 439–452, May 2023, doi: 10.1016/S2213-2600(23)00015-2.</w:t>
      </w:r>
    </w:p>
    <w:p w14:paraId="1920B5F7" w14:textId="77777777" w:rsidR="00D0236F" w:rsidRPr="00D0236F" w:rsidRDefault="00D0236F" w:rsidP="00D0236F">
      <w:pPr>
        <w:pStyle w:val="Bibliography"/>
      </w:pPr>
      <w:r w:rsidRPr="00D0236F">
        <w:t>[5]</w:t>
      </w:r>
      <w:r w:rsidRPr="00D0236F">
        <w:tab/>
        <w:t xml:space="preserve">N. Andrews </w:t>
      </w:r>
      <w:r w:rsidRPr="00D0236F">
        <w:rPr>
          <w:i/>
          <w:iCs/>
        </w:rPr>
        <w:t>et al.</w:t>
      </w:r>
      <w:r w:rsidRPr="00D0236F">
        <w:t xml:space="preserve">, “Covid-19 Vaccine Effectiveness against the Omicron (B.1.1.529) Variant,” </w:t>
      </w:r>
      <w:r w:rsidRPr="00D0236F">
        <w:rPr>
          <w:i/>
          <w:iCs/>
        </w:rPr>
        <w:t>N. Engl. J. Med.</w:t>
      </w:r>
      <w:r w:rsidRPr="00D0236F">
        <w:t>, p. NEJMoa2119451, Mar. 2022, doi: 10.1056/NEJMoa2119451.</w:t>
      </w:r>
    </w:p>
    <w:p w14:paraId="16F175E3" w14:textId="77777777" w:rsidR="00D0236F" w:rsidRPr="00D0236F" w:rsidRDefault="00D0236F" w:rsidP="00D0236F">
      <w:pPr>
        <w:pStyle w:val="Bibliography"/>
      </w:pPr>
      <w:r w:rsidRPr="00D0236F">
        <w:t>[6]</w:t>
      </w:r>
      <w:r w:rsidRPr="00D0236F">
        <w:tab/>
        <w:t xml:space="preserve">D. Cromer </w:t>
      </w:r>
      <w:r w:rsidRPr="00D0236F">
        <w:rPr>
          <w:i/>
          <w:iCs/>
        </w:rPr>
        <w:t>et al.</w:t>
      </w:r>
      <w:r w:rsidRPr="00D0236F">
        <w:t xml:space="preserve">, “Neutralising antibody titres as predictors of protection against SARS-CoV-2 variants and the impact of boosting: a meta-analysis,” </w:t>
      </w:r>
      <w:r w:rsidRPr="00D0236F">
        <w:rPr>
          <w:i/>
          <w:iCs/>
        </w:rPr>
        <w:t>Lancet Microbe</w:t>
      </w:r>
      <w:r w:rsidRPr="00D0236F">
        <w:t>, vol. 3, no. 1, pp. e52–e61, Jan. 2022, doi: 10.1016/S2666-5247(21)00267-6.</w:t>
      </w:r>
    </w:p>
    <w:p w14:paraId="48443EEF" w14:textId="77777777" w:rsidR="00D0236F" w:rsidRPr="00D0236F" w:rsidRDefault="00D0236F" w:rsidP="00D0236F">
      <w:pPr>
        <w:pStyle w:val="Bibliography"/>
      </w:pPr>
      <w:r w:rsidRPr="00D0236F">
        <w:t>[7]</w:t>
      </w:r>
      <w:r w:rsidRPr="00D0236F">
        <w:tab/>
        <w:t xml:space="preserve">H. Ward </w:t>
      </w:r>
      <w:r w:rsidRPr="00D0236F">
        <w:rPr>
          <w:i/>
          <w:iCs/>
        </w:rPr>
        <w:t>et al.</w:t>
      </w:r>
      <w:r w:rsidRPr="00D0236F">
        <w:t xml:space="preserve">, “Population antibody responses following COVID-19 vaccination in 212,102 individuals,” </w:t>
      </w:r>
      <w:r w:rsidRPr="00D0236F">
        <w:rPr>
          <w:i/>
          <w:iCs/>
        </w:rPr>
        <w:t>Nat. Commun.</w:t>
      </w:r>
      <w:r w:rsidRPr="00D0236F">
        <w:t>, vol. 13, no. 1, p. 907, Feb. 2022, doi: 10.1038/s41467-022-28527-x.</w:t>
      </w:r>
    </w:p>
    <w:p w14:paraId="7D2F3CE0" w14:textId="77777777" w:rsidR="00D0236F" w:rsidRPr="00D0236F" w:rsidRDefault="00D0236F" w:rsidP="00D0236F">
      <w:pPr>
        <w:pStyle w:val="Bibliography"/>
      </w:pPr>
      <w:r w:rsidRPr="00D0236F">
        <w:t>[8]</w:t>
      </w:r>
      <w:r w:rsidRPr="00D0236F">
        <w:tab/>
        <w:t xml:space="preserve">G. Moncunill </w:t>
      </w:r>
      <w:r w:rsidRPr="00D0236F">
        <w:rPr>
          <w:i/>
          <w:iCs/>
        </w:rPr>
        <w:t>et al.</w:t>
      </w:r>
      <w:r w:rsidRPr="00D0236F">
        <w:t xml:space="preserve">, “Determinants of early antibody responses to COVID-19 mRNA vaccines in a cohort of exposed and naïve healthcare workers,” </w:t>
      </w:r>
      <w:r w:rsidRPr="00D0236F">
        <w:rPr>
          <w:i/>
          <w:iCs/>
        </w:rPr>
        <w:t>EBioMedicine</w:t>
      </w:r>
      <w:r w:rsidRPr="00D0236F">
        <w:t>, vol. 75, p. 103805, Jan. 2022, doi: 10.1016/j.ebiom.2021.103805.</w:t>
      </w:r>
    </w:p>
    <w:p w14:paraId="183F465A" w14:textId="77777777" w:rsidR="00D0236F" w:rsidRPr="00D0236F" w:rsidRDefault="00D0236F" w:rsidP="00D0236F">
      <w:pPr>
        <w:pStyle w:val="Bibliography"/>
      </w:pPr>
      <w:r w:rsidRPr="00D0236F">
        <w:t>[9]</w:t>
      </w:r>
      <w:r w:rsidRPr="00D0236F">
        <w:tab/>
        <w:t xml:space="preserve">N. Bobrovitz </w:t>
      </w:r>
      <w:r w:rsidRPr="00D0236F">
        <w:rPr>
          <w:i/>
          <w:iCs/>
        </w:rPr>
        <w:t>et al.</w:t>
      </w:r>
      <w:r w:rsidRPr="00D0236F">
        <w:t xml:space="preserve">, “Protective effectiveness of previous SARS-CoV-2 infection and hybrid immunity against the omicron variant and severe disease: a systematic review and meta-regression,” </w:t>
      </w:r>
      <w:r w:rsidRPr="00D0236F">
        <w:rPr>
          <w:i/>
          <w:iCs/>
        </w:rPr>
        <w:t>Lancet Infect. Dis.</w:t>
      </w:r>
      <w:r w:rsidRPr="00D0236F">
        <w:t>, vol. 23, no. 5, pp. 556–567, May 2023, doi: 10.1016/S1473-3099(22)00801-5.</w:t>
      </w:r>
    </w:p>
    <w:p w14:paraId="4E7AB09A" w14:textId="77777777" w:rsidR="00D0236F" w:rsidRPr="00D0236F" w:rsidRDefault="00D0236F" w:rsidP="00D0236F">
      <w:pPr>
        <w:pStyle w:val="Bibliography"/>
      </w:pPr>
      <w:r w:rsidRPr="00D0236F">
        <w:lastRenderedPageBreak/>
        <w:t>[10]</w:t>
      </w:r>
      <w:r w:rsidRPr="00D0236F">
        <w:tab/>
        <w:t xml:space="preserve">J. Han </w:t>
      </w:r>
      <w:r w:rsidRPr="00D0236F">
        <w:rPr>
          <w:i/>
          <w:iCs/>
        </w:rPr>
        <w:t>et al.</w:t>
      </w:r>
      <w:r w:rsidRPr="00D0236F">
        <w:t xml:space="preserve">, “Korea Seroprevalence Study of Monitoring of SARS-COV-2 Antibody Retention and Transmission (K-SEROSMART): findings from national representative sample,” </w:t>
      </w:r>
      <w:r w:rsidRPr="00D0236F">
        <w:rPr>
          <w:i/>
          <w:iCs/>
        </w:rPr>
        <w:t>Epidemiol. Health</w:t>
      </w:r>
      <w:r w:rsidRPr="00D0236F">
        <w:t>, vol. 45, 2023, doi: 10.4178/epih.e2023075.</w:t>
      </w:r>
    </w:p>
    <w:p w14:paraId="53D5EFD7" w14:textId="77777777" w:rsidR="00D0236F" w:rsidRPr="00D0236F" w:rsidRDefault="00D0236F" w:rsidP="00D0236F">
      <w:pPr>
        <w:pStyle w:val="Bibliography"/>
      </w:pPr>
      <w:r w:rsidRPr="00D0236F">
        <w:t>[11]</w:t>
      </w:r>
      <w:r w:rsidRPr="00D0236F">
        <w:tab/>
        <w:t xml:space="preserve">D. Steensels, N. Pierlet, J. Penders, D. Mesotten, and L. Heylen, “Comparison of SARS-CoV-2 Antibody Response Following Vaccination With BNT162b2 and mRNA-1273,” </w:t>
      </w:r>
      <w:r w:rsidRPr="00D0236F">
        <w:rPr>
          <w:i/>
          <w:iCs/>
        </w:rPr>
        <w:t>JAMA</w:t>
      </w:r>
      <w:r w:rsidRPr="00D0236F">
        <w:t>, vol. 326, no. 15, pp. 1533–1535, Oct. 2021, doi: 10.1001/jama.2021.15125.</w:t>
      </w:r>
    </w:p>
    <w:p w14:paraId="515EFA86" w14:textId="77777777" w:rsidR="00D0236F" w:rsidRPr="00D0236F" w:rsidRDefault="00D0236F" w:rsidP="00D0236F">
      <w:pPr>
        <w:pStyle w:val="Bibliography"/>
      </w:pPr>
      <w:r w:rsidRPr="00D0236F">
        <w:t>[12]</w:t>
      </w:r>
      <w:r w:rsidRPr="00D0236F">
        <w:tab/>
        <w:t xml:space="preserve">W. F. Garcia-Beltran </w:t>
      </w:r>
      <w:r w:rsidRPr="00D0236F">
        <w:rPr>
          <w:i/>
          <w:iCs/>
        </w:rPr>
        <w:t>et al.</w:t>
      </w:r>
      <w:r w:rsidRPr="00D0236F">
        <w:t xml:space="preserve">, “mRNA-based COVID-19 vaccine boosters induce neutralizing immunity against SARS-CoV-2 Omicron variant,” </w:t>
      </w:r>
      <w:r w:rsidRPr="00D0236F">
        <w:rPr>
          <w:i/>
          <w:iCs/>
        </w:rPr>
        <w:t>Cell</w:t>
      </w:r>
      <w:r w:rsidRPr="00D0236F">
        <w:t>, vol. 185, no. 3, pp. 457-466.e4, Feb. 2022, doi: 10.1016/j.cell.2021.12.033.</w:t>
      </w:r>
    </w:p>
    <w:p w14:paraId="43BDC457" w14:textId="77777777" w:rsidR="00D0236F" w:rsidRPr="00D0236F" w:rsidRDefault="00D0236F" w:rsidP="00D0236F">
      <w:pPr>
        <w:pStyle w:val="Bibliography"/>
      </w:pPr>
      <w:r w:rsidRPr="00D0236F">
        <w:t>[13]</w:t>
      </w:r>
      <w:r w:rsidRPr="00D0236F">
        <w:tab/>
        <w:t xml:space="preserve">D. B. Richardson, “An incidence density sampling program for nested case-control analyses,” </w:t>
      </w:r>
      <w:r w:rsidRPr="00D0236F">
        <w:rPr>
          <w:i/>
          <w:iCs/>
        </w:rPr>
        <w:t>Occup. Environ. Med.</w:t>
      </w:r>
      <w:r w:rsidRPr="00D0236F">
        <w:t>, vol. 61, no. 12, p. e59, Dec. 2004, doi: 10.1136/oem.2004.014472.</w:t>
      </w:r>
    </w:p>
    <w:p w14:paraId="62221964" w14:textId="77777777" w:rsidR="00D0236F" w:rsidRPr="00D0236F" w:rsidRDefault="00D0236F" w:rsidP="00D0236F">
      <w:pPr>
        <w:pStyle w:val="Bibliography"/>
      </w:pPr>
      <w:r w:rsidRPr="00D0236F">
        <w:t>[14]</w:t>
      </w:r>
      <w:r w:rsidRPr="00D0236F">
        <w:tab/>
        <w:t xml:space="preserve">N. Pearce, “Analysis of matched case-control studies,” </w:t>
      </w:r>
      <w:r w:rsidRPr="00D0236F">
        <w:rPr>
          <w:i/>
          <w:iCs/>
        </w:rPr>
        <w:t>BMJ</w:t>
      </w:r>
      <w:r w:rsidRPr="00D0236F">
        <w:t>, vol. 352, p. i969, Feb. 2016, doi: 10.1136/bmj.i969.</w:t>
      </w:r>
    </w:p>
    <w:p w14:paraId="5134FEB9" w14:textId="77777777" w:rsidR="00D0236F" w:rsidRPr="00D0236F" w:rsidRDefault="00D0236F" w:rsidP="00D0236F">
      <w:pPr>
        <w:pStyle w:val="Bibliography"/>
      </w:pPr>
      <w:r w:rsidRPr="00D0236F">
        <w:t>[15]</w:t>
      </w:r>
      <w:r w:rsidRPr="00D0236F">
        <w:tab/>
        <w:t xml:space="preserve">B. Carstensen, M. Plummer, E. Laara, and M. Hills, </w:t>
      </w:r>
      <w:r w:rsidRPr="00D0236F">
        <w:rPr>
          <w:i/>
          <w:iCs/>
        </w:rPr>
        <w:t>Epi: Statistical Analysis in Epidemiology</w:t>
      </w:r>
      <w:r w:rsidRPr="00D0236F">
        <w:t>. (Jul. 18, 2024). Accessed: Aug. 12, 2024. [Online]. Available: https://cran.r-project.org/web/packages/Epi/index.html</w:t>
      </w:r>
    </w:p>
    <w:p w14:paraId="791CE089" w14:textId="77777777" w:rsidR="00D0236F" w:rsidRPr="00D0236F" w:rsidRDefault="00D0236F" w:rsidP="00D0236F">
      <w:pPr>
        <w:pStyle w:val="Bibliography"/>
      </w:pPr>
      <w:r w:rsidRPr="00D0236F">
        <w:t>[16]</w:t>
      </w:r>
      <w:r w:rsidRPr="00D0236F">
        <w:tab/>
        <w:t>“Seroprevalence of SARS-CoV-2 antibodies in the community based on participants in the 2020 Korea National Health and Nutrition Examination Survey.” Accessed: Sep. 04, 2024. [Online]. Available: https://www.e-epih.org/journal/view.php?number=1276</w:t>
      </w:r>
    </w:p>
    <w:p w14:paraId="63DEE619" w14:textId="77777777" w:rsidR="00D0236F" w:rsidRPr="00D0236F" w:rsidRDefault="00D0236F" w:rsidP="00D0236F">
      <w:pPr>
        <w:pStyle w:val="Bibliography"/>
      </w:pPr>
      <w:r w:rsidRPr="00D0236F">
        <w:t>[17]</w:t>
      </w:r>
      <w:r w:rsidRPr="00D0236F">
        <w:tab/>
        <w:t>“Hybrid immunity against reinfection with SARS-CoV-2 following a previous SARS-CoV-2 infection and single dose of the BNT162b2 vaccine in children and adolescents: a target trial emulation - The Lancet Microbe.” Accessed: Sep. 04, 2024. [Online]. Available: https://www.thelancet.com/journals/lanmic/article/PIIS2666-5247(23)00103-9/fulltext</w:t>
      </w:r>
    </w:p>
    <w:p w14:paraId="792E305C" w14:textId="77777777" w:rsidR="00D0236F" w:rsidRPr="00D0236F" w:rsidRDefault="00D0236F" w:rsidP="00D0236F">
      <w:pPr>
        <w:pStyle w:val="Bibliography"/>
      </w:pPr>
      <w:r w:rsidRPr="00D0236F">
        <w:t>[18]</w:t>
      </w:r>
      <w:r w:rsidRPr="00D0236F">
        <w:tab/>
        <w:t xml:space="preserve">S. J. C. Pallett </w:t>
      </w:r>
      <w:r w:rsidRPr="00D0236F">
        <w:rPr>
          <w:i/>
          <w:iCs/>
        </w:rPr>
        <w:t>et al.</w:t>
      </w:r>
      <w:r w:rsidRPr="00D0236F">
        <w:t xml:space="preserve">, “Hybrid immunity in older adults is associated with reduced SARS-CoV-2 infections following BNT162b2 COVID-19 immunisation,” </w:t>
      </w:r>
      <w:r w:rsidRPr="00D0236F">
        <w:rPr>
          <w:i/>
          <w:iCs/>
        </w:rPr>
        <w:t>Commun. Med.</w:t>
      </w:r>
      <w:r w:rsidRPr="00D0236F">
        <w:t>, vol. 3, no. 1, pp. 1–9, Jun. 2023, doi: 10.1038/s43856-023-00303-y.</w:t>
      </w:r>
    </w:p>
    <w:p w14:paraId="7C022D1C" w14:textId="77777777" w:rsidR="00D0236F" w:rsidRPr="00D0236F" w:rsidRDefault="00D0236F" w:rsidP="00D0236F">
      <w:pPr>
        <w:pStyle w:val="Bibliography"/>
      </w:pPr>
      <w:r w:rsidRPr="00D0236F">
        <w:t>[19]</w:t>
      </w:r>
      <w:r w:rsidRPr="00D0236F">
        <w:tab/>
        <w:t xml:space="preserve">H. N. Altarawneh </w:t>
      </w:r>
      <w:r w:rsidRPr="00D0236F">
        <w:rPr>
          <w:i/>
          <w:iCs/>
        </w:rPr>
        <w:t>et al.</w:t>
      </w:r>
      <w:r w:rsidRPr="00D0236F">
        <w:t xml:space="preserve">, “Effects of previous infection, vaccination, and hybrid immunity against symptomatic Alpha, Beta, and Delta SARS-CoV-2 infections: an observational study,” </w:t>
      </w:r>
      <w:r w:rsidRPr="00D0236F">
        <w:rPr>
          <w:i/>
          <w:iCs/>
        </w:rPr>
        <w:t>eBioMedicine</w:t>
      </w:r>
      <w:r w:rsidRPr="00D0236F">
        <w:t>, vol. 95, p. 104734, Jul. 2023, doi: 10.1016/j.ebiom.2023.104734.</w:t>
      </w:r>
    </w:p>
    <w:p w14:paraId="7A897664" w14:textId="77777777" w:rsidR="00D0236F" w:rsidRPr="00D0236F" w:rsidRDefault="00D0236F" w:rsidP="00D0236F">
      <w:pPr>
        <w:pStyle w:val="Bibliography"/>
      </w:pPr>
      <w:r w:rsidRPr="00D0236F">
        <w:t>[20]</w:t>
      </w:r>
      <w:r w:rsidRPr="00D0236F">
        <w:tab/>
        <w:t>“Interim statement on hybrid immunity and increasing population seroprevalence rates.” Accessed: Sep. 04, 2024. [Online]. Available: https://www.who.int/news/item/01-06-2022-interim-statement-on-hybrid-immunity-and-increasing-population-seroprevalence-rates</w:t>
      </w:r>
    </w:p>
    <w:p w14:paraId="068FD7D6" w14:textId="77777777" w:rsidR="00D0236F" w:rsidRPr="00D0236F" w:rsidRDefault="00D0236F" w:rsidP="00D0236F">
      <w:pPr>
        <w:pStyle w:val="Bibliography"/>
      </w:pPr>
      <w:r w:rsidRPr="00D0236F">
        <w:t>[21]</w:t>
      </w:r>
      <w:r w:rsidRPr="00D0236F">
        <w:tab/>
        <w:t xml:space="preserve">G. den Hartog </w:t>
      </w:r>
      <w:r w:rsidRPr="00D0236F">
        <w:rPr>
          <w:i/>
          <w:iCs/>
        </w:rPr>
        <w:t>et al.</w:t>
      </w:r>
      <w:r w:rsidRPr="00D0236F">
        <w:t xml:space="preserve">, “Assessment of hybrid population immunity to SARS-CoV-2 following breakthrough infections of distinct SARS-CoV-2 variants by the detection of antibodies to nucleoprotein,” </w:t>
      </w:r>
      <w:r w:rsidRPr="00D0236F">
        <w:rPr>
          <w:i/>
          <w:iCs/>
        </w:rPr>
        <w:t>Sci. Rep.</w:t>
      </w:r>
      <w:r w:rsidRPr="00D0236F">
        <w:t>, vol. 13, no. 1, p. 18394, Oct. 2023, doi: 10.1038/s41598-023-45718-8.</w:t>
      </w:r>
    </w:p>
    <w:p w14:paraId="5757E9CF" w14:textId="77777777" w:rsidR="00D0236F" w:rsidRPr="00D0236F" w:rsidRDefault="00D0236F" w:rsidP="00D0236F">
      <w:pPr>
        <w:pStyle w:val="Bibliography"/>
      </w:pPr>
      <w:r w:rsidRPr="00D0236F">
        <w:t>[22]</w:t>
      </w:r>
      <w:r w:rsidRPr="00D0236F">
        <w:tab/>
        <w:t xml:space="preserve">E. J. Jang </w:t>
      </w:r>
      <w:r w:rsidRPr="00D0236F">
        <w:rPr>
          <w:i/>
          <w:iCs/>
        </w:rPr>
        <w:t>et al.</w:t>
      </w:r>
      <w:r w:rsidRPr="00D0236F">
        <w:t xml:space="preserve">, “Presumed population immunity to SARS-CoV-2 in South Korea, April 2022,” </w:t>
      </w:r>
      <w:r w:rsidRPr="00D0236F">
        <w:rPr>
          <w:i/>
          <w:iCs/>
        </w:rPr>
        <w:t>Osong Public Health Res. Perspect.</w:t>
      </w:r>
      <w:r w:rsidRPr="00D0236F">
        <w:t>, vol. 13, no. 5, pp. 377–381, Oct. 2022, doi: 10.24171/j.phrp.2022.0209.</w:t>
      </w:r>
    </w:p>
    <w:p w14:paraId="62B18576" w14:textId="77777777" w:rsidR="00D0236F" w:rsidRPr="00D0236F" w:rsidRDefault="00D0236F" w:rsidP="00D0236F">
      <w:pPr>
        <w:pStyle w:val="Bibliography"/>
      </w:pPr>
      <w:r w:rsidRPr="00D0236F">
        <w:t>[23]</w:t>
      </w:r>
      <w:r w:rsidRPr="00D0236F">
        <w:tab/>
        <w:t xml:space="preserve">N. Eliakim-Raz </w:t>
      </w:r>
      <w:r w:rsidRPr="00D0236F">
        <w:rPr>
          <w:i/>
          <w:iCs/>
        </w:rPr>
        <w:t>et al.</w:t>
      </w:r>
      <w:r w:rsidRPr="00D0236F">
        <w:t xml:space="preserve">, “Three-month follow-up of durability of response to the third dose of the SARS-CoV-2 BNT162b2 vaccine in adults aged 60 years and older: a prospective cohort study,” </w:t>
      </w:r>
      <w:r w:rsidRPr="00D0236F">
        <w:rPr>
          <w:i/>
          <w:iCs/>
        </w:rPr>
        <w:t>BMJ Open</w:t>
      </w:r>
      <w:r w:rsidRPr="00D0236F">
        <w:t>, vol. 12, no. 8, p. e061584, Aug. 2022, doi: 10.1136/bmjopen-2022-061584.</w:t>
      </w:r>
    </w:p>
    <w:p w14:paraId="4F59E2D9" w14:textId="77777777" w:rsidR="00D0236F" w:rsidRPr="00D0236F" w:rsidRDefault="00D0236F" w:rsidP="00D0236F">
      <w:pPr>
        <w:pStyle w:val="Bibliography"/>
      </w:pPr>
      <w:r w:rsidRPr="00D0236F">
        <w:t>[24]</w:t>
      </w:r>
      <w:r w:rsidRPr="00D0236F">
        <w:tab/>
        <w:t xml:space="preserve">M. Karachaliou </w:t>
      </w:r>
      <w:r w:rsidRPr="00D0236F">
        <w:rPr>
          <w:i/>
          <w:iCs/>
        </w:rPr>
        <w:t>et al.</w:t>
      </w:r>
      <w:r w:rsidRPr="00D0236F">
        <w:t xml:space="preserve">, “SARS-CoV-2 infection, vaccination, and antibody response trajectories in adults: a cohort study in Catalonia,” </w:t>
      </w:r>
      <w:r w:rsidRPr="00D0236F">
        <w:rPr>
          <w:i/>
          <w:iCs/>
        </w:rPr>
        <w:t>BMC Med.</w:t>
      </w:r>
      <w:r w:rsidRPr="00D0236F">
        <w:t>, vol. 20, no. 1, p. 347, Sep. 2022, doi: 10.1186/s12916-022-02547-2.</w:t>
      </w:r>
    </w:p>
    <w:p w14:paraId="101A6409" w14:textId="0760AC1B" w:rsidR="008737AA" w:rsidRPr="00D0236F" w:rsidRDefault="007C6646" w:rsidP="008737AA">
      <w:r w:rsidRPr="00D0236F">
        <w:fldChar w:fldCharType="end"/>
      </w:r>
    </w:p>
    <w:p w14:paraId="2AD23C28" w14:textId="6923CCD9" w:rsidR="00D536EF" w:rsidRPr="00D0236F" w:rsidRDefault="007C6646" w:rsidP="008737AA">
      <w:r w:rsidRPr="00D0236F">
        <w:t xml:space="preserve"> </w:t>
      </w:r>
    </w:p>
    <w:p w14:paraId="033206BF" w14:textId="77777777" w:rsidR="008737AA" w:rsidRPr="00D0236F" w:rsidRDefault="008737AA" w:rsidP="008737AA">
      <w:pPr>
        <w:rPr>
          <w:rFonts w:eastAsiaTheme="minorEastAsia"/>
          <w:lang w:eastAsia="ko-KR"/>
        </w:rPr>
      </w:pPr>
    </w:p>
    <w:p w14:paraId="033470F1" w14:textId="77777777" w:rsidR="008737AA" w:rsidRPr="00D0236F" w:rsidRDefault="008737AA" w:rsidP="008737AA">
      <w:pPr>
        <w:rPr>
          <w:rFonts w:eastAsiaTheme="minorEastAsia"/>
          <w:lang w:eastAsia="ko-KR"/>
        </w:rPr>
      </w:pPr>
    </w:p>
    <w:p w14:paraId="5E726706" w14:textId="77777777" w:rsidR="008737AA" w:rsidRPr="00D0236F" w:rsidRDefault="008737AA" w:rsidP="008737AA">
      <w:pPr>
        <w:rPr>
          <w:rFonts w:eastAsiaTheme="minorEastAsia"/>
          <w:lang w:eastAsia="ko-KR"/>
        </w:rPr>
      </w:pPr>
    </w:p>
    <w:p w14:paraId="74A5DFBB" w14:textId="77777777" w:rsidR="008737AA" w:rsidRPr="00D0236F" w:rsidRDefault="008737AA" w:rsidP="008737AA">
      <w:pPr>
        <w:rPr>
          <w:rFonts w:eastAsiaTheme="minorEastAsia"/>
          <w:lang w:eastAsia="ko-KR"/>
        </w:rPr>
      </w:pPr>
    </w:p>
    <w:p w14:paraId="640CDF76" w14:textId="77777777" w:rsidR="00D3651D" w:rsidRPr="00D0236F" w:rsidRDefault="00D3651D" w:rsidP="00D3651D">
      <w:pPr>
        <w:pStyle w:val="BodyText"/>
        <w:spacing w:line="276" w:lineRule="auto"/>
        <w:ind w:right="795" w:firstLine="566"/>
        <w:jc w:val="both"/>
        <w:rPr>
          <w:rFonts w:eastAsiaTheme="minorEastAsia"/>
          <w:sz w:val="22"/>
          <w:szCs w:val="22"/>
          <w:lang w:eastAsia="ko-KR"/>
        </w:rPr>
      </w:pPr>
      <w:r w:rsidRPr="00D0236F">
        <w:rPr>
          <w:rFonts w:eastAsiaTheme="minorEastAsia"/>
          <w:sz w:val="22"/>
          <w:szCs w:val="22"/>
          <w:lang w:eastAsia="ko-KR"/>
        </w:rPr>
        <w:t xml:space="preserve">Based on the key demographic characteristics (Table 1), we conducted logistic regression to determine specific risk factors on infection events for hybrid and vaccine groups, respectively. </w:t>
      </w:r>
      <w:r w:rsidRPr="00D0236F">
        <w:rPr>
          <w:sz w:val="22"/>
          <w:szCs w:val="22"/>
        </w:rPr>
        <w:t>All</w:t>
      </w:r>
      <w:r w:rsidRPr="00D0236F">
        <w:rPr>
          <w:spacing w:val="-10"/>
          <w:sz w:val="22"/>
          <w:szCs w:val="22"/>
        </w:rPr>
        <w:t xml:space="preserve"> </w:t>
      </w:r>
      <w:r w:rsidRPr="00D0236F">
        <w:rPr>
          <w:sz w:val="22"/>
          <w:szCs w:val="22"/>
        </w:rPr>
        <w:t>available</w:t>
      </w:r>
      <w:r w:rsidRPr="00D0236F">
        <w:rPr>
          <w:spacing w:val="-11"/>
          <w:sz w:val="22"/>
          <w:szCs w:val="22"/>
        </w:rPr>
        <w:t xml:space="preserve"> </w:t>
      </w:r>
      <w:r w:rsidRPr="00D0236F">
        <w:rPr>
          <w:sz w:val="22"/>
          <w:szCs w:val="22"/>
        </w:rPr>
        <w:t>characteristics</w:t>
      </w:r>
      <w:r w:rsidRPr="00D0236F">
        <w:rPr>
          <w:spacing w:val="-10"/>
          <w:sz w:val="22"/>
          <w:szCs w:val="22"/>
        </w:rPr>
        <w:t xml:space="preserve"> </w:t>
      </w:r>
      <w:r w:rsidRPr="00D0236F">
        <w:rPr>
          <w:sz w:val="22"/>
          <w:szCs w:val="22"/>
        </w:rPr>
        <w:t>were</w:t>
      </w:r>
      <w:r w:rsidRPr="00D0236F">
        <w:rPr>
          <w:spacing w:val="-10"/>
          <w:sz w:val="22"/>
          <w:szCs w:val="22"/>
        </w:rPr>
        <w:t xml:space="preserve"> </w:t>
      </w:r>
      <w:r w:rsidRPr="00D0236F">
        <w:rPr>
          <w:sz w:val="22"/>
          <w:szCs w:val="22"/>
        </w:rPr>
        <w:t xml:space="preserve">converted to categorical variables, with the first subgroup designated as the reference </w:t>
      </w:r>
      <w:r w:rsidRPr="00D0236F">
        <w:rPr>
          <w:spacing w:val="-3"/>
          <w:sz w:val="22"/>
          <w:szCs w:val="22"/>
        </w:rPr>
        <w:t xml:space="preserve">category. </w:t>
      </w:r>
      <w:r w:rsidRPr="00D0236F">
        <w:rPr>
          <w:sz w:val="22"/>
          <w:szCs w:val="22"/>
        </w:rPr>
        <w:t>This al- lowed for the calculation of log odds ratios, where a higher log odds ratio indicates a greater infection</w:t>
      </w:r>
      <w:r w:rsidRPr="00D0236F">
        <w:rPr>
          <w:spacing w:val="-11"/>
          <w:sz w:val="22"/>
          <w:szCs w:val="22"/>
        </w:rPr>
        <w:t xml:space="preserve"> </w:t>
      </w:r>
      <w:r w:rsidRPr="00D0236F">
        <w:rPr>
          <w:sz w:val="22"/>
          <w:szCs w:val="22"/>
        </w:rPr>
        <w:t>risk</w:t>
      </w:r>
      <w:r w:rsidRPr="00D0236F">
        <w:rPr>
          <w:spacing w:val="-11"/>
          <w:sz w:val="22"/>
          <w:szCs w:val="22"/>
        </w:rPr>
        <w:t xml:space="preserve"> </w:t>
      </w:r>
      <w:r w:rsidRPr="00D0236F">
        <w:rPr>
          <w:sz w:val="22"/>
          <w:szCs w:val="22"/>
        </w:rPr>
        <w:t>compared</w:t>
      </w:r>
      <w:r w:rsidRPr="00D0236F">
        <w:rPr>
          <w:spacing w:val="-10"/>
          <w:sz w:val="22"/>
          <w:szCs w:val="22"/>
        </w:rPr>
        <w:t xml:space="preserve"> </w:t>
      </w:r>
      <w:r w:rsidRPr="00D0236F">
        <w:rPr>
          <w:sz w:val="22"/>
          <w:szCs w:val="22"/>
        </w:rPr>
        <w:t>to</w:t>
      </w:r>
      <w:r w:rsidRPr="00D0236F">
        <w:rPr>
          <w:spacing w:val="-11"/>
          <w:sz w:val="22"/>
          <w:szCs w:val="22"/>
        </w:rPr>
        <w:t xml:space="preserve"> </w:t>
      </w:r>
      <w:r w:rsidRPr="00D0236F">
        <w:rPr>
          <w:sz w:val="22"/>
          <w:szCs w:val="22"/>
        </w:rPr>
        <w:t>the</w:t>
      </w:r>
      <w:r w:rsidRPr="00D0236F">
        <w:rPr>
          <w:spacing w:val="-10"/>
          <w:sz w:val="22"/>
          <w:szCs w:val="22"/>
        </w:rPr>
        <w:t xml:space="preserve"> </w:t>
      </w:r>
      <w:r w:rsidRPr="00D0236F">
        <w:rPr>
          <w:sz w:val="22"/>
          <w:szCs w:val="22"/>
        </w:rPr>
        <w:t>reference</w:t>
      </w:r>
      <w:r w:rsidRPr="00D0236F">
        <w:rPr>
          <w:spacing w:val="-11"/>
          <w:sz w:val="22"/>
          <w:szCs w:val="22"/>
        </w:rPr>
        <w:t xml:space="preserve"> </w:t>
      </w:r>
      <w:r w:rsidRPr="00D0236F">
        <w:rPr>
          <w:sz w:val="22"/>
          <w:szCs w:val="22"/>
        </w:rPr>
        <w:t>group.</w:t>
      </w:r>
      <w:r w:rsidRPr="00D0236F">
        <w:rPr>
          <w:spacing w:val="8"/>
          <w:sz w:val="22"/>
          <w:szCs w:val="22"/>
        </w:rPr>
        <w:t xml:space="preserve"> </w:t>
      </w:r>
      <w:r w:rsidRPr="00D0236F">
        <w:rPr>
          <w:sz w:val="22"/>
          <w:szCs w:val="22"/>
        </w:rPr>
        <w:t>A</w:t>
      </w:r>
      <w:r w:rsidRPr="00D0236F">
        <w:rPr>
          <w:spacing w:val="-11"/>
          <w:sz w:val="22"/>
          <w:szCs w:val="22"/>
        </w:rPr>
        <w:t xml:space="preserve"> </w:t>
      </w:r>
      <w:r w:rsidRPr="00D0236F">
        <w:rPr>
          <w:sz w:val="22"/>
          <w:szCs w:val="22"/>
        </w:rPr>
        <w:t>log</w:t>
      </w:r>
      <w:r w:rsidRPr="00D0236F">
        <w:rPr>
          <w:spacing w:val="-10"/>
          <w:sz w:val="22"/>
          <w:szCs w:val="22"/>
        </w:rPr>
        <w:t xml:space="preserve"> </w:t>
      </w:r>
      <w:r w:rsidRPr="00D0236F">
        <w:rPr>
          <w:sz w:val="22"/>
          <w:szCs w:val="22"/>
        </w:rPr>
        <w:t>odds</w:t>
      </w:r>
      <w:r w:rsidRPr="00D0236F">
        <w:rPr>
          <w:spacing w:val="-11"/>
          <w:sz w:val="22"/>
          <w:szCs w:val="22"/>
        </w:rPr>
        <w:t xml:space="preserve"> </w:t>
      </w:r>
      <w:r w:rsidRPr="00D0236F">
        <w:rPr>
          <w:sz w:val="22"/>
          <w:szCs w:val="22"/>
        </w:rPr>
        <w:t>ratio</w:t>
      </w:r>
      <w:r w:rsidRPr="00D0236F">
        <w:rPr>
          <w:spacing w:val="-10"/>
          <w:sz w:val="22"/>
          <w:szCs w:val="22"/>
        </w:rPr>
        <w:t xml:space="preserve"> </w:t>
      </w:r>
      <w:r w:rsidRPr="00D0236F">
        <w:rPr>
          <w:sz w:val="22"/>
          <w:szCs w:val="22"/>
        </w:rPr>
        <w:t>of</w:t>
      </w:r>
      <w:r w:rsidRPr="00D0236F">
        <w:rPr>
          <w:spacing w:val="-11"/>
          <w:sz w:val="22"/>
          <w:szCs w:val="22"/>
        </w:rPr>
        <w:t xml:space="preserve"> </w:t>
      </w:r>
      <w:r w:rsidRPr="00D0236F">
        <w:rPr>
          <w:sz w:val="22"/>
          <w:szCs w:val="22"/>
        </w:rPr>
        <w:t>zero</w:t>
      </w:r>
      <w:r w:rsidRPr="00D0236F">
        <w:rPr>
          <w:spacing w:val="-10"/>
          <w:sz w:val="22"/>
          <w:szCs w:val="22"/>
        </w:rPr>
        <w:t xml:space="preserve"> </w:t>
      </w:r>
      <w:r w:rsidRPr="00D0236F">
        <w:rPr>
          <w:sz w:val="22"/>
          <w:szCs w:val="22"/>
        </w:rPr>
        <w:t>signifies</w:t>
      </w:r>
      <w:r w:rsidRPr="00D0236F">
        <w:rPr>
          <w:spacing w:val="-11"/>
          <w:sz w:val="22"/>
          <w:szCs w:val="22"/>
        </w:rPr>
        <w:t xml:space="preserve"> </w:t>
      </w:r>
      <w:r w:rsidRPr="00D0236F">
        <w:rPr>
          <w:sz w:val="22"/>
          <w:szCs w:val="22"/>
        </w:rPr>
        <w:t>equal</w:t>
      </w:r>
      <w:r w:rsidRPr="00D0236F">
        <w:rPr>
          <w:spacing w:val="-10"/>
          <w:sz w:val="22"/>
          <w:szCs w:val="22"/>
        </w:rPr>
        <w:t xml:space="preserve"> </w:t>
      </w:r>
      <w:r w:rsidRPr="00D0236F">
        <w:rPr>
          <w:sz w:val="22"/>
          <w:szCs w:val="22"/>
        </w:rPr>
        <w:t>risk</w:t>
      </w:r>
      <w:r w:rsidRPr="00D0236F">
        <w:rPr>
          <w:spacing w:val="-11"/>
          <w:sz w:val="22"/>
          <w:szCs w:val="22"/>
        </w:rPr>
        <w:t xml:space="preserve"> </w:t>
      </w:r>
      <w:r w:rsidRPr="00D0236F">
        <w:rPr>
          <w:spacing w:val="-3"/>
          <w:sz w:val="22"/>
          <w:szCs w:val="22"/>
        </w:rPr>
        <w:t xml:space="preserve">with </w:t>
      </w:r>
      <w:r w:rsidRPr="00D0236F">
        <w:rPr>
          <w:sz w:val="22"/>
          <w:szCs w:val="22"/>
        </w:rPr>
        <w:t>the reference</w:t>
      </w:r>
      <w:r w:rsidRPr="00D0236F">
        <w:rPr>
          <w:spacing w:val="-3"/>
          <w:sz w:val="22"/>
          <w:szCs w:val="22"/>
        </w:rPr>
        <w:t xml:space="preserve"> </w:t>
      </w:r>
      <w:r w:rsidRPr="00D0236F">
        <w:rPr>
          <w:sz w:val="22"/>
          <w:szCs w:val="22"/>
        </w:rPr>
        <w:t>group.</w:t>
      </w:r>
    </w:p>
    <w:p w14:paraId="5CE5A8B4" w14:textId="77777777" w:rsidR="00D3651D" w:rsidRPr="00D0236F" w:rsidRDefault="00D3651D" w:rsidP="00D3651D">
      <w:pPr>
        <w:pStyle w:val="BodyText"/>
        <w:spacing w:line="276" w:lineRule="auto"/>
        <w:ind w:right="795" w:firstLine="566"/>
        <w:jc w:val="both"/>
        <w:rPr>
          <w:rFonts w:eastAsiaTheme="minorEastAsia"/>
          <w:sz w:val="22"/>
          <w:szCs w:val="22"/>
          <w:lang w:eastAsia="ko-KR"/>
        </w:rPr>
      </w:pPr>
    </w:p>
    <w:p w14:paraId="7185E9D7" w14:textId="77777777" w:rsidR="00D3651D" w:rsidRPr="00D0236F" w:rsidRDefault="00D3651D" w:rsidP="00D3651D">
      <w:pPr>
        <w:pStyle w:val="BodyText"/>
        <w:spacing w:line="276" w:lineRule="auto"/>
        <w:ind w:right="795" w:firstLine="566"/>
        <w:jc w:val="both"/>
        <w:rPr>
          <w:rFonts w:eastAsiaTheme="minorEastAsia"/>
          <w:sz w:val="22"/>
          <w:szCs w:val="22"/>
          <w:lang w:eastAsia="ko-KR"/>
        </w:rPr>
      </w:pPr>
      <w:r w:rsidRPr="00D0236F">
        <w:rPr>
          <w:sz w:val="22"/>
          <w:szCs w:val="22"/>
        </w:rPr>
        <w:t xml:space="preserve">Among all characteristics, age and S antibody level demonstrated the most significant association with individual infection status, exhibiting clear patterns and non-overlapping </w:t>
      </w:r>
      <w:r w:rsidRPr="00D0236F">
        <w:rPr>
          <w:spacing w:val="-4"/>
          <w:sz w:val="22"/>
          <w:szCs w:val="22"/>
        </w:rPr>
        <w:t xml:space="preserve">con- </w:t>
      </w:r>
      <w:proofErr w:type="spellStart"/>
      <w:r w:rsidRPr="00D0236F">
        <w:rPr>
          <w:sz w:val="22"/>
          <w:szCs w:val="22"/>
        </w:rPr>
        <w:t>fidence</w:t>
      </w:r>
      <w:proofErr w:type="spellEnd"/>
      <w:r w:rsidRPr="00D0236F">
        <w:rPr>
          <w:sz w:val="22"/>
          <w:szCs w:val="22"/>
        </w:rPr>
        <w:t xml:space="preserve"> intervals. </w:t>
      </w:r>
      <w:r w:rsidRPr="00D0236F">
        <w:rPr>
          <w:rFonts w:eastAsiaTheme="minorEastAsia"/>
          <w:sz w:val="22"/>
          <w:szCs w:val="22"/>
          <w:lang w:eastAsia="ko-KR"/>
        </w:rPr>
        <w:lastRenderedPageBreak/>
        <w:t xml:space="preserve">(Figure S1) </w:t>
      </w:r>
      <w:r w:rsidRPr="00D0236F">
        <w:rPr>
          <w:sz w:val="22"/>
          <w:szCs w:val="22"/>
        </w:rPr>
        <w:t>Notably, the youngest group exhibited the highest individual infection risks. Except for the youngest group, there was a positive correlation between age and infection</w:t>
      </w:r>
      <w:r w:rsidRPr="00D0236F">
        <w:rPr>
          <w:spacing w:val="-14"/>
          <w:sz w:val="22"/>
          <w:szCs w:val="22"/>
        </w:rPr>
        <w:t xml:space="preserve"> </w:t>
      </w:r>
      <w:r w:rsidRPr="00D0236F">
        <w:rPr>
          <w:sz w:val="22"/>
          <w:szCs w:val="22"/>
        </w:rPr>
        <w:t>risk, indicating</w:t>
      </w:r>
      <w:r w:rsidRPr="00D0236F">
        <w:rPr>
          <w:spacing w:val="-7"/>
          <w:sz w:val="22"/>
          <w:szCs w:val="22"/>
        </w:rPr>
        <w:t xml:space="preserve"> </w:t>
      </w:r>
      <w:r w:rsidRPr="00D0236F">
        <w:rPr>
          <w:sz w:val="22"/>
          <w:szCs w:val="22"/>
        </w:rPr>
        <w:t>that</w:t>
      </w:r>
      <w:r w:rsidRPr="00D0236F">
        <w:rPr>
          <w:spacing w:val="-8"/>
          <w:sz w:val="22"/>
          <w:szCs w:val="22"/>
        </w:rPr>
        <w:t xml:space="preserve"> </w:t>
      </w:r>
      <w:r w:rsidRPr="00D0236F">
        <w:rPr>
          <w:sz w:val="22"/>
          <w:szCs w:val="22"/>
        </w:rPr>
        <w:t>risk</w:t>
      </w:r>
      <w:r w:rsidRPr="00D0236F">
        <w:rPr>
          <w:spacing w:val="-6"/>
          <w:sz w:val="22"/>
          <w:szCs w:val="22"/>
        </w:rPr>
        <w:t xml:space="preserve"> </w:t>
      </w:r>
      <w:r w:rsidRPr="00D0236F">
        <w:rPr>
          <w:sz w:val="22"/>
          <w:szCs w:val="22"/>
        </w:rPr>
        <w:t>increases</w:t>
      </w:r>
      <w:r w:rsidRPr="00D0236F">
        <w:rPr>
          <w:spacing w:val="-7"/>
          <w:sz w:val="22"/>
          <w:szCs w:val="22"/>
        </w:rPr>
        <w:t xml:space="preserve"> </w:t>
      </w:r>
      <w:r w:rsidRPr="00D0236F">
        <w:rPr>
          <w:sz w:val="22"/>
          <w:szCs w:val="22"/>
        </w:rPr>
        <w:t>with</w:t>
      </w:r>
      <w:r w:rsidRPr="00D0236F">
        <w:rPr>
          <w:spacing w:val="-7"/>
          <w:sz w:val="22"/>
          <w:szCs w:val="22"/>
        </w:rPr>
        <w:t xml:space="preserve"> </w:t>
      </w:r>
      <w:r w:rsidRPr="00D0236F">
        <w:rPr>
          <w:sz w:val="22"/>
          <w:szCs w:val="22"/>
        </w:rPr>
        <w:t>age.</w:t>
      </w:r>
      <w:r w:rsidRPr="00D0236F">
        <w:rPr>
          <w:spacing w:val="9"/>
          <w:sz w:val="22"/>
          <w:szCs w:val="22"/>
        </w:rPr>
        <w:t xml:space="preserve"> </w:t>
      </w:r>
      <w:r w:rsidRPr="00D0236F">
        <w:rPr>
          <w:rFonts w:eastAsiaTheme="minorEastAsia"/>
          <w:sz w:val="22"/>
          <w:szCs w:val="22"/>
          <w:lang w:eastAsia="ko-KR"/>
        </w:rPr>
        <w:t xml:space="preserve">In order to determine the risk </w:t>
      </w:r>
      <w:r w:rsidRPr="00D0236F">
        <w:rPr>
          <w:sz w:val="22"/>
          <w:szCs w:val="22"/>
        </w:rPr>
        <w:t>probability of remaining infection-free</w:t>
      </w:r>
      <w:r w:rsidRPr="00D0236F">
        <w:rPr>
          <w:rFonts w:eastAsiaTheme="minorEastAsia"/>
          <w:sz w:val="22"/>
          <w:szCs w:val="22"/>
          <w:lang w:eastAsia="ko-KR"/>
        </w:rPr>
        <w:t xml:space="preserve"> by </w:t>
      </w:r>
      <w:r w:rsidRPr="00D0236F">
        <w:rPr>
          <w:sz w:val="22"/>
          <w:szCs w:val="22"/>
        </w:rPr>
        <w:t>S antibody levels</w:t>
      </w:r>
      <w:r w:rsidRPr="00D0236F">
        <w:rPr>
          <w:rFonts w:eastAsiaTheme="minorEastAsia"/>
          <w:sz w:val="22"/>
          <w:szCs w:val="22"/>
          <w:lang w:eastAsia="ko-KR"/>
        </w:rPr>
        <w:t xml:space="preserve"> across age groups, we constructed l</w:t>
      </w:r>
      <w:r w:rsidRPr="00D0236F">
        <w:rPr>
          <w:sz w:val="22"/>
          <w:szCs w:val="22"/>
        </w:rPr>
        <w:t xml:space="preserve">ogistic </w:t>
      </w:r>
      <w:r w:rsidRPr="00D0236F">
        <w:rPr>
          <w:spacing w:val="-3"/>
          <w:sz w:val="22"/>
          <w:szCs w:val="22"/>
        </w:rPr>
        <w:t>regression</w:t>
      </w:r>
      <w:r w:rsidRPr="00D0236F">
        <w:rPr>
          <w:rFonts w:eastAsiaTheme="minorEastAsia"/>
          <w:spacing w:val="-3"/>
          <w:sz w:val="22"/>
          <w:szCs w:val="22"/>
          <w:lang w:eastAsia="ko-KR"/>
        </w:rPr>
        <w:t xml:space="preserve"> including </w:t>
      </w:r>
      <w:r w:rsidRPr="00D0236F">
        <w:rPr>
          <w:rFonts w:eastAsiaTheme="minorEastAsia"/>
          <w:sz w:val="22"/>
          <w:szCs w:val="22"/>
          <w:lang w:eastAsia="ko-KR"/>
        </w:rPr>
        <w:t>age only based on the finding. (Figure 4 and S2)</w:t>
      </w:r>
    </w:p>
    <w:p w14:paraId="69929C96" w14:textId="77777777" w:rsidR="00D3651D" w:rsidRPr="00D0236F" w:rsidRDefault="00D3651D" w:rsidP="00D3651D">
      <w:pPr>
        <w:pStyle w:val="BodyText"/>
        <w:spacing w:line="276" w:lineRule="auto"/>
        <w:ind w:left="0"/>
        <w:rPr>
          <w:b/>
          <w:sz w:val="22"/>
          <w:szCs w:val="22"/>
        </w:rPr>
      </w:pPr>
    </w:p>
    <w:p w14:paraId="388E0ECB" w14:textId="2E909783" w:rsidR="00D3651D" w:rsidRPr="00D0236F" w:rsidRDefault="00D3651D" w:rsidP="00D3651D">
      <w:pPr>
        <w:pStyle w:val="BodyText"/>
        <w:spacing w:line="276" w:lineRule="auto"/>
        <w:ind w:left="683"/>
        <w:rPr>
          <w:sz w:val="22"/>
          <w:szCs w:val="22"/>
        </w:rPr>
      </w:pPr>
    </w:p>
    <w:p w14:paraId="1F126583" w14:textId="77777777" w:rsidR="00D3651D" w:rsidRPr="00D0236F" w:rsidRDefault="00D3651D" w:rsidP="00D3651D">
      <w:pPr>
        <w:tabs>
          <w:tab w:val="left" w:pos="3793"/>
        </w:tabs>
        <w:spacing w:line="276" w:lineRule="auto"/>
        <w:rPr>
          <w:rFonts w:eastAsiaTheme="minorEastAsia"/>
          <w:lang w:eastAsia="ko-KR"/>
        </w:rPr>
      </w:pPr>
    </w:p>
    <w:p w14:paraId="5AF297E7" w14:textId="77777777" w:rsidR="00DF6085" w:rsidRPr="00D0236F" w:rsidRDefault="00DF6085" w:rsidP="00D3651D">
      <w:pPr>
        <w:tabs>
          <w:tab w:val="left" w:pos="3793"/>
        </w:tabs>
        <w:spacing w:line="276" w:lineRule="auto"/>
        <w:rPr>
          <w:rFonts w:eastAsiaTheme="minorEastAsia"/>
          <w:lang w:eastAsia="ko-KR"/>
        </w:rPr>
      </w:pPr>
    </w:p>
    <w:p w14:paraId="07781FC4" w14:textId="77777777" w:rsidR="00DF6085" w:rsidRPr="00D0236F" w:rsidRDefault="00DF6085" w:rsidP="00D3651D">
      <w:pPr>
        <w:tabs>
          <w:tab w:val="left" w:pos="3793"/>
        </w:tabs>
        <w:spacing w:line="276" w:lineRule="auto"/>
        <w:rPr>
          <w:rFonts w:eastAsiaTheme="minorEastAsia"/>
          <w:lang w:eastAsia="ko-KR"/>
        </w:rPr>
      </w:pPr>
    </w:p>
    <w:p w14:paraId="50F4813D" w14:textId="6D589C74" w:rsidR="00DF6085" w:rsidRPr="00D0236F" w:rsidRDefault="00DF6085" w:rsidP="00D3651D">
      <w:pPr>
        <w:tabs>
          <w:tab w:val="left" w:pos="3793"/>
        </w:tabs>
        <w:spacing w:line="276" w:lineRule="auto"/>
        <w:rPr>
          <w:rFonts w:eastAsiaTheme="minorEastAsia"/>
          <w:lang w:eastAsia="ko-KR"/>
        </w:rPr>
      </w:pPr>
      <w:r w:rsidRPr="00D0236F">
        <w:rPr>
          <w:rFonts w:eastAsiaTheme="minorEastAsia"/>
          <w:noProof/>
          <w:lang w:eastAsia="ko-KR"/>
          <w14:ligatures w14:val="standardContextual"/>
        </w:rPr>
        <w:drawing>
          <wp:inline distT="0" distB="0" distL="0" distR="0" wp14:anchorId="7B76FF34" wp14:editId="293738CD">
            <wp:extent cx="6343650" cy="5301615"/>
            <wp:effectExtent l="0" t="0" r="6350" b="0"/>
            <wp:docPr id="332130629" name="Picture 6" descr="A table of statistics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30629" name="Picture 6" descr="A table of statistics with numbers and lines&#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43650" cy="5301615"/>
                    </a:xfrm>
                    <a:prstGeom prst="rect">
                      <a:avLst/>
                    </a:prstGeom>
                  </pic:spPr>
                </pic:pic>
              </a:graphicData>
            </a:graphic>
          </wp:inline>
        </w:drawing>
      </w:r>
    </w:p>
    <w:p w14:paraId="1FCD1C66" w14:textId="77777777" w:rsidR="00D3651D" w:rsidRPr="00D0236F" w:rsidRDefault="00D3651D" w:rsidP="00D3651D">
      <w:pPr>
        <w:tabs>
          <w:tab w:val="left" w:pos="3793"/>
        </w:tabs>
        <w:spacing w:line="276" w:lineRule="auto"/>
        <w:rPr>
          <w:rFonts w:eastAsiaTheme="minorEastAsia"/>
          <w:lang w:eastAsia="ko-KR"/>
        </w:rPr>
      </w:pPr>
      <w:commentRangeStart w:id="40"/>
      <w:commentRangeStart w:id="41"/>
      <w:r w:rsidRPr="00D0236F">
        <w:t xml:space="preserve">Figure </w:t>
      </w:r>
      <w:r w:rsidRPr="00D0236F">
        <w:rPr>
          <w:rFonts w:eastAsiaTheme="minorEastAsia"/>
          <w:lang w:eastAsia="ko-KR"/>
        </w:rPr>
        <w:t>S1</w:t>
      </w:r>
      <w:r w:rsidRPr="00D0236F">
        <w:t xml:space="preserve">: </w:t>
      </w:r>
      <w:commentRangeEnd w:id="40"/>
      <w:r w:rsidR="0036748A" w:rsidRPr="00D0236F">
        <w:rPr>
          <w:rStyle w:val="CommentReference"/>
          <w:sz w:val="22"/>
          <w:szCs w:val="22"/>
        </w:rPr>
        <w:commentReference w:id="40"/>
      </w:r>
      <w:commentRangeEnd w:id="41"/>
      <w:r w:rsidR="00873033" w:rsidRPr="00D0236F">
        <w:rPr>
          <w:rStyle w:val="CommentReference"/>
          <w:sz w:val="22"/>
          <w:szCs w:val="22"/>
        </w:rPr>
        <w:commentReference w:id="41"/>
      </w:r>
      <w:r w:rsidRPr="00D0236F">
        <w:t xml:space="preserve">Forest plot displaying characteristic patterns: Top - Vaccine-induced group; Bottom - Hybrid-induced </w:t>
      </w:r>
      <w:commentRangeStart w:id="42"/>
      <w:commentRangeStart w:id="43"/>
      <w:r w:rsidRPr="00D0236F">
        <w:t>group</w:t>
      </w:r>
      <w:commentRangeEnd w:id="42"/>
      <w:r w:rsidR="007B4FC3" w:rsidRPr="00D0236F">
        <w:rPr>
          <w:rStyle w:val="CommentReference"/>
          <w:sz w:val="22"/>
          <w:szCs w:val="22"/>
        </w:rPr>
        <w:commentReference w:id="42"/>
      </w:r>
      <w:commentRangeEnd w:id="43"/>
      <w:r w:rsidR="007B4FC3" w:rsidRPr="00D0236F">
        <w:rPr>
          <w:rStyle w:val="CommentReference"/>
          <w:sz w:val="22"/>
          <w:szCs w:val="22"/>
        </w:rPr>
        <w:commentReference w:id="43"/>
      </w:r>
    </w:p>
    <w:p w14:paraId="147E2C66" w14:textId="77777777" w:rsidR="00557BD0" w:rsidRPr="00D0236F" w:rsidRDefault="00557BD0" w:rsidP="00D3651D">
      <w:pPr>
        <w:tabs>
          <w:tab w:val="left" w:pos="3793"/>
        </w:tabs>
        <w:spacing w:line="276" w:lineRule="auto"/>
        <w:rPr>
          <w:rFonts w:eastAsiaTheme="minorEastAsia"/>
          <w:lang w:eastAsia="ko-KR"/>
        </w:rPr>
      </w:pPr>
    </w:p>
    <w:p w14:paraId="4A356380" w14:textId="3B38FD8F" w:rsidR="00557BD0" w:rsidRPr="00D0236F" w:rsidRDefault="00557BD0" w:rsidP="00D3651D">
      <w:pPr>
        <w:tabs>
          <w:tab w:val="left" w:pos="3793"/>
        </w:tabs>
        <w:spacing w:line="276" w:lineRule="auto"/>
        <w:rPr>
          <w:rFonts w:eastAsiaTheme="minorEastAsia"/>
          <w:lang w:eastAsia="ko-KR"/>
        </w:rPr>
      </w:pPr>
      <w:r w:rsidRPr="00D0236F">
        <w:rPr>
          <w:rFonts w:eastAsiaTheme="minorEastAsia"/>
          <w:lang w:eastAsia="ko-KR"/>
        </w:rPr>
        <w:t>Cox proportional hazard  model</w:t>
      </w:r>
    </w:p>
    <w:p w14:paraId="42D271B4" w14:textId="77777777" w:rsidR="00557BD0" w:rsidRPr="00D0236F" w:rsidRDefault="00557BD0" w:rsidP="00D3651D">
      <w:pPr>
        <w:tabs>
          <w:tab w:val="left" w:pos="3793"/>
        </w:tabs>
        <w:spacing w:line="276" w:lineRule="auto"/>
        <w:rPr>
          <w:rFonts w:eastAsiaTheme="minorEastAsia"/>
          <w:lang w:eastAsia="ko-KR"/>
        </w:rPr>
      </w:pPr>
    </w:p>
    <w:p w14:paraId="0114C382" w14:textId="46FFCE41" w:rsidR="00557BD0" w:rsidRPr="00D0236F" w:rsidRDefault="00557BD0" w:rsidP="00D3651D">
      <w:pPr>
        <w:tabs>
          <w:tab w:val="left" w:pos="3793"/>
        </w:tabs>
        <w:spacing w:line="276" w:lineRule="auto"/>
        <w:rPr>
          <w:rFonts w:eastAsiaTheme="minorEastAsia"/>
          <w:lang w:eastAsia="ko-KR"/>
        </w:rPr>
      </w:pPr>
      <w:r w:rsidRPr="00D0236F">
        <w:rPr>
          <w:rFonts w:eastAsiaTheme="minorEastAsia"/>
          <w:lang w:eastAsia="ko-KR"/>
        </w:rPr>
        <w:t xml:space="preserve">Mixed effect model </w:t>
      </w:r>
    </w:p>
    <w:p w14:paraId="1AC72550" w14:textId="7743E9CB" w:rsidR="00D3651D" w:rsidRPr="00DB23C0" w:rsidRDefault="002E3DDD" w:rsidP="00E84F8E">
      <w:pPr>
        <w:pStyle w:val="BodyText"/>
        <w:spacing w:line="276" w:lineRule="auto"/>
        <w:ind w:left="0"/>
        <w:jc w:val="center"/>
        <w:rPr>
          <w:rFonts w:eastAsiaTheme="minorEastAsia"/>
          <w:b/>
          <w:sz w:val="22"/>
          <w:szCs w:val="22"/>
          <w:lang w:eastAsia="ko-KR"/>
        </w:rPr>
      </w:pPr>
      <w:r w:rsidRPr="00D0236F">
        <w:rPr>
          <w:b/>
          <w:noProof/>
          <w:sz w:val="22"/>
          <w:szCs w:val="22"/>
          <w14:ligatures w14:val="standardContextual"/>
        </w:rPr>
        <w:lastRenderedPageBreak/>
        <w:drawing>
          <wp:inline distT="0" distB="0" distL="0" distR="0" wp14:anchorId="6064E52F" wp14:editId="513DCB7F">
            <wp:extent cx="5464454" cy="3981558"/>
            <wp:effectExtent l="0" t="0" r="0" b="0"/>
            <wp:docPr id="580236108" name="Picture 8"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36108" name="Picture 8" descr="A graph of a curv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36688" cy="4034190"/>
                    </a:xfrm>
                    <a:prstGeom prst="rect">
                      <a:avLst/>
                    </a:prstGeom>
                  </pic:spPr>
                </pic:pic>
              </a:graphicData>
            </a:graphic>
          </wp:inline>
        </w:drawing>
      </w:r>
      <w:r w:rsidR="00DB23C0">
        <w:rPr>
          <w:rFonts w:eastAsiaTheme="minorEastAsia" w:hint="eastAsia"/>
          <w:b/>
          <w:sz w:val="22"/>
          <w:szCs w:val="22"/>
          <w:lang w:eastAsia="ko-KR"/>
        </w:rPr>
        <w:t xml:space="preserve"> </w:t>
      </w:r>
    </w:p>
    <w:p w14:paraId="64EF20A3" w14:textId="77777777" w:rsidR="00D3651D" w:rsidRPr="00D0236F" w:rsidRDefault="00D3651D" w:rsidP="00D3651D">
      <w:pPr>
        <w:pStyle w:val="BodyText"/>
        <w:spacing w:line="276" w:lineRule="auto"/>
        <w:ind w:left="2153"/>
        <w:rPr>
          <w:rFonts w:eastAsiaTheme="minorEastAsia"/>
          <w:sz w:val="22"/>
          <w:szCs w:val="22"/>
          <w:lang w:eastAsia="zh-CN"/>
        </w:rPr>
      </w:pPr>
      <w:r w:rsidRPr="00D0236F">
        <w:rPr>
          <w:sz w:val="22"/>
          <w:szCs w:val="22"/>
        </w:rPr>
        <w:t xml:space="preserve">Figure </w:t>
      </w:r>
      <w:r w:rsidRPr="00D0236F">
        <w:rPr>
          <w:rFonts w:eastAsiaTheme="minorEastAsia"/>
          <w:sz w:val="22"/>
          <w:szCs w:val="22"/>
          <w:lang w:eastAsia="ko-KR"/>
        </w:rPr>
        <w:t>S2</w:t>
      </w:r>
      <w:r w:rsidRPr="00D0236F">
        <w:rPr>
          <w:sz w:val="22"/>
          <w:szCs w:val="22"/>
        </w:rPr>
        <w:t xml:space="preserve">: </w:t>
      </w:r>
      <w:commentRangeStart w:id="44"/>
      <w:r w:rsidRPr="00D0236F">
        <w:rPr>
          <w:sz w:val="22"/>
          <w:szCs w:val="22"/>
        </w:rPr>
        <w:t>ROC curves for logistic regression models</w:t>
      </w:r>
      <w:commentRangeEnd w:id="44"/>
      <w:r w:rsidR="001D07B1">
        <w:rPr>
          <w:rStyle w:val="CommentReference"/>
        </w:rPr>
        <w:commentReference w:id="44"/>
      </w:r>
    </w:p>
    <w:p w14:paraId="37A23891" w14:textId="7BF33A67" w:rsidR="00641B2E" w:rsidRPr="00D0236F" w:rsidRDefault="00E84F8E" w:rsidP="00976DDF">
      <w:pPr>
        <w:pStyle w:val="BodyText"/>
        <w:spacing w:line="276" w:lineRule="auto"/>
        <w:rPr>
          <w:rFonts w:eastAsiaTheme="minorEastAsia"/>
          <w:sz w:val="22"/>
          <w:szCs w:val="22"/>
          <w:highlight w:val="yellow"/>
          <w:lang w:eastAsia="zh-CN"/>
        </w:rPr>
      </w:pPr>
      <w:r w:rsidRPr="00D0236F">
        <w:rPr>
          <w:rFonts w:eastAsiaTheme="minorEastAsia"/>
          <w:sz w:val="22"/>
          <w:szCs w:val="22"/>
          <w:highlight w:val="yellow"/>
          <w:lang w:eastAsia="ko-KR"/>
        </w:rPr>
        <w:t>The ROC curve analysis demonstrates that the mixed-effects logistic regression model (red curve) exhibits superior discriminative capability compared to the simple logistic regression model (blue curve). This conclusion is supported by the consistently higher position of the mixed-effects model’s ROC curve across all threshold levels. Moreover, the mixed-effects model achieves a higher Area Under the Curve (AUC) value of 0.82, in contrast to 0.77 for the simple logistic model. This indicates a marked improvement in the mixed-effects model’s performance in predicting the binary outcome, thereby suggesting its enhanced utility in applications requiring robust classification accuracy</w:t>
      </w:r>
      <w:r w:rsidR="008D184F" w:rsidRPr="00D0236F">
        <w:rPr>
          <w:rFonts w:eastAsiaTheme="minorEastAsia"/>
          <w:sz w:val="22"/>
          <w:szCs w:val="22"/>
          <w:highlight w:val="yellow"/>
          <w:lang w:eastAsia="ko-KR"/>
        </w:rPr>
        <w:t>.</w:t>
      </w:r>
      <w:r w:rsidR="00D348B0" w:rsidRPr="00D0236F">
        <w:rPr>
          <w:rFonts w:eastAsiaTheme="minorEastAsia"/>
          <w:sz w:val="22"/>
          <w:szCs w:val="22"/>
          <w:highlight w:val="yellow"/>
          <w:lang w:eastAsia="zh-CN"/>
        </w:rPr>
        <w:t xml:space="preserve"> </w:t>
      </w:r>
      <w:r w:rsidR="00976DDF" w:rsidRPr="00D0236F">
        <w:rPr>
          <w:rFonts w:eastAsiaTheme="minorEastAsia"/>
          <w:sz w:val="22"/>
          <w:szCs w:val="22"/>
          <w:highlight w:val="yellow"/>
          <w:lang w:eastAsia="zh-CN"/>
        </w:rPr>
        <w:t>The equation for a simple logistic regression is provided below. On the left side of each equation is the logit transformation of the probability of being in the control group, which represents the likelihood of being free from COVID-19 infection.</w:t>
      </w:r>
    </w:p>
    <w:p w14:paraId="2D067CB0" w14:textId="481499FE" w:rsidR="00CB603B" w:rsidRPr="00D0236F" w:rsidRDefault="00CB603B" w:rsidP="00976DDF">
      <w:pPr>
        <w:pStyle w:val="BodyText"/>
        <w:spacing w:line="276" w:lineRule="auto"/>
        <w:rPr>
          <w:rFonts w:eastAsiaTheme="minorEastAsia"/>
          <w:sz w:val="22"/>
          <w:szCs w:val="22"/>
          <w:highlight w:val="yellow"/>
          <w:lang w:eastAsia="zh-CN"/>
        </w:rPr>
      </w:pPr>
      <w:r w:rsidRPr="00D0236F">
        <w:rPr>
          <w:rFonts w:eastAsiaTheme="minorEastAsia"/>
          <w:noProof/>
          <w:sz w:val="22"/>
          <w:szCs w:val="22"/>
          <w:lang w:eastAsia="zh-CN"/>
          <w14:ligatures w14:val="standardContextual"/>
        </w:rPr>
        <w:drawing>
          <wp:inline distT="0" distB="0" distL="0" distR="0" wp14:anchorId="59649058" wp14:editId="2926563F">
            <wp:extent cx="6343650" cy="345440"/>
            <wp:effectExtent l="0" t="0" r="6350" b="0"/>
            <wp:docPr id="97528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84794" name="Picture 975284794"/>
                    <pic:cNvPicPr/>
                  </pic:nvPicPr>
                  <pic:blipFill>
                    <a:blip r:embed="rId30">
                      <a:extLst>
                        <a:ext uri="{28A0092B-C50C-407E-A947-70E740481C1C}">
                          <a14:useLocalDpi xmlns:a14="http://schemas.microsoft.com/office/drawing/2010/main" val="0"/>
                        </a:ext>
                      </a:extLst>
                    </a:blip>
                    <a:stretch>
                      <a:fillRect/>
                    </a:stretch>
                  </pic:blipFill>
                  <pic:spPr>
                    <a:xfrm>
                      <a:off x="0" y="0"/>
                      <a:ext cx="6343650" cy="345440"/>
                    </a:xfrm>
                    <a:prstGeom prst="rect">
                      <a:avLst/>
                    </a:prstGeom>
                  </pic:spPr>
                </pic:pic>
              </a:graphicData>
            </a:graphic>
          </wp:inline>
        </w:drawing>
      </w:r>
    </w:p>
    <w:p w14:paraId="0D7C3F6F" w14:textId="0070A501" w:rsidR="00D348B0" w:rsidRPr="00D0236F" w:rsidRDefault="00641B2E" w:rsidP="008D184F">
      <w:pPr>
        <w:pStyle w:val="BodyText"/>
        <w:spacing w:line="276" w:lineRule="auto"/>
        <w:rPr>
          <w:rFonts w:eastAsiaTheme="minorEastAsia"/>
          <w:sz w:val="22"/>
          <w:szCs w:val="22"/>
          <w:highlight w:val="yellow"/>
          <w:lang w:eastAsia="zh-CN"/>
        </w:rPr>
      </w:pPr>
      <w:r w:rsidRPr="00D0236F">
        <w:rPr>
          <w:rFonts w:eastAsiaTheme="minorEastAsia"/>
          <w:sz w:val="22"/>
          <w:szCs w:val="22"/>
          <w:highlight w:val="yellow"/>
          <w:lang w:eastAsia="zh-CN"/>
        </w:rPr>
        <w:t xml:space="preserve">And the equations of mixed effects logistic regression are as follows: </w:t>
      </w:r>
    </w:p>
    <w:p w14:paraId="5D56A504" w14:textId="458A6B25" w:rsidR="00641B2E" w:rsidRPr="00D0236F" w:rsidRDefault="00CB603B" w:rsidP="00641B2E">
      <w:pPr>
        <w:pStyle w:val="BodyText"/>
        <w:spacing w:line="276" w:lineRule="auto"/>
        <w:rPr>
          <w:rFonts w:eastAsiaTheme="minorEastAsia"/>
          <w:sz w:val="22"/>
          <w:szCs w:val="22"/>
          <w:lang w:eastAsia="zh-CN"/>
        </w:rPr>
      </w:pPr>
      <w:r w:rsidRPr="00D0236F">
        <w:rPr>
          <w:rFonts w:eastAsiaTheme="minorEastAsia"/>
          <w:noProof/>
          <w:sz w:val="22"/>
          <w:szCs w:val="22"/>
          <w:lang w:eastAsia="zh-CN"/>
          <w14:ligatures w14:val="standardContextual"/>
        </w:rPr>
        <w:drawing>
          <wp:inline distT="0" distB="0" distL="0" distR="0" wp14:anchorId="6A3D43FA" wp14:editId="7CE89554">
            <wp:extent cx="6343650" cy="1016635"/>
            <wp:effectExtent l="0" t="0" r="6350" b="0"/>
            <wp:docPr id="1312503766" name="Picture 2" descr="A tab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03766" name="Picture 2" descr="A table with black text&#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6343650" cy="1016635"/>
                    </a:xfrm>
                    <a:prstGeom prst="rect">
                      <a:avLst/>
                    </a:prstGeom>
                  </pic:spPr>
                </pic:pic>
              </a:graphicData>
            </a:graphic>
          </wp:inline>
        </w:drawing>
      </w:r>
    </w:p>
    <w:p w14:paraId="4801881C" w14:textId="15B07D50" w:rsidR="00641B2E" w:rsidRPr="00D0236F" w:rsidRDefault="00CB603B" w:rsidP="00E84F8E">
      <w:pPr>
        <w:pStyle w:val="BodyText"/>
        <w:spacing w:line="276" w:lineRule="auto"/>
        <w:rPr>
          <w:rFonts w:eastAsiaTheme="minorEastAsia"/>
          <w:sz w:val="22"/>
          <w:szCs w:val="22"/>
          <w:lang w:eastAsia="ko-KR"/>
        </w:rPr>
      </w:pPr>
      <w:r w:rsidRPr="00D0236F">
        <w:rPr>
          <w:rFonts w:eastAsiaTheme="minorEastAsia"/>
          <w:noProof/>
          <w:sz w:val="22"/>
          <w:szCs w:val="22"/>
          <w:lang w:eastAsia="ko-KR"/>
          <w14:ligatures w14:val="standardContextual"/>
        </w:rPr>
        <w:drawing>
          <wp:inline distT="0" distB="0" distL="0" distR="0" wp14:anchorId="2EC41126" wp14:editId="2B238EC3">
            <wp:extent cx="6343650" cy="862965"/>
            <wp:effectExtent l="0" t="0" r="6350" b="635"/>
            <wp:docPr id="359345155" name="Picture 3"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45155" name="Picture 3" descr="A math equations on a white background&#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343650" cy="862965"/>
                    </a:xfrm>
                    <a:prstGeom prst="rect">
                      <a:avLst/>
                    </a:prstGeom>
                  </pic:spPr>
                </pic:pic>
              </a:graphicData>
            </a:graphic>
          </wp:inline>
        </w:drawing>
      </w:r>
    </w:p>
    <w:p w14:paraId="208E4303" w14:textId="77777777" w:rsidR="00641B2E" w:rsidRPr="00D0236F" w:rsidRDefault="00641B2E" w:rsidP="00E84F8E">
      <w:pPr>
        <w:pStyle w:val="BodyText"/>
        <w:spacing w:line="276" w:lineRule="auto"/>
        <w:rPr>
          <w:rFonts w:eastAsiaTheme="minorEastAsia"/>
          <w:sz w:val="22"/>
          <w:szCs w:val="22"/>
          <w:lang w:eastAsia="ko-KR"/>
        </w:rPr>
      </w:pPr>
    </w:p>
    <w:p w14:paraId="1D37EE7E" w14:textId="77777777" w:rsidR="00641B2E" w:rsidRPr="00D0236F" w:rsidRDefault="00641B2E" w:rsidP="00641B2E">
      <w:pPr>
        <w:pStyle w:val="BodyText"/>
        <w:spacing w:line="276" w:lineRule="auto"/>
        <w:ind w:left="0"/>
        <w:rPr>
          <w:rFonts w:eastAsiaTheme="minorEastAsia"/>
          <w:sz w:val="22"/>
          <w:szCs w:val="22"/>
          <w:lang w:eastAsia="ko-KR"/>
        </w:rPr>
      </w:pPr>
    </w:p>
    <w:tbl>
      <w:tblPr>
        <w:tblW w:w="9040" w:type="dxa"/>
        <w:tblCellMar>
          <w:left w:w="0" w:type="dxa"/>
          <w:right w:w="0" w:type="dxa"/>
        </w:tblCellMar>
        <w:tblLook w:val="0600" w:firstRow="0" w:lastRow="0" w:firstColumn="0" w:lastColumn="0" w:noHBand="1" w:noVBand="1"/>
      </w:tblPr>
      <w:tblGrid>
        <w:gridCol w:w="1040"/>
        <w:gridCol w:w="3159"/>
        <w:gridCol w:w="878"/>
        <w:gridCol w:w="910"/>
        <w:gridCol w:w="974"/>
        <w:gridCol w:w="942"/>
        <w:gridCol w:w="1137"/>
      </w:tblGrid>
      <w:tr w:rsidR="00D3651D" w:rsidRPr="00D0236F" w14:paraId="16EC0F5B" w14:textId="77777777" w:rsidTr="00AA59CA">
        <w:trPr>
          <w:trHeight w:val="168"/>
        </w:trPr>
        <w:tc>
          <w:tcPr>
            <w:tcW w:w="4199"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636F0DD" w14:textId="77777777" w:rsidR="00D3651D" w:rsidRPr="00D0236F" w:rsidRDefault="00D3651D" w:rsidP="00AA59CA">
            <w:pPr>
              <w:pStyle w:val="BodyText"/>
              <w:spacing w:line="276" w:lineRule="auto"/>
              <w:jc w:val="both"/>
              <w:rPr>
                <w:rFonts w:eastAsiaTheme="minorEastAsia"/>
                <w:sz w:val="22"/>
                <w:szCs w:val="22"/>
                <w:lang w:eastAsia="ko-KR"/>
              </w:rPr>
            </w:pPr>
          </w:p>
        </w:tc>
        <w:tc>
          <w:tcPr>
            <w:tcW w:w="87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4C31DEF"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&lt;20</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C6036E2"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20-40</w:t>
            </w:r>
          </w:p>
        </w:tc>
        <w:tc>
          <w:tcPr>
            <w:tcW w:w="97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2266CDE"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40-60</w:t>
            </w:r>
          </w:p>
        </w:tc>
        <w:tc>
          <w:tcPr>
            <w:tcW w:w="94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72B68A6"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&gt;60</w:t>
            </w:r>
          </w:p>
        </w:tc>
        <w:tc>
          <w:tcPr>
            <w:tcW w:w="11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75A86A3"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Total</w:t>
            </w:r>
          </w:p>
        </w:tc>
      </w:tr>
      <w:tr w:rsidR="00D3651D" w:rsidRPr="00D0236F" w14:paraId="3A70C544" w14:textId="77777777" w:rsidTr="00AA59CA">
        <w:trPr>
          <w:trHeight w:val="168"/>
        </w:trPr>
        <w:tc>
          <w:tcPr>
            <w:tcW w:w="1040" w:type="dxa"/>
            <w:vMerge w:val="restart"/>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center"/>
            <w:hideMark/>
          </w:tcPr>
          <w:p w14:paraId="7915DE5C"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Hybrid</w:t>
            </w:r>
          </w:p>
        </w:tc>
        <w:tc>
          <w:tcPr>
            <w:tcW w:w="3158"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7007A7D"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Infections</w:t>
            </w:r>
          </w:p>
        </w:tc>
        <w:tc>
          <w:tcPr>
            <w:tcW w:w="878"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4867EC0B"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4</w:t>
            </w:r>
          </w:p>
        </w:tc>
        <w:tc>
          <w:tcPr>
            <w:tcW w:w="910"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5D74BA5" w14:textId="6DE8266A" w:rsidR="00D3651D" w:rsidRPr="00D0236F" w:rsidRDefault="00484037" w:rsidP="00AA59CA">
            <w:pPr>
              <w:pStyle w:val="BodyText"/>
              <w:spacing w:line="276" w:lineRule="auto"/>
              <w:jc w:val="both"/>
              <w:rPr>
                <w:rFonts w:eastAsiaTheme="minorEastAsia"/>
                <w:sz w:val="22"/>
                <w:szCs w:val="22"/>
                <w:lang w:eastAsia="zh-CN"/>
              </w:rPr>
            </w:pPr>
            <w:r w:rsidRPr="00D0236F">
              <w:rPr>
                <w:rFonts w:eastAsiaTheme="minorEastAsia"/>
                <w:sz w:val="22"/>
                <w:szCs w:val="22"/>
                <w:lang w:eastAsia="zh-CN"/>
              </w:rPr>
              <w:t>6</w:t>
            </w:r>
          </w:p>
        </w:tc>
        <w:tc>
          <w:tcPr>
            <w:tcW w:w="974"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3F7DD720"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20</w:t>
            </w:r>
          </w:p>
        </w:tc>
        <w:tc>
          <w:tcPr>
            <w:tcW w:w="942"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9B2CCD3" w14:textId="43501849"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w:t>
            </w:r>
            <w:r w:rsidR="00484037" w:rsidRPr="00D0236F">
              <w:rPr>
                <w:rFonts w:eastAsiaTheme="minorEastAsia"/>
                <w:sz w:val="22"/>
                <w:szCs w:val="22"/>
                <w:lang w:eastAsia="ko-KR"/>
              </w:rPr>
              <w:t>7</w:t>
            </w:r>
          </w:p>
        </w:tc>
        <w:tc>
          <w:tcPr>
            <w:tcW w:w="1137"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3B68B190" w14:textId="5FE842FD"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4</w:t>
            </w:r>
            <w:r w:rsidR="00484037" w:rsidRPr="00D0236F">
              <w:rPr>
                <w:rFonts w:eastAsiaTheme="minorEastAsia"/>
                <w:sz w:val="22"/>
                <w:szCs w:val="22"/>
                <w:lang w:eastAsia="ko-KR"/>
              </w:rPr>
              <w:t>8</w:t>
            </w:r>
          </w:p>
        </w:tc>
      </w:tr>
      <w:tr w:rsidR="00D3651D" w:rsidRPr="00D0236F" w14:paraId="76066606" w14:textId="77777777" w:rsidTr="00AA59CA">
        <w:trPr>
          <w:trHeight w:val="168"/>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34CA762" w14:textId="77777777" w:rsidR="00D3651D" w:rsidRPr="00D0236F" w:rsidRDefault="00D3651D" w:rsidP="00AA59CA">
            <w:pPr>
              <w:pStyle w:val="BodyText"/>
              <w:spacing w:line="276" w:lineRule="auto"/>
              <w:jc w:val="both"/>
              <w:rPr>
                <w:rFonts w:eastAsiaTheme="minorEastAsia"/>
                <w:sz w:val="22"/>
                <w:szCs w:val="22"/>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7EBE20BB" w14:textId="492C6A2A" w:rsidR="00D3651D" w:rsidRPr="00D0236F" w:rsidRDefault="00D3651D" w:rsidP="00AB1483">
            <w:pPr>
              <w:pStyle w:val="BodyText"/>
              <w:spacing w:line="276" w:lineRule="auto"/>
              <w:jc w:val="both"/>
              <w:rPr>
                <w:rFonts w:eastAsiaTheme="minorEastAsia"/>
                <w:sz w:val="22"/>
                <w:szCs w:val="22"/>
                <w:lang w:eastAsia="ko-KR"/>
              </w:rPr>
            </w:pPr>
            <w:r w:rsidRPr="00D0236F">
              <w:rPr>
                <w:rFonts w:eastAsiaTheme="minorEastAsia"/>
                <w:sz w:val="22"/>
                <w:szCs w:val="22"/>
                <w:lang w:eastAsia="ko-KR"/>
              </w:rPr>
              <w:t>Hospitalization</w:t>
            </w:r>
          </w:p>
        </w:tc>
        <w:tc>
          <w:tcPr>
            <w:tcW w:w="878"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EFAA6BC"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0</w:t>
            </w:r>
          </w:p>
        </w:tc>
        <w:tc>
          <w:tcPr>
            <w:tcW w:w="910"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0DB5D6D"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0</w:t>
            </w:r>
          </w:p>
        </w:tc>
        <w:tc>
          <w:tcPr>
            <w:tcW w:w="974"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0A9C045B"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0</w:t>
            </w:r>
          </w:p>
        </w:tc>
        <w:tc>
          <w:tcPr>
            <w:tcW w:w="942"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1E5FBDCD"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2</w:t>
            </w:r>
          </w:p>
        </w:tc>
        <w:tc>
          <w:tcPr>
            <w:tcW w:w="1137"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A01116D"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2</w:t>
            </w:r>
          </w:p>
        </w:tc>
      </w:tr>
      <w:tr w:rsidR="00D3651D" w:rsidRPr="00D0236F" w14:paraId="0929BB5A" w14:textId="77777777" w:rsidTr="00AA59CA">
        <w:trPr>
          <w:trHeight w:val="28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E84F5CE" w14:textId="77777777" w:rsidR="00D3651D" w:rsidRPr="00D0236F" w:rsidRDefault="00D3651D" w:rsidP="00AA59CA">
            <w:pPr>
              <w:pStyle w:val="BodyText"/>
              <w:spacing w:line="276" w:lineRule="auto"/>
              <w:jc w:val="both"/>
              <w:rPr>
                <w:rFonts w:eastAsiaTheme="minorEastAsia"/>
                <w:sz w:val="22"/>
                <w:szCs w:val="22"/>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7DD6C2F6"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Infection hospitalization risk</w:t>
            </w:r>
          </w:p>
        </w:tc>
        <w:tc>
          <w:tcPr>
            <w:tcW w:w="878"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3302638F"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0.00</w:t>
            </w:r>
          </w:p>
        </w:tc>
        <w:tc>
          <w:tcPr>
            <w:tcW w:w="910"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7DB23917"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0.00</w:t>
            </w:r>
          </w:p>
        </w:tc>
        <w:tc>
          <w:tcPr>
            <w:tcW w:w="974"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394526E2"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0.00</w:t>
            </w:r>
          </w:p>
        </w:tc>
        <w:tc>
          <w:tcPr>
            <w:tcW w:w="942"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2CF18BF0"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0.14</w:t>
            </w:r>
          </w:p>
        </w:tc>
        <w:tc>
          <w:tcPr>
            <w:tcW w:w="1137"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499235E0"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0.04</w:t>
            </w:r>
          </w:p>
        </w:tc>
      </w:tr>
      <w:tr w:rsidR="00D3651D" w:rsidRPr="00D0236F" w14:paraId="1BFACE2E" w14:textId="77777777" w:rsidTr="00AA59CA">
        <w:trPr>
          <w:trHeight w:val="168"/>
        </w:trPr>
        <w:tc>
          <w:tcPr>
            <w:tcW w:w="1040" w:type="dxa"/>
            <w:vMerge w:val="restart"/>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center"/>
            <w:hideMark/>
          </w:tcPr>
          <w:p w14:paraId="21053188"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Vaccine</w:t>
            </w:r>
          </w:p>
        </w:tc>
        <w:tc>
          <w:tcPr>
            <w:tcW w:w="3158"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5F49ECF8"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Infections</w:t>
            </w:r>
          </w:p>
        </w:tc>
        <w:tc>
          <w:tcPr>
            <w:tcW w:w="878"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3214D9A2" w14:textId="0783DB82"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4</w:t>
            </w:r>
            <w:r w:rsidR="00484037" w:rsidRPr="00D0236F">
              <w:rPr>
                <w:rFonts w:eastAsiaTheme="minorEastAsia"/>
                <w:sz w:val="22"/>
                <w:szCs w:val="22"/>
                <w:lang w:eastAsia="ko-KR"/>
              </w:rPr>
              <w:t>3</w:t>
            </w:r>
          </w:p>
        </w:tc>
        <w:tc>
          <w:tcPr>
            <w:tcW w:w="910"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64EDF923" w14:textId="6DB4E60D" w:rsidR="00D3651D" w:rsidRPr="00D0236F" w:rsidRDefault="00484037"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83</w:t>
            </w:r>
          </w:p>
        </w:tc>
        <w:tc>
          <w:tcPr>
            <w:tcW w:w="974"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187B9307" w14:textId="6DDD49D5"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17</w:t>
            </w:r>
            <w:r w:rsidR="00484037" w:rsidRPr="00D0236F">
              <w:rPr>
                <w:rFonts w:eastAsiaTheme="minorEastAsia"/>
                <w:sz w:val="22"/>
                <w:szCs w:val="22"/>
                <w:lang w:eastAsia="ko-KR"/>
              </w:rPr>
              <w:t>8</w:t>
            </w:r>
          </w:p>
        </w:tc>
        <w:tc>
          <w:tcPr>
            <w:tcW w:w="942"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57C428D1" w14:textId="3A50CF15" w:rsidR="00D3651D" w:rsidRPr="00D0236F" w:rsidRDefault="00484037"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281</w:t>
            </w:r>
          </w:p>
        </w:tc>
        <w:tc>
          <w:tcPr>
            <w:tcW w:w="1137"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1B5EB963" w14:textId="7F363427" w:rsidR="00D3651D" w:rsidRPr="00D0236F" w:rsidRDefault="00484037"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585</w:t>
            </w:r>
          </w:p>
        </w:tc>
      </w:tr>
      <w:tr w:rsidR="00D3651D" w:rsidRPr="00D0236F" w14:paraId="404FA5F1" w14:textId="77777777" w:rsidTr="00AA59CA">
        <w:trPr>
          <w:trHeight w:val="168"/>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FC46B90" w14:textId="77777777" w:rsidR="00D3651D" w:rsidRPr="00D0236F" w:rsidRDefault="00D3651D" w:rsidP="00AA59CA">
            <w:pPr>
              <w:pStyle w:val="BodyText"/>
              <w:spacing w:line="276" w:lineRule="auto"/>
              <w:jc w:val="both"/>
              <w:rPr>
                <w:rFonts w:eastAsiaTheme="minorEastAsia"/>
                <w:sz w:val="22"/>
                <w:szCs w:val="22"/>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2D5F5DA3"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Hospitalization</w:t>
            </w:r>
          </w:p>
        </w:tc>
        <w:tc>
          <w:tcPr>
            <w:tcW w:w="878"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3E980677"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w:t>
            </w:r>
          </w:p>
        </w:tc>
        <w:tc>
          <w:tcPr>
            <w:tcW w:w="910"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693CCB4F"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w:t>
            </w:r>
          </w:p>
        </w:tc>
        <w:tc>
          <w:tcPr>
            <w:tcW w:w="974"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5C508BDC"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3</w:t>
            </w:r>
          </w:p>
        </w:tc>
        <w:tc>
          <w:tcPr>
            <w:tcW w:w="942"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191261EC" w14:textId="48C826AC" w:rsidR="00D3651D" w:rsidRPr="00D0236F" w:rsidRDefault="00484037"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11</w:t>
            </w:r>
          </w:p>
        </w:tc>
        <w:tc>
          <w:tcPr>
            <w:tcW w:w="1137"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71435CE5" w14:textId="78CFE3E8" w:rsidR="00D3651D" w:rsidRPr="00D0236F" w:rsidRDefault="00484037"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16</w:t>
            </w:r>
          </w:p>
        </w:tc>
      </w:tr>
      <w:tr w:rsidR="00D3651D" w:rsidRPr="00D0236F" w14:paraId="75EBE5F5" w14:textId="77777777" w:rsidTr="00AA59CA">
        <w:trPr>
          <w:trHeight w:val="28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9DE5FE" w14:textId="77777777" w:rsidR="00D3651D" w:rsidRPr="00D0236F" w:rsidRDefault="00D3651D" w:rsidP="00AA59CA">
            <w:pPr>
              <w:pStyle w:val="BodyText"/>
              <w:spacing w:line="276" w:lineRule="auto"/>
              <w:jc w:val="both"/>
              <w:rPr>
                <w:rFonts w:eastAsiaTheme="minorEastAsia"/>
                <w:sz w:val="22"/>
                <w:szCs w:val="22"/>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268D1A24"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Infection hospitalization risk</w:t>
            </w:r>
          </w:p>
        </w:tc>
        <w:tc>
          <w:tcPr>
            <w:tcW w:w="878"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0E309AE4"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0.02</w:t>
            </w:r>
          </w:p>
        </w:tc>
        <w:tc>
          <w:tcPr>
            <w:tcW w:w="910"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79B2DF10"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0.01</w:t>
            </w:r>
          </w:p>
        </w:tc>
        <w:tc>
          <w:tcPr>
            <w:tcW w:w="974"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5E245887"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0.02</w:t>
            </w:r>
          </w:p>
        </w:tc>
        <w:tc>
          <w:tcPr>
            <w:tcW w:w="942"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33652CA7"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0.04</w:t>
            </w:r>
          </w:p>
        </w:tc>
        <w:tc>
          <w:tcPr>
            <w:tcW w:w="1137"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4B6ED4F0"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0.03</w:t>
            </w:r>
          </w:p>
        </w:tc>
      </w:tr>
    </w:tbl>
    <w:p w14:paraId="75E1E1FC" w14:textId="77777777" w:rsidR="00D3651D" w:rsidRPr="00D0236F" w:rsidRDefault="00D3651D" w:rsidP="00D3651D">
      <w:pPr>
        <w:pStyle w:val="BodyText"/>
        <w:spacing w:line="276" w:lineRule="auto"/>
        <w:jc w:val="both"/>
        <w:rPr>
          <w:rFonts w:eastAsiaTheme="minorEastAsia"/>
          <w:sz w:val="22"/>
          <w:szCs w:val="22"/>
          <w:lang w:eastAsia="ko-KR"/>
        </w:rPr>
      </w:pPr>
    </w:p>
    <w:p w14:paraId="75A775A8" w14:textId="77777777" w:rsidR="00D3651D" w:rsidRPr="00D0236F" w:rsidRDefault="00D3651D" w:rsidP="00D3651D">
      <w:pPr>
        <w:pStyle w:val="BodyText"/>
        <w:spacing w:line="276" w:lineRule="auto"/>
        <w:jc w:val="center"/>
        <w:rPr>
          <w:rFonts w:eastAsiaTheme="minorEastAsia"/>
          <w:sz w:val="22"/>
          <w:szCs w:val="22"/>
          <w:lang w:eastAsia="ko-KR"/>
        </w:rPr>
      </w:pPr>
      <w:r w:rsidRPr="00D0236F">
        <w:rPr>
          <w:rFonts w:eastAsiaTheme="minorEastAsia"/>
          <w:sz w:val="22"/>
          <w:szCs w:val="22"/>
          <w:lang w:eastAsia="ko-KR"/>
        </w:rPr>
        <w:t>Table S1. Infection hospitalization risks by immunity status and age groups.</w:t>
      </w:r>
    </w:p>
    <w:p w14:paraId="7D5A8E46" w14:textId="77777777" w:rsidR="0073762E" w:rsidRDefault="0073762E"/>
    <w:sectPr w:rsidR="0073762E" w:rsidSect="00433641">
      <w:pgSz w:w="11910" w:h="16840"/>
      <w:pgMar w:top="1300" w:right="620" w:bottom="1040" w:left="1300" w:header="0" w:footer="840" w:gutter="0"/>
      <w:lnNumType w:countBy="1" w:restart="continuous"/>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Youngji Jo" w:date="2024-08-19T11:41:00Z" w:initials="YJ">
    <w:p w14:paraId="4678384A" w14:textId="77777777" w:rsidR="00A42CCC" w:rsidRDefault="00A42CCC" w:rsidP="00A42CCC">
      <w:pPr>
        <w:pStyle w:val="CommentText"/>
      </w:pPr>
      <w:r>
        <w:rPr>
          <w:rStyle w:val="CommentReference"/>
        </w:rPr>
        <w:annotationRef/>
      </w:r>
      <w:hyperlink r:id="rId1" w:history="1">
        <w:r w:rsidRPr="009A00DB">
          <w:rPr>
            <w:rStyle w:val="Hyperlink"/>
            <w:highlight w:val="white"/>
          </w:rPr>
          <w:t>BMC Med.</w:t>
        </w:r>
      </w:hyperlink>
      <w:r>
        <w:rPr>
          <w:color w:val="212121"/>
          <w:highlight w:val="white"/>
        </w:rPr>
        <w:t> 2022; 20: 347.</w:t>
      </w:r>
    </w:p>
    <w:p w14:paraId="0D1449ED" w14:textId="77777777" w:rsidR="00A42CCC" w:rsidRDefault="00A42CCC" w:rsidP="00A42CCC">
      <w:pPr>
        <w:pStyle w:val="CommentText"/>
      </w:pPr>
      <w:r>
        <w:rPr>
          <w:color w:val="212121"/>
          <w:highlight w:val="white"/>
        </w:rPr>
        <w:t>Published online 2022 Sep 16. doi: </w:t>
      </w:r>
      <w:hyperlink r:id="rId2" w:history="1">
        <w:r w:rsidRPr="009A00DB">
          <w:rPr>
            <w:rStyle w:val="Hyperlink"/>
            <w:highlight w:val="white"/>
          </w:rPr>
          <w:t>10.1186/s12916-022-02547-2</w:t>
        </w:r>
      </w:hyperlink>
    </w:p>
    <w:p w14:paraId="5E64B0CF" w14:textId="77777777" w:rsidR="00A42CCC" w:rsidRDefault="00A42CCC" w:rsidP="00A42CCC">
      <w:pPr>
        <w:pStyle w:val="CommentText"/>
      </w:pPr>
    </w:p>
    <w:p w14:paraId="57DFD961" w14:textId="77777777" w:rsidR="00A42CCC" w:rsidRDefault="00A42CCC" w:rsidP="00A42CCC">
      <w:pPr>
        <w:pStyle w:val="CommentText"/>
      </w:pPr>
    </w:p>
    <w:p w14:paraId="41A33275" w14:textId="77777777" w:rsidR="00A42CCC" w:rsidRDefault="00A42CCC" w:rsidP="00A42CCC">
      <w:pPr>
        <w:pStyle w:val="CommentText"/>
        <w:ind w:left="20"/>
      </w:pPr>
      <w:r>
        <w:rPr>
          <w:color w:val="212121"/>
          <w:highlight w:val="white"/>
        </w:rPr>
        <w:t>PMCID: PMC9479347</w:t>
      </w:r>
    </w:p>
    <w:p w14:paraId="2CD392A3" w14:textId="77777777" w:rsidR="00A42CCC" w:rsidRDefault="00A42CCC" w:rsidP="00A42CCC">
      <w:pPr>
        <w:pStyle w:val="CommentText"/>
        <w:ind w:left="20"/>
      </w:pPr>
      <w:r>
        <w:rPr>
          <w:color w:val="212121"/>
          <w:highlight w:val="white"/>
        </w:rPr>
        <w:t>PMID: </w:t>
      </w:r>
      <w:hyperlink r:id="rId3" w:history="1">
        <w:r w:rsidRPr="009A00DB">
          <w:rPr>
            <w:rStyle w:val="Hyperlink"/>
            <w:highlight w:val="white"/>
          </w:rPr>
          <w:t>36109713</w:t>
        </w:r>
      </w:hyperlink>
    </w:p>
    <w:p w14:paraId="4BAD52C7" w14:textId="77777777" w:rsidR="00A42CCC" w:rsidRDefault="00A42CCC" w:rsidP="00A42CCC">
      <w:pPr>
        <w:pStyle w:val="CommentText"/>
        <w:ind w:left="20"/>
      </w:pPr>
    </w:p>
    <w:p w14:paraId="534D74C8" w14:textId="77777777" w:rsidR="00A42CCC" w:rsidRDefault="00A42CCC" w:rsidP="00A42CCC">
      <w:pPr>
        <w:pStyle w:val="CommentText"/>
      </w:pPr>
    </w:p>
    <w:p w14:paraId="7347E909" w14:textId="77777777" w:rsidR="00A42CCC" w:rsidRDefault="00A42CCC" w:rsidP="00A42CCC">
      <w:pPr>
        <w:pStyle w:val="CommentText"/>
      </w:pPr>
      <w:r>
        <w:rPr>
          <w:color w:val="000000"/>
          <w:highlight w:val="white"/>
        </w:rPr>
        <w:t>SARS-CoV-2 infection, vaccination, and antibody response trajectories in adults: a cohort study in Catalonia</w:t>
      </w:r>
    </w:p>
  </w:comment>
  <w:comment w:id="1" w:author="Youngji Jo" w:date="2024-08-19T14:03:00Z" w:initials="YJ">
    <w:p w14:paraId="0C943133" w14:textId="77777777" w:rsidR="005C5BA9" w:rsidRDefault="005C5BA9" w:rsidP="005C5BA9">
      <w:pPr>
        <w:pStyle w:val="CommentText"/>
      </w:pPr>
      <w:r>
        <w:rPr>
          <w:rStyle w:val="CommentReference"/>
        </w:rPr>
        <w:annotationRef/>
      </w:r>
      <w:r>
        <w:t>Long-term effectiveness of COVID-19 vaccines against infections, hospitalisations, and mortality in adults: findings from a rapid living systematic evidence synthesis and metaanalysis up to December, 2022 Nana Wu, Keven Joyal-Desmarais, Paula A B Ribeiro, Ariany Marques Vieira, Jovana Stojanovic, Comfort Sanuade, Doro Yip, Simon L Bacon</w:t>
      </w:r>
    </w:p>
  </w:comment>
  <w:comment w:id="2" w:author="Youngji Jo" w:date="2024-08-21T14:31:00Z" w:initials="YJ">
    <w:p w14:paraId="47AE06BD" w14:textId="77777777" w:rsidR="001A568B" w:rsidRDefault="001A568B" w:rsidP="001A568B">
      <w:pPr>
        <w:pStyle w:val="CommentText"/>
      </w:pPr>
      <w:r>
        <w:rPr>
          <w:rStyle w:val="CommentReference"/>
        </w:rPr>
        <w:annotationRef/>
      </w:r>
      <w:r>
        <w:rPr>
          <w:color w:val="222222"/>
          <w:highlight w:val="white"/>
        </w:rPr>
        <w:t>Pallett, S. J. C., Heskin, J., Mazzella, A., Groppelli, E. &amp; Moore L. S. P. Neutralising antibody titres as predictors of protection against SARS-CoV-2 variants. </w:t>
      </w:r>
      <w:r>
        <w:rPr>
          <w:i/>
          <w:iCs/>
          <w:color w:val="222222"/>
          <w:highlight w:val="white"/>
        </w:rPr>
        <w:t>Lancet Microbe</w:t>
      </w:r>
      <w:r>
        <w:rPr>
          <w:color w:val="222222"/>
          <w:highlight w:val="white"/>
        </w:rPr>
        <w:t> </w:t>
      </w:r>
      <w:r>
        <w:rPr>
          <w:b/>
          <w:bCs/>
          <w:color w:val="222222"/>
          <w:highlight w:val="white"/>
        </w:rPr>
        <w:t>3</w:t>
      </w:r>
      <w:r>
        <w:rPr>
          <w:color w:val="222222"/>
          <w:highlight w:val="white"/>
        </w:rPr>
        <w:t>, e167 (2022).</w:t>
      </w:r>
      <w:r>
        <w:t xml:space="preserve"> </w:t>
      </w:r>
    </w:p>
  </w:comment>
  <w:comment w:id="3" w:author="Youngji Jo" w:date="2024-08-19T11:42:00Z" w:initials="YJ">
    <w:p w14:paraId="5ABFB21F" w14:textId="6EA6C437" w:rsidR="00A42CCC" w:rsidRDefault="00A42CCC" w:rsidP="00A42CCC">
      <w:pPr>
        <w:pStyle w:val="CommentText"/>
      </w:pPr>
      <w:r>
        <w:rPr>
          <w:rStyle w:val="CommentReference"/>
        </w:rPr>
        <w:annotationRef/>
      </w:r>
      <w:r>
        <w:rPr>
          <w:color w:val="212121"/>
          <w:highlight w:val="white"/>
        </w:rPr>
        <w:t>1. Ward H, Whitaker M, Flower B, Tang SN, Atchison C, Darzi A, et al. Population antibody responses following COVID-19 vaccination in 212,102 individuals. </w:t>
      </w:r>
      <w:r>
        <w:rPr>
          <w:i/>
          <w:iCs/>
          <w:color w:val="212121"/>
          <w:highlight w:val="white"/>
        </w:rPr>
        <w:t>Nat Commun. </w:t>
      </w:r>
      <w:r>
        <w:rPr>
          <w:color w:val="212121"/>
          <w:highlight w:val="white"/>
        </w:rPr>
        <w:t>2022;</w:t>
      </w:r>
      <w:r>
        <w:rPr>
          <w:b/>
          <w:bCs/>
          <w:color w:val="212121"/>
          <w:highlight w:val="white"/>
        </w:rPr>
        <w:t>13</w:t>
      </w:r>
      <w:r>
        <w:rPr>
          <w:color w:val="212121"/>
          <w:highlight w:val="white"/>
        </w:rPr>
        <w:t>:907. doi: 10.1038/s41467-022-28527-x. [</w:t>
      </w:r>
      <w:hyperlink r:id="rId4" w:history="1">
        <w:r w:rsidRPr="00F45B1C">
          <w:rPr>
            <w:rStyle w:val="Hyperlink"/>
            <w:highlight w:val="white"/>
          </w:rPr>
          <w:t>PMC free article</w:t>
        </w:r>
      </w:hyperlink>
      <w:r>
        <w:rPr>
          <w:color w:val="212121"/>
          <w:highlight w:val="white"/>
        </w:rPr>
        <w:t>] [</w:t>
      </w:r>
      <w:hyperlink r:id="rId5" w:history="1">
        <w:r w:rsidRPr="00F45B1C">
          <w:rPr>
            <w:rStyle w:val="Hyperlink"/>
            <w:highlight w:val="white"/>
          </w:rPr>
          <w:t>PubMed</w:t>
        </w:r>
      </w:hyperlink>
      <w:r>
        <w:rPr>
          <w:color w:val="212121"/>
          <w:highlight w:val="white"/>
        </w:rPr>
        <w:t>] [</w:t>
      </w:r>
      <w:hyperlink r:id="rId6" w:history="1">
        <w:r w:rsidRPr="00F45B1C">
          <w:rPr>
            <w:rStyle w:val="Hyperlink"/>
            <w:highlight w:val="white"/>
          </w:rPr>
          <w:t>CrossRef</w:t>
        </w:r>
      </w:hyperlink>
      <w:r>
        <w:rPr>
          <w:color w:val="212121"/>
          <w:highlight w:val="white"/>
        </w:rPr>
        <w:t>] [</w:t>
      </w:r>
      <w:hyperlink r:id="rId7" w:history="1">
        <w:r w:rsidRPr="00F45B1C">
          <w:rPr>
            <w:rStyle w:val="Hyperlink"/>
            <w:highlight w:val="white"/>
          </w:rPr>
          <w:t>Google Scholar</w:t>
        </w:r>
      </w:hyperlink>
      <w:r>
        <w:rPr>
          <w:color w:val="212121"/>
          <w:highlight w:val="white"/>
        </w:rPr>
        <w:t>]</w:t>
      </w:r>
    </w:p>
    <w:p w14:paraId="10C31092" w14:textId="77777777" w:rsidR="00A42CCC" w:rsidRDefault="00A42CCC" w:rsidP="00A42CCC">
      <w:pPr>
        <w:pStyle w:val="CommentText"/>
      </w:pPr>
      <w:r>
        <w:rPr>
          <w:color w:val="212121"/>
          <w:highlight w:val="white"/>
        </w:rPr>
        <w:t>2. Moncunill G, Aguilar R, Ribes M, Ortega N, Rubio R, Salmerón G, et al. Determinants of early antibody responses to COVID-19 mRNA vaccines in a cohort of exposed and naïve healthcare workers. </w:t>
      </w:r>
      <w:r>
        <w:rPr>
          <w:i/>
          <w:iCs/>
          <w:color w:val="212121"/>
          <w:highlight w:val="white"/>
        </w:rPr>
        <w:t>EBioMedicine. </w:t>
      </w:r>
      <w:r>
        <w:rPr>
          <w:color w:val="212121"/>
          <w:highlight w:val="white"/>
        </w:rPr>
        <w:t>2022;</w:t>
      </w:r>
      <w:r>
        <w:rPr>
          <w:b/>
          <w:bCs/>
          <w:color w:val="212121"/>
          <w:highlight w:val="white"/>
        </w:rPr>
        <w:t>75</w:t>
      </w:r>
      <w:r>
        <w:rPr>
          <w:color w:val="212121"/>
          <w:highlight w:val="white"/>
        </w:rPr>
        <w:t>:103805. doi: 10.1016/j.ebiom.2021.103805. [</w:t>
      </w:r>
      <w:hyperlink r:id="rId8" w:history="1">
        <w:r w:rsidRPr="00F45B1C">
          <w:rPr>
            <w:rStyle w:val="Hyperlink"/>
            <w:highlight w:val="white"/>
          </w:rPr>
          <w:t>PMC free article</w:t>
        </w:r>
      </w:hyperlink>
      <w:r>
        <w:rPr>
          <w:color w:val="212121"/>
          <w:highlight w:val="white"/>
        </w:rPr>
        <w:t>] [</w:t>
      </w:r>
      <w:hyperlink r:id="rId9" w:history="1">
        <w:r w:rsidRPr="00F45B1C">
          <w:rPr>
            <w:rStyle w:val="Hyperlink"/>
            <w:highlight w:val="white"/>
          </w:rPr>
          <w:t>PubMed</w:t>
        </w:r>
      </w:hyperlink>
      <w:r>
        <w:rPr>
          <w:color w:val="212121"/>
          <w:highlight w:val="white"/>
        </w:rPr>
        <w:t>] [</w:t>
      </w:r>
      <w:hyperlink r:id="rId10" w:history="1">
        <w:r w:rsidRPr="00F45B1C">
          <w:rPr>
            <w:rStyle w:val="Hyperlink"/>
            <w:highlight w:val="white"/>
          </w:rPr>
          <w:t>CrossRef</w:t>
        </w:r>
      </w:hyperlink>
      <w:r>
        <w:rPr>
          <w:color w:val="212121"/>
          <w:highlight w:val="white"/>
        </w:rPr>
        <w:t>] [</w:t>
      </w:r>
      <w:hyperlink r:id="rId11" w:history="1">
        <w:r w:rsidRPr="00F45B1C">
          <w:rPr>
            <w:rStyle w:val="Hyperlink"/>
            <w:highlight w:val="white"/>
          </w:rPr>
          <w:t>Google Scholar</w:t>
        </w:r>
      </w:hyperlink>
      <w:r>
        <w:rPr>
          <w:color w:val="212121"/>
          <w:highlight w:val="white"/>
        </w:rPr>
        <w:t>]</w:t>
      </w:r>
    </w:p>
  </w:comment>
  <w:comment w:id="4" w:author="Youngji Jo" w:date="2024-08-23T09:54:00Z" w:initials="YJ">
    <w:p w14:paraId="292CBA19" w14:textId="77777777" w:rsidR="006D271F" w:rsidRDefault="006D271F" w:rsidP="006D271F">
      <w:pPr>
        <w:pStyle w:val="CommentText"/>
      </w:pPr>
      <w:r>
        <w:rPr>
          <w:rStyle w:val="CommentReference"/>
        </w:rPr>
        <w:annotationRef/>
      </w:r>
      <w:hyperlink r:id="rId12" w:history="1">
        <w:r w:rsidRPr="006D328A">
          <w:rPr>
            <w:rStyle w:val="Hyperlink"/>
          </w:rPr>
          <w:t>https://www.nature.com/articles/s41598-023-45718-8</w:t>
        </w:r>
      </w:hyperlink>
    </w:p>
  </w:comment>
  <w:comment w:id="5" w:author="Youngji Jo" w:date="2024-08-22T13:54:00Z" w:initials="YJ">
    <w:p w14:paraId="23ECFBF5" w14:textId="765DE110" w:rsidR="008A43BA" w:rsidRDefault="008A43BA" w:rsidP="008A43BA">
      <w:pPr>
        <w:pStyle w:val="CommentText"/>
      </w:pPr>
      <w:r>
        <w:rPr>
          <w:rStyle w:val="CommentReference"/>
        </w:rPr>
        <w:annotationRef/>
      </w:r>
      <w:hyperlink r:id="rId13" w:history="1">
        <w:r w:rsidRPr="00FB232A">
          <w:rPr>
            <w:rStyle w:val="Hyperlink"/>
          </w:rPr>
          <w:t>https://www.who.int/news/item/01-06-2022-interim-statement-on-hybrid-immunity-and-increasing-population-seroprevalence-rates</w:t>
        </w:r>
      </w:hyperlink>
    </w:p>
  </w:comment>
  <w:comment w:id="6" w:author="Youngji Jo" w:date="2024-08-23T16:34:00Z" w:initials="YJ">
    <w:p w14:paraId="74422734" w14:textId="77777777" w:rsidR="00110837" w:rsidRDefault="00110837" w:rsidP="00110837">
      <w:pPr>
        <w:pStyle w:val="CommentText"/>
      </w:pPr>
      <w:r>
        <w:rPr>
          <w:rStyle w:val="CommentReference"/>
        </w:rPr>
        <w:annotationRef/>
      </w:r>
      <w:hyperlink r:id="rId14" w:history="1">
        <w:r w:rsidRPr="00CA360C">
          <w:rPr>
            <w:rStyle w:val="Hyperlink"/>
          </w:rPr>
          <w:t>https://www.nature.com/articles/s41577-021-00662-4</w:t>
        </w:r>
      </w:hyperlink>
    </w:p>
  </w:comment>
  <w:comment w:id="7" w:author="Youngji Jo" w:date="2024-08-19T14:39:00Z" w:initials="YJ">
    <w:p w14:paraId="3ADEE762" w14:textId="181FF6AF" w:rsidR="00856875" w:rsidRDefault="00856875" w:rsidP="00856875">
      <w:pPr>
        <w:pStyle w:val="CommentText"/>
      </w:pPr>
      <w:r>
        <w:rPr>
          <w:rStyle w:val="CommentReference"/>
        </w:rPr>
        <w:annotationRef/>
      </w:r>
      <w:r>
        <w:t xml:space="preserve">WHO Interim statement on hybrid immunity and increasing population seroprevalence rates. World Health Organization. </w:t>
      </w:r>
      <w:hyperlink r:id="rId15" w:history="1">
        <w:r w:rsidRPr="00E41877">
          <w:rPr>
            <w:rStyle w:val="Hyperlink"/>
          </w:rPr>
          <w:t>https://www.who.int/news/item/01-06-2022-interim-statement-onhybrid-immunity-and-increasing-population-seroprevalence-rates</w:t>
        </w:r>
      </w:hyperlink>
      <w:r>
        <w:t xml:space="preserve"> (accessed Oct 9, 2022).</w:t>
      </w:r>
    </w:p>
  </w:comment>
  <w:comment w:id="8" w:author="Youngji Jo" w:date="2024-08-23T10:10:00Z" w:initials="YJ">
    <w:p w14:paraId="7DEC4FAB" w14:textId="77777777" w:rsidR="00E74379" w:rsidRDefault="00E74379" w:rsidP="00E74379">
      <w:pPr>
        <w:pStyle w:val="CommentText"/>
      </w:pPr>
      <w:r>
        <w:rPr>
          <w:rStyle w:val="CommentReference"/>
        </w:rPr>
        <w:annotationRef/>
      </w:r>
      <w:hyperlink r:id="rId16" w:history="1">
        <w:r w:rsidRPr="00434008">
          <w:rPr>
            <w:rStyle w:val="Hyperlink"/>
          </w:rPr>
          <w:t>https://www.nature.com/articles/s41598-023-45718-8</w:t>
        </w:r>
      </w:hyperlink>
    </w:p>
  </w:comment>
  <w:comment w:id="10" w:author="Youngji Jo" w:date="2024-08-23T10:18:00Z" w:initials="YJ">
    <w:p w14:paraId="79FD16F8" w14:textId="77777777" w:rsidR="00923F27" w:rsidRDefault="00E74379" w:rsidP="00923F27">
      <w:pPr>
        <w:pStyle w:val="CommentText"/>
      </w:pPr>
      <w:r>
        <w:rPr>
          <w:rStyle w:val="CommentReference"/>
        </w:rPr>
        <w:annotationRef/>
      </w:r>
      <w:r w:rsidR="00923F27">
        <w:t xml:space="preserve">Add one sentence how the 9945 study sample are selected </w:t>
      </w:r>
    </w:p>
    <w:p w14:paraId="7D671F00" w14:textId="77777777" w:rsidR="00923F27" w:rsidRDefault="00923F27" w:rsidP="00923F27">
      <w:pPr>
        <w:pStyle w:val="CommentText"/>
      </w:pPr>
    </w:p>
    <w:p w14:paraId="02BEB91A" w14:textId="77777777" w:rsidR="00923F27" w:rsidRDefault="00923F27" w:rsidP="00923F27">
      <w:pPr>
        <w:pStyle w:val="CommentText"/>
      </w:pPr>
      <w:r>
        <w:t>Also add one sentence why 3259 population were excluded. Is it only based on no record? I think the follow up rate was quite high as &gt;80%. I think this exclusion is only based on those who just do NOT have S ab record in the second survey (not necessarily do did not participate in the 2</w:t>
      </w:r>
      <w:r>
        <w:rPr>
          <w:vertAlign w:val="superscript"/>
        </w:rPr>
        <w:t>nd</w:t>
      </w:r>
      <w:r>
        <w:t xml:space="preserve"> survey at all), correct??</w:t>
      </w:r>
    </w:p>
  </w:comment>
  <w:comment w:id="11" w:author="Youngji Jo" w:date="2024-08-23T10:19:00Z" w:initials="YJ">
    <w:p w14:paraId="6458171E" w14:textId="172EE20D" w:rsidR="00E74379" w:rsidRDefault="00E74379" w:rsidP="00E74379">
      <w:pPr>
        <w:pStyle w:val="CommentText"/>
      </w:pPr>
      <w:r>
        <w:rPr>
          <w:rStyle w:val="CommentReference"/>
        </w:rPr>
        <w:annotationRef/>
      </w:r>
      <w:r>
        <w:t>Simiarly, add one sentence why those with vaccination between 1</w:t>
      </w:r>
      <w:r>
        <w:rPr>
          <w:vertAlign w:val="superscript"/>
        </w:rPr>
        <w:t>st</w:t>
      </w:r>
      <w:r>
        <w:t xml:space="preserve"> and 2</w:t>
      </w:r>
      <w:r>
        <w:rPr>
          <w:vertAlign w:val="superscript"/>
        </w:rPr>
        <w:t>nd</w:t>
      </w:r>
      <w:r>
        <w:t xml:space="preserve"> surveillance was exclued. </w:t>
      </w:r>
    </w:p>
  </w:comment>
  <w:comment w:id="12" w:author="Youngji Jo" w:date="2024-08-23T10:21:00Z" w:initials="YJ">
    <w:p w14:paraId="384BBFC0" w14:textId="77777777" w:rsidR="00923F27" w:rsidRDefault="00923F27" w:rsidP="00923F27">
      <w:pPr>
        <w:pStyle w:val="CommentText"/>
      </w:pPr>
      <w:r>
        <w:rPr>
          <w:rStyle w:val="CommentReference"/>
        </w:rPr>
        <w:annotationRef/>
      </w:r>
      <w:r>
        <w:t>Define and add one sentence how the infection event was defined between 1</w:t>
      </w:r>
      <w:r>
        <w:rPr>
          <w:vertAlign w:val="superscript"/>
        </w:rPr>
        <w:t>st</w:t>
      </w:r>
      <w:r>
        <w:t xml:space="preserve"> and 2</w:t>
      </w:r>
      <w:r>
        <w:rPr>
          <w:vertAlign w:val="superscript"/>
        </w:rPr>
        <w:t>nd</w:t>
      </w:r>
      <w:r>
        <w:t xml:space="preserve"> survey. Is it only based on the self-report and confirmed diagnosis? </w:t>
      </w:r>
    </w:p>
    <w:p w14:paraId="4D0803DD" w14:textId="77777777" w:rsidR="00923F27" w:rsidRDefault="00923F27" w:rsidP="00923F27">
      <w:pPr>
        <w:pStyle w:val="CommentText"/>
      </w:pPr>
    </w:p>
    <w:p w14:paraId="14E85FD4" w14:textId="77777777" w:rsidR="00923F27" w:rsidRDefault="00923F27" w:rsidP="00923F27">
      <w:pPr>
        <w:pStyle w:val="CommentText"/>
      </w:pPr>
      <w:r>
        <w:t xml:space="preserve">By this definition, think who are we potentially missing and address that point in the limitation. </w:t>
      </w:r>
    </w:p>
  </w:comment>
  <w:comment w:id="13" w:author="Youngji Jo" w:date="2024-08-19T15:18:00Z" w:initials="YJ">
    <w:p w14:paraId="21054B53" w14:textId="6F5E1892" w:rsidR="00AC19CD" w:rsidRDefault="00AC19CD" w:rsidP="00AC19CD">
      <w:pPr>
        <w:pStyle w:val="CommentText"/>
      </w:pPr>
      <w:r>
        <w:rPr>
          <w:rStyle w:val="CommentReference"/>
        </w:rPr>
        <w:annotationRef/>
      </w:r>
      <w:hyperlink r:id="rId17" w:history="1">
        <w:r w:rsidRPr="006C24ED">
          <w:rPr>
            <w:rStyle w:val="Hyperlink"/>
          </w:rPr>
          <w:t>https://www.ncbi.nlm.nih.gov/pmc/articles/PMC10728614/</w:t>
        </w:r>
      </w:hyperlink>
    </w:p>
  </w:comment>
  <w:comment w:id="15" w:author="Youngji Jo" w:date="2024-08-21T16:51:00Z" w:initials="YJ">
    <w:p w14:paraId="42A2D167" w14:textId="77777777" w:rsidR="006D6499" w:rsidRDefault="006D6499" w:rsidP="006D6499">
      <w:pPr>
        <w:pStyle w:val="CommentText"/>
      </w:pPr>
      <w:r>
        <w:rPr>
          <w:rStyle w:val="CommentReference"/>
        </w:rPr>
        <w:annotationRef/>
      </w:r>
      <w:r>
        <w:t>Did we use 3 different statistical models here?  Logistic regression (Appendix Fig) / cox proportional hazard /mixed effect logistic regression..?</w:t>
      </w:r>
    </w:p>
    <w:p w14:paraId="7B4830A2" w14:textId="77777777" w:rsidR="006D6499" w:rsidRDefault="006D6499" w:rsidP="006D6499">
      <w:pPr>
        <w:pStyle w:val="CommentText"/>
      </w:pPr>
    </w:p>
    <w:p w14:paraId="1B7EBD5A" w14:textId="77777777" w:rsidR="006D6499" w:rsidRDefault="006D6499" w:rsidP="006D6499">
      <w:pPr>
        <w:pStyle w:val="CommentText"/>
      </w:pPr>
    </w:p>
    <w:p w14:paraId="6832DAF8" w14:textId="77777777" w:rsidR="006D6499" w:rsidRDefault="006D6499" w:rsidP="006D6499">
      <w:pPr>
        <w:pStyle w:val="CommentText"/>
      </w:pPr>
      <w:r>
        <w:t>Logistic regression - association with individual characteristics within hyb/vac group to event</w:t>
      </w:r>
    </w:p>
    <w:p w14:paraId="02073B8E" w14:textId="77777777" w:rsidR="006D6499" w:rsidRDefault="006D6499" w:rsidP="006D6499">
      <w:pPr>
        <w:pStyle w:val="CommentText"/>
      </w:pPr>
      <w:r>
        <w:t>Cox model - time to event</w:t>
      </w:r>
    </w:p>
    <w:p w14:paraId="6A8479CB" w14:textId="77777777" w:rsidR="006D6499" w:rsidRDefault="006D6499" w:rsidP="006D6499">
      <w:pPr>
        <w:pStyle w:val="CommentText"/>
      </w:pPr>
      <w:r>
        <w:t>Mixed effect - association with S ab to event</w:t>
      </w:r>
    </w:p>
    <w:p w14:paraId="77415E53" w14:textId="77777777" w:rsidR="006D6499" w:rsidRDefault="006D6499" w:rsidP="006D6499">
      <w:pPr>
        <w:pStyle w:val="CommentText"/>
      </w:pPr>
    </w:p>
    <w:p w14:paraId="58ACF3E2" w14:textId="77777777" w:rsidR="006D6499" w:rsidRDefault="006D6499" w:rsidP="006D6499">
      <w:pPr>
        <w:pStyle w:val="CommentText"/>
      </w:pPr>
      <w:r>
        <w:t>So did we use the logistic model to identify the confounding factors and the results/findings are used to build the cox model and mixed effect model?</w:t>
      </w:r>
    </w:p>
  </w:comment>
  <w:comment w:id="16" w:author="Youngji Jo" w:date="2024-08-21T16:52:00Z" w:initials="YJ">
    <w:p w14:paraId="66AD89FF" w14:textId="77777777" w:rsidR="006D6499" w:rsidRDefault="006D6499" w:rsidP="006D6499">
      <w:pPr>
        <w:pStyle w:val="CommentText"/>
      </w:pPr>
      <w:r>
        <w:rPr>
          <w:rStyle w:val="CommentReference"/>
        </w:rPr>
        <w:annotationRef/>
      </w:r>
      <w:r>
        <w:t>We may better clarify why and what the 3 different methods we used in this paragraph.</w:t>
      </w:r>
    </w:p>
  </w:comment>
  <w:comment w:id="19" w:author="Youngji Jo" w:date="2024-08-21T15:01:00Z" w:initials="YJ">
    <w:p w14:paraId="1A7C389F" w14:textId="5274345C" w:rsidR="007B4FC3" w:rsidRDefault="007B4FC3" w:rsidP="007B4FC3">
      <w:pPr>
        <w:pStyle w:val="CommentText"/>
      </w:pPr>
      <w:r>
        <w:rPr>
          <w:rStyle w:val="CommentReference"/>
        </w:rPr>
        <w:annotationRef/>
      </w:r>
      <w:r>
        <w:t>Specify which confounding variables did you adjusted for NCC</w:t>
      </w:r>
    </w:p>
  </w:comment>
  <w:comment w:id="18" w:author="Youngji Jo" w:date="2024-08-19T10:29:00Z" w:initials="YJ">
    <w:p w14:paraId="6A7A5A99" w14:textId="1F46855A" w:rsidR="0034613C" w:rsidRDefault="0034613C" w:rsidP="0034613C">
      <w:pPr>
        <w:pStyle w:val="CommentText"/>
      </w:pPr>
      <w:r>
        <w:rPr>
          <w:rStyle w:val="CommentReference"/>
        </w:rPr>
        <w:annotationRef/>
      </w:r>
      <w:r>
        <w:t>The NCC was done before the KM survival analyses?</w:t>
      </w:r>
    </w:p>
  </w:comment>
  <w:comment w:id="20" w:author="Youngji Jo" w:date="2024-08-21T15:02:00Z" w:initials="YJ">
    <w:p w14:paraId="79364357" w14:textId="77777777" w:rsidR="007B4FC3" w:rsidRDefault="007B4FC3" w:rsidP="007B4FC3">
      <w:pPr>
        <w:pStyle w:val="CommentText"/>
      </w:pPr>
      <w:r>
        <w:rPr>
          <w:rStyle w:val="CommentReference"/>
        </w:rPr>
        <w:annotationRef/>
      </w:r>
      <w:r>
        <w:t>Again, specify which confouders did you adjust for Cox regression. We may also need to define the statistical formula/equation in the appendix?</w:t>
      </w:r>
    </w:p>
  </w:comment>
  <w:comment w:id="21" w:author="Youngji Jo" w:date="2024-08-21T15:53:00Z" w:initials="YJ">
    <w:p w14:paraId="5152B466" w14:textId="77777777" w:rsidR="001B0213" w:rsidRDefault="001B0213" w:rsidP="001B0213">
      <w:pPr>
        <w:pStyle w:val="CommentText"/>
      </w:pPr>
      <w:r>
        <w:rPr>
          <w:rStyle w:val="CommentReference"/>
        </w:rPr>
        <w:annotationRef/>
      </w:r>
      <w:r>
        <w:t xml:space="preserve">Please upload your codes to the github and add the link here. </w:t>
      </w:r>
    </w:p>
  </w:comment>
  <w:comment w:id="24" w:author="Jo,Youngji" w:date="2024-09-10T12:30:00Z" w:initials="YJ">
    <w:p w14:paraId="03223C18" w14:textId="77777777" w:rsidR="001D07B1" w:rsidRDefault="001D07B1" w:rsidP="001D07B1">
      <w:pPr>
        <w:pStyle w:val="CommentText"/>
      </w:pPr>
      <w:r>
        <w:rPr>
          <w:rStyle w:val="CommentReference"/>
        </w:rPr>
        <w:annotationRef/>
      </w:r>
      <w:r>
        <w:t>Do we also need to adjust “time since immunological event” in this model?</w:t>
      </w:r>
    </w:p>
  </w:comment>
  <w:comment w:id="25" w:author="Jo,Youngji" w:date="2024-09-10T12:31:00Z" w:initials="YJ">
    <w:p w14:paraId="0D529A15" w14:textId="77777777" w:rsidR="001D07B1" w:rsidRDefault="001D07B1" w:rsidP="001D07B1">
      <w:pPr>
        <w:pStyle w:val="CommentText"/>
      </w:pPr>
      <w:r>
        <w:rPr>
          <w:rStyle w:val="CommentReference"/>
        </w:rPr>
        <w:annotationRef/>
      </w:r>
      <w:r>
        <w:t>Or Cox hazard is already adjusting this aspect?</w:t>
      </w:r>
    </w:p>
  </w:comment>
  <w:comment w:id="26" w:author="Youngji Jo" w:date="2024-08-23T09:41:00Z" w:initials="YJ">
    <w:p w14:paraId="157E0233" w14:textId="3C0C5F62" w:rsidR="001F5E3E" w:rsidRDefault="001F5E3E" w:rsidP="001F5E3E">
      <w:pPr>
        <w:pStyle w:val="CommentText"/>
      </w:pPr>
      <w:r>
        <w:rPr>
          <w:rStyle w:val="CommentReference"/>
        </w:rPr>
        <w:annotationRef/>
      </w:r>
      <w:r>
        <w:t>Change “S ab from !st survey” to “S antibody from the 1</w:t>
      </w:r>
      <w:r>
        <w:rPr>
          <w:vertAlign w:val="superscript"/>
        </w:rPr>
        <w:t>st</w:t>
      </w:r>
      <w:r>
        <w:t xml:space="preserve"> surveillance” in the X asis</w:t>
      </w:r>
    </w:p>
  </w:comment>
  <w:comment w:id="27" w:author="Youngji Jo" w:date="2024-08-23T16:34:00Z" w:initials="YJ">
    <w:p w14:paraId="6589A96A" w14:textId="77777777" w:rsidR="00110837" w:rsidRDefault="00110837" w:rsidP="00110837">
      <w:pPr>
        <w:pStyle w:val="CommentText"/>
      </w:pPr>
      <w:r>
        <w:rPr>
          <w:rStyle w:val="CommentReference"/>
        </w:rPr>
        <w:annotationRef/>
      </w:r>
      <w:r>
        <w:t>Define “infection index” more specifically: Is this probability of remaining infection free?</w:t>
      </w:r>
    </w:p>
  </w:comment>
  <w:comment w:id="29" w:author="Youngji Jo" w:date="2024-08-19T15:22:00Z" w:initials="YJ">
    <w:p w14:paraId="3C175F5C" w14:textId="427072B8" w:rsidR="00107EC3" w:rsidRDefault="00107EC3" w:rsidP="00107EC3">
      <w:pPr>
        <w:pStyle w:val="CommentText"/>
      </w:pPr>
      <w:r>
        <w:rPr>
          <w:rStyle w:val="CommentReference"/>
        </w:rPr>
        <w:annotationRef/>
      </w:r>
      <w:hyperlink r:id="rId18" w:history="1">
        <w:r w:rsidRPr="00D2117F">
          <w:rPr>
            <w:rStyle w:val="Hyperlink"/>
          </w:rPr>
          <w:t>https://www.e-epih.org/journal/view.php?number=1276</w:t>
        </w:r>
      </w:hyperlink>
    </w:p>
  </w:comment>
  <w:comment w:id="30" w:author="Youngji Jo" w:date="2024-08-21T16:35:00Z" w:initials="YJ">
    <w:p w14:paraId="453050CC" w14:textId="77777777" w:rsidR="00A72734" w:rsidRDefault="00A72734" w:rsidP="00A72734">
      <w:pPr>
        <w:pStyle w:val="CommentText"/>
      </w:pPr>
      <w:r>
        <w:rPr>
          <w:rStyle w:val="CommentReference"/>
        </w:rPr>
        <w:annotationRef/>
      </w:r>
      <w:r>
        <w:t>Can you please examine this part more in detail? We need to give clear explanation why more vaccination of hybrid groups resulted more infection risks. What are the determinants? – this will give key insights about booster vaccination strategy for hybrid group (which is the major group now and future)</w:t>
      </w:r>
    </w:p>
  </w:comment>
  <w:comment w:id="31" w:author="Jo,Youngji" w:date="2024-09-10T12:11:00Z" w:initials="YJ">
    <w:p w14:paraId="69987594" w14:textId="77777777" w:rsidR="00A72734" w:rsidRDefault="00A72734" w:rsidP="00A72734">
      <w:pPr>
        <w:pStyle w:val="CommentText"/>
      </w:pPr>
      <w:r>
        <w:rPr>
          <w:rStyle w:val="CommentReference"/>
        </w:rPr>
        <w:annotationRef/>
      </w:r>
      <w:hyperlink r:id="rId19" w:history="1">
        <w:r w:rsidRPr="00FA21E9">
          <w:rPr>
            <w:rStyle w:val="Hyperlink"/>
          </w:rPr>
          <w:t>https://www.ncbi.nlm.nih.gov/pmc/articles/PMC9482842/</w:t>
        </w:r>
      </w:hyperlink>
    </w:p>
  </w:comment>
  <w:comment w:id="32" w:author="Jo,Youngji" w:date="2024-09-10T12:55:00Z" w:initials="YJ">
    <w:p w14:paraId="79A98734" w14:textId="77777777" w:rsidR="001A5699" w:rsidRDefault="001A5699" w:rsidP="001A5699">
      <w:pPr>
        <w:pStyle w:val="CommentText"/>
      </w:pPr>
      <w:r>
        <w:rPr>
          <w:rStyle w:val="CommentReference"/>
        </w:rPr>
        <w:annotationRef/>
      </w:r>
      <w:hyperlink r:id="rId20" w:history="1">
        <w:r w:rsidRPr="00002E67">
          <w:rPr>
            <w:rStyle w:val="Hyperlink"/>
          </w:rPr>
          <w:t>https://www.thelancet.com/journals/lanmic/article/PIIS2666-5247(23)00103-9/fulltext</w:t>
        </w:r>
      </w:hyperlink>
    </w:p>
  </w:comment>
  <w:comment w:id="33" w:author="Youngji Jo" w:date="2024-08-21T16:55:00Z" w:initials="YJ">
    <w:p w14:paraId="7B221381" w14:textId="77777777" w:rsidR="00000905" w:rsidRDefault="00000905" w:rsidP="00000905">
      <w:pPr>
        <w:pStyle w:val="CommentText"/>
      </w:pPr>
      <w:r>
        <w:rPr>
          <w:rStyle w:val="CommentReference"/>
        </w:rPr>
        <w:annotationRef/>
      </w:r>
      <w:hyperlink r:id="rId21" w:history="1">
        <w:r w:rsidRPr="00180827">
          <w:rPr>
            <w:rStyle w:val="Hyperlink"/>
          </w:rPr>
          <w:t>https://www.thelancet.com/journals/lanmic/article/PIIS2666-5247(23)00103-9/fulltext</w:t>
        </w:r>
      </w:hyperlink>
    </w:p>
  </w:comment>
  <w:comment w:id="34" w:author="Jo,Youngji" w:date="2024-09-09T16:55:00Z" w:initials="YJ">
    <w:p w14:paraId="3B0D0DEA" w14:textId="1116DC47" w:rsidR="00A04B29" w:rsidRDefault="00A04B29" w:rsidP="00A04B29">
      <w:pPr>
        <w:pStyle w:val="CommentText"/>
      </w:pPr>
      <w:r>
        <w:rPr>
          <w:rStyle w:val="CommentReference"/>
        </w:rPr>
        <w:annotationRef/>
      </w:r>
      <w:r>
        <w:rPr>
          <w:color w:val="3C4245"/>
        </w:rPr>
        <w:t>The need for, and optimal timing of, the primary vaccination series and booster doses may differ according to whether individuals have had a SARS-CoV-2 infection. At a population level, the number of doses and inter-dose interval, including for booster doses, may differ between settings with high and lower seroprevalence resulting from infection-induced immunity</w:t>
      </w:r>
      <w:r>
        <w:rPr>
          <w:color w:val="3C4245"/>
          <w:vertAlign w:val="superscript"/>
        </w:rPr>
        <w:t>16</w:t>
      </w:r>
      <w:r>
        <w:rPr>
          <w:color w:val="3C4245"/>
        </w:rPr>
        <w:t>.  These considerations may be particularly important in identifying simplified vaccination schedule in lower-priority use groups identified in the WHO Roadmap prioritizing use of COVID-19 vaccines</w:t>
      </w:r>
      <w:r>
        <w:rPr>
          <w:color w:val="3C4245"/>
          <w:vertAlign w:val="superscript"/>
        </w:rPr>
        <w:t>16</w:t>
      </w:r>
      <w:r>
        <w:rPr>
          <w:color w:val="3C4245"/>
        </w:rPr>
        <w:t>.</w:t>
      </w:r>
    </w:p>
    <w:p w14:paraId="1012CF79" w14:textId="77777777" w:rsidR="00A04B29" w:rsidRDefault="00A04B29" w:rsidP="00A04B29">
      <w:pPr>
        <w:pStyle w:val="CommentText"/>
      </w:pPr>
      <w:r>
        <w:rPr>
          <w:color w:val="3C4245"/>
        </w:rPr>
        <w:t>Any policy regarding the vaccination of lower priority use groups should involve clear specification of the value of vaccination under consideration and multiple trade-offs, with seroprevalence in these groups representing one of the factors to be considered in the future. For instance, a modelling study in Kenya estimated that vaccination of young adults may not be cost-effective in a high seroprevalence setting</w:t>
      </w:r>
      <w:r>
        <w:rPr>
          <w:color w:val="3C4245"/>
          <w:vertAlign w:val="superscript"/>
        </w:rPr>
        <w:t>17</w:t>
      </w:r>
      <w:r>
        <w:rPr>
          <w:color w:val="3C4245"/>
        </w:rPr>
        <w:t>. At the same time, evidence from observational studies suggests that vaccination can reduce incidence of post COVID condition</w:t>
      </w:r>
      <w:r>
        <w:rPr>
          <w:color w:val="3C4245"/>
          <w:vertAlign w:val="superscript"/>
        </w:rPr>
        <w:t>18</w:t>
      </w:r>
      <w:r>
        <w:rPr>
          <w:color w:val="3C4245"/>
        </w:rPr>
        <w:t>.  Prevention of mild disease, indirect impact on transmission, and reduction of incidence of post COVID condition can provide a strong rationale for vaccinating low priority use groups irrespective of previous exposure. </w:t>
      </w:r>
    </w:p>
  </w:comment>
  <w:comment w:id="35" w:author="Youngji Jo" w:date="2024-08-23T11:54:00Z" w:initials="YJ">
    <w:p w14:paraId="4FE12F44" w14:textId="77777777" w:rsidR="002C3E27" w:rsidRDefault="002C3E27" w:rsidP="002C3E27">
      <w:pPr>
        <w:pStyle w:val="CommentText"/>
      </w:pPr>
      <w:r>
        <w:rPr>
          <w:rStyle w:val="CommentReference"/>
        </w:rPr>
        <w:annotationRef/>
      </w:r>
      <w:hyperlink r:id="rId22" w:history="1">
        <w:r w:rsidRPr="000B7341">
          <w:rPr>
            <w:rStyle w:val="Hyperlink"/>
          </w:rPr>
          <w:t>https://www.frontiersin.org/journals/public-health/articles/10.3389/fpubh.2023.1146059/full</w:t>
        </w:r>
      </w:hyperlink>
    </w:p>
  </w:comment>
  <w:comment w:id="36" w:author="Jo,Youngji" w:date="2024-09-09T16:43:00Z" w:initials="YJ">
    <w:p w14:paraId="7AD2B1AB" w14:textId="77777777" w:rsidR="000D623E" w:rsidRDefault="000D623E" w:rsidP="000D623E">
      <w:pPr>
        <w:pStyle w:val="CommentText"/>
        <w:ind w:left="100"/>
      </w:pPr>
      <w:r>
        <w:rPr>
          <w:rStyle w:val="CommentReference"/>
        </w:rPr>
        <w:annotationRef/>
      </w:r>
      <w:r>
        <w:rPr>
          <w:color w:val="FF0000"/>
          <w:highlight w:val="white"/>
        </w:rPr>
        <w:t xml:space="preserve">Hybrid group—by vaccine type, timing, infection sequence, </w:t>
      </w:r>
    </w:p>
    <w:p w14:paraId="7FF6D93D" w14:textId="77777777" w:rsidR="000D623E" w:rsidRDefault="000D623E" w:rsidP="000D623E">
      <w:pPr>
        <w:pStyle w:val="CommentText"/>
        <w:ind w:left="100"/>
      </w:pPr>
    </w:p>
    <w:p w14:paraId="3BF8FD8F" w14:textId="77777777" w:rsidR="000D623E" w:rsidRDefault="000D623E" w:rsidP="000D623E">
      <w:pPr>
        <w:pStyle w:val="CommentText"/>
        <w:ind w:left="100"/>
      </w:pPr>
      <w:r>
        <w:rPr>
          <w:color w:val="FF0000"/>
          <w:highlight w:val="white"/>
        </w:rPr>
        <w:t xml:space="preserve">The study time period is after omicron wave so the event numbers are small. </w:t>
      </w:r>
    </w:p>
    <w:p w14:paraId="5A242F4A" w14:textId="77777777" w:rsidR="000D623E" w:rsidRDefault="000D623E" w:rsidP="000D623E">
      <w:pPr>
        <w:pStyle w:val="CommentText"/>
        <w:ind w:left="100"/>
      </w:pPr>
    </w:p>
    <w:p w14:paraId="393709A4" w14:textId="77777777" w:rsidR="000D623E" w:rsidRDefault="000D623E" w:rsidP="000D623E">
      <w:pPr>
        <w:pStyle w:val="CommentText"/>
        <w:ind w:left="100"/>
      </w:pPr>
      <w:r>
        <w:rPr>
          <w:color w:val="FF0000"/>
          <w:highlight w:val="white"/>
        </w:rPr>
        <w:t xml:space="preserve">Our result also shows that with high young age infection, hybrid group become more younger distribution than vaccine group. </w:t>
      </w:r>
    </w:p>
    <w:p w14:paraId="0F79B7AA" w14:textId="77777777" w:rsidR="000D623E" w:rsidRDefault="000D623E" w:rsidP="000D623E">
      <w:pPr>
        <w:pStyle w:val="CommentText"/>
        <w:ind w:left="100"/>
      </w:pPr>
    </w:p>
    <w:p w14:paraId="4B87BB7D" w14:textId="77777777" w:rsidR="000D623E" w:rsidRDefault="000D623E" w:rsidP="000D623E">
      <w:pPr>
        <w:pStyle w:val="CommentText"/>
      </w:pPr>
      <w:r>
        <w:rPr>
          <w:color w:val="505050"/>
          <w:highlight w:val="white"/>
        </w:rPr>
        <w:t>Fourth, because no deaths and few hospitalisations due to COVID-19 were reported during the study period, we could not evaluate hybrid immunity against severe disease. </w:t>
      </w:r>
    </w:p>
    <w:p w14:paraId="3130963C" w14:textId="77777777" w:rsidR="000D623E" w:rsidRDefault="000D623E" w:rsidP="000D623E">
      <w:pPr>
        <w:pStyle w:val="CommentText"/>
      </w:pPr>
    </w:p>
    <w:p w14:paraId="2E19B996" w14:textId="77777777" w:rsidR="000D623E" w:rsidRDefault="000D623E" w:rsidP="000D623E">
      <w:pPr>
        <w:pStyle w:val="CommentText"/>
      </w:pPr>
      <w:r>
        <w:rPr>
          <w:color w:val="505050"/>
          <w:highlight w:val="white"/>
        </w:rPr>
        <w:t xml:space="preserve">Increasing heterogeneity within the hybrid and vaccine groups. – in terms of vaccine types, does, infection sequence etc. </w:t>
      </w:r>
    </w:p>
  </w:comment>
  <w:comment w:id="37" w:author="Jo,Youngji" w:date="2024-09-09T16:51:00Z" w:initials="YJ">
    <w:p w14:paraId="5F2CFDBB" w14:textId="77777777" w:rsidR="00E32CBF" w:rsidRDefault="00E32CBF" w:rsidP="00E32CBF">
      <w:pPr>
        <w:pStyle w:val="CommentText"/>
      </w:pPr>
      <w:r>
        <w:rPr>
          <w:rStyle w:val="CommentReference"/>
        </w:rPr>
        <w:annotationRef/>
      </w:r>
    </w:p>
    <w:p w14:paraId="5C0EE312" w14:textId="77777777" w:rsidR="00E32CBF" w:rsidRDefault="00E32CBF" w:rsidP="00E32CBF">
      <w:pPr>
        <w:pStyle w:val="CommentText"/>
      </w:pPr>
      <w:r>
        <w:rPr>
          <w:color w:val="222222"/>
          <w:highlight w:val="white"/>
        </w:rPr>
        <w:t> First, infections not directly adjacent to a retrospective antibody measurement to determine the infection, may be missed, e.g. due to antibody waning as described for N</w:t>
      </w:r>
      <w:hyperlink r:id="rId23" w:anchor="ref-CR11" w:history="1">
        <w:r w:rsidRPr="009F6F9D">
          <w:rPr>
            <w:rStyle w:val="Hyperlink"/>
          </w:rPr>
          <w:t>11</w:t>
        </w:r>
      </w:hyperlink>
      <w:r>
        <w:rPr>
          <w:color w:val="222222"/>
          <w:highlight w:val="white"/>
        </w:rPr>
        <w:t xml:space="preserve">. Therefore, this leaves the possibility for an earlier infection to have occurred unnoticed [21]. – vaccinated group may be those who got infection long time ago. </w:t>
      </w:r>
    </w:p>
    <w:p w14:paraId="422A1835" w14:textId="77777777" w:rsidR="00E32CBF" w:rsidRDefault="00E32CBF" w:rsidP="00E32CBF">
      <w:pPr>
        <w:pStyle w:val="CommentText"/>
      </w:pPr>
    </w:p>
    <w:p w14:paraId="63EF8DF5" w14:textId="77777777" w:rsidR="00E32CBF" w:rsidRDefault="00E32CBF" w:rsidP="00E32CBF">
      <w:pPr>
        <w:pStyle w:val="CommentText"/>
      </w:pPr>
    </w:p>
    <w:p w14:paraId="7825CEA3" w14:textId="77777777" w:rsidR="00E32CBF" w:rsidRDefault="00E32CBF" w:rsidP="00E32CBF">
      <w:pPr>
        <w:pStyle w:val="CommentText"/>
      </w:pPr>
      <w:r>
        <w:rPr>
          <w:color w:val="222222"/>
          <w:highlight w:val="white"/>
        </w:rPr>
        <w:t xml:space="preserve">Secondly, variant of infection changes with calendar time like vaccinations were administered at given time periods resulting in a correlation between protection by vaccination and the virus variant causing the breakthrough infection. Also, previous infection differs between the Delta and Omicron variants. This leads to differences in vaccination and previous infection status between Delta and Omicron infections, where Omicron cases more often had received their COVID-19 booster vaccination.—calendar time with variant and vaccination. Event after omicron – most recent infection provide high immunity to subsequent omicron variants. small events for hybrid. </w:t>
      </w:r>
    </w:p>
    <w:p w14:paraId="5D752CDD" w14:textId="77777777" w:rsidR="00E32CBF" w:rsidRDefault="00E32CBF" w:rsidP="00E32CBF">
      <w:pPr>
        <w:pStyle w:val="CommentText"/>
      </w:pPr>
    </w:p>
    <w:p w14:paraId="7346F89E" w14:textId="77777777" w:rsidR="00E32CBF" w:rsidRDefault="00E32CBF" w:rsidP="00E32CBF">
      <w:pPr>
        <w:pStyle w:val="CommentText"/>
      </w:pPr>
    </w:p>
    <w:p w14:paraId="04BCB98B" w14:textId="77777777" w:rsidR="00E32CBF" w:rsidRDefault="00E32CBF" w:rsidP="00E32CBF">
      <w:pPr>
        <w:pStyle w:val="CommentText"/>
      </w:pPr>
    </w:p>
    <w:p w14:paraId="5726AB96" w14:textId="77777777" w:rsidR="00E32CBF" w:rsidRDefault="00E32CBF" w:rsidP="00E32CBF">
      <w:pPr>
        <w:pStyle w:val="CommentText"/>
      </w:pPr>
    </w:p>
    <w:p w14:paraId="01918C23" w14:textId="77777777" w:rsidR="00E32CBF" w:rsidRDefault="00E32CBF" w:rsidP="00E32CBF">
      <w:pPr>
        <w:pStyle w:val="CommentText"/>
      </w:pPr>
      <w:r>
        <w:rPr>
          <w:color w:val="282828"/>
          <w:highlight w:val="white"/>
        </w:rPr>
        <w:t>As evidence supporting the protective role of hybrid immunity over either natural or vaccine-acquired immunity alone continues to arise (</w:t>
      </w:r>
      <w:hyperlink r:id="rId24" w:anchor="ref18" w:history="1">
        <w:r w:rsidRPr="009F6F9D">
          <w:rPr>
            <w:rStyle w:val="Hyperlink"/>
            <w:highlight w:val="white"/>
          </w:rPr>
          <w:t>18</w:t>
        </w:r>
      </w:hyperlink>
      <w:r>
        <w:rPr>
          <w:color w:val="282828"/>
          <w:highlight w:val="white"/>
        </w:rPr>
        <w:t>–</w:t>
      </w:r>
      <w:hyperlink r:id="rId25" w:anchor="ref21" w:history="1">
        <w:r w:rsidRPr="009F6F9D">
          <w:rPr>
            <w:rStyle w:val="Hyperlink"/>
            <w:highlight w:val="white"/>
          </w:rPr>
          <w:t>21</w:t>
        </w:r>
      </w:hyperlink>
      <w:r>
        <w:rPr>
          <w:color w:val="282828"/>
          <w:highlight w:val="white"/>
        </w:rPr>
        <w:t>), the complexity of this phenomenon becomes more evident. A series of different factors, such as the number of vaccine doses received, vaccine platform used, the severity of the first COVID-19 episode, SARS-CoV-2 variants, and subvariants responsible for both first infection and reinfection and time-dependent waning protection seem to have a significant effect on the level of protection conferred by hybrid immunity (</w:t>
      </w:r>
      <w:hyperlink r:id="rId26" w:anchor="ref22" w:history="1">
        <w:r w:rsidRPr="009F6F9D">
          <w:rPr>
            <w:rStyle w:val="Hyperlink"/>
            <w:highlight w:val="white"/>
          </w:rPr>
          <w:t>22</w:t>
        </w:r>
      </w:hyperlink>
      <w:r>
        <w:rPr>
          <w:color w:val="282828"/>
          <w:highlight w:val="white"/>
        </w:rPr>
        <w:t>–</w:t>
      </w:r>
      <w:hyperlink r:id="rId27" w:anchor="ref28" w:history="1">
        <w:r w:rsidRPr="009F6F9D">
          <w:rPr>
            <w:rStyle w:val="Hyperlink"/>
            <w:highlight w:val="white"/>
          </w:rPr>
          <w:t>28</w:t>
        </w:r>
      </w:hyperlink>
      <w:r>
        <w:rPr>
          <w:color w:val="282828"/>
          <w:highlight w:val="white"/>
        </w:rPr>
        <w:t>). </w:t>
      </w:r>
    </w:p>
    <w:p w14:paraId="47B9CABE" w14:textId="77777777" w:rsidR="00E32CBF" w:rsidRDefault="00E32CBF" w:rsidP="00E32CBF">
      <w:pPr>
        <w:pStyle w:val="CommentText"/>
      </w:pPr>
    </w:p>
    <w:p w14:paraId="2C226A9D" w14:textId="77777777" w:rsidR="00E32CBF" w:rsidRDefault="00E32CBF" w:rsidP="00E32CBF">
      <w:pPr>
        <w:pStyle w:val="CommentText"/>
      </w:pPr>
      <w:r>
        <w:rPr>
          <w:color w:val="282828"/>
          <w:highlight w:val="white"/>
        </w:rPr>
        <w:t>Furthermore, since immune imprinting, a phenomenon in which B-cell immune response from first exposure to antigens related to an infectious agent (either through vaccination or previous infection) was demonstrated to condition the host response toward SARS-CoV-2 reinfections (</w:t>
      </w:r>
      <w:hyperlink r:id="rId28" w:anchor="ref10" w:history="1">
        <w:r w:rsidRPr="009F6F9D">
          <w:rPr>
            <w:rStyle w:val="Hyperlink"/>
            <w:highlight w:val="white"/>
          </w:rPr>
          <w:t>10</w:t>
        </w:r>
      </w:hyperlink>
      <w:r>
        <w:rPr>
          <w:color w:val="282828"/>
          <w:highlight w:val="white"/>
        </w:rPr>
        <w:t>, </w:t>
      </w:r>
      <w:hyperlink r:id="rId29" w:anchor="ref29" w:history="1">
        <w:r w:rsidRPr="009F6F9D">
          <w:rPr>
            <w:rStyle w:val="Hyperlink"/>
            <w:highlight w:val="white"/>
          </w:rPr>
          <w:t>29</w:t>
        </w:r>
      </w:hyperlink>
      <w:r>
        <w:rPr>
          <w:color w:val="282828"/>
          <w:highlight w:val="white"/>
        </w:rPr>
        <w:t>, </w:t>
      </w:r>
      <w:hyperlink r:id="rId30" w:anchor="ref30" w:history="1">
        <w:r w:rsidRPr="009F6F9D">
          <w:rPr>
            <w:rStyle w:val="Hyperlink"/>
            <w:highlight w:val="white"/>
          </w:rPr>
          <w:t>30</w:t>
        </w:r>
      </w:hyperlink>
      <w:r>
        <w:rPr>
          <w:color w:val="282828"/>
          <w:highlight w:val="white"/>
        </w:rPr>
        <w:t>), studies have started to include the order in which immunity-generating events (vaccination and infection) occur as an additional factor to be considered in order to understand hybrid immunity better (</w:t>
      </w:r>
      <w:hyperlink r:id="rId31" w:anchor="ref31" w:history="1">
        <w:r w:rsidRPr="009F6F9D">
          <w:rPr>
            <w:rStyle w:val="Hyperlink"/>
            <w:highlight w:val="white"/>
          </w:rPr>
          <w:t>31</w:t>
        </w:r>
      </w:hyperlink>
      <w:r>
        <w:rPr>
          <w:color w:val="282828"/>
          <w:highlight w:val="white"/>
        </w:rPr>
        <w:t>–</w:t>
      </w:r>
      <w:hyperlink r:id="rId32" w:anchor="ref33" w:history="1">
        <w:r w:rsidRPr="009F6F9D">
          <w:rPr>
            <w:rStyle w:val="Hyperlink"/>
            <w:highlight w:val="white"/>
          </w:rPr>
          <w:t>33</w:t>
        </w:r>
      </w:hyperlink>
      <w:r>
        <w:rPr>
          <w:color w:val="282828"/>
          <w:highlight w:val="white"/>
        </w:rPr>
        <w:t>). Even though real-world evidence of hybrid-immunity protection continues to emerge, studies integrating the order of immunity-generating events are still scarce.</w:t>
      </w:r>
    </w:p>
  </w:comment>
  <w:comment w:id="38" w:author="Youngji Jo" w:date="2024-08-23T16:56:00Z" w:initials="YJ">
    <w:p w14:paraId="63A6DAAB" w14:textId="77777777" w:rsidR="00AB1483" w:rsidRDefault="00AB1483" w:rsidP="00AB1483">
      <w:pPr>
        <w:pStyle w:val="CommentText"/>
      </w:pPr>
      <w:r>
        <w:rPr>
          <w:rStyle w:val="CommentReference"/>
        </w:rPr>
        <w:annotationRef/>
      </w:r>
      <w:hyperlink r:id="rId33" w:history="1">
        <w:r w:rsidRPr="00726D5A">
          <w:rPr>
            <w:rStyle w:val="Hyperlink"/>
          </w:rPr>
          <w:t>https://www.nature.com/articles/s41577-021-00662-4</w:t>
        </w:r>
      </w:hyperlink>
    </w:p>
  </w:comment>
  <w:comment w:id="39" w:author="Youngji Jo" w:date="2024-08-21T16:55:00Z" w:initials="YJ">
    <w:p w14:paraId="147FE595" w14:textId="77777777" w:rsidR="00D114D9" w:rsidRDefault="00D114D9" w:rsidP="00D114D9">
      <w:pPr>
        <w:pStyle w:val="CommentText"/>
      </w:pPr>
      <w:r>
        <w:rPr>
          <w:rStyle w:val="CommentReference"/>
        </w:rPr>
        <w:annotationRef/>
      </w:r>
      <w:hyperlink r:id="rId34" w:history="1">
        <w:r w:rsidRPr="00180827">
          <w:rPr>
            <w:rStyle w:val="Hyperlink"/>
          </w:rPr>
          <w:t>https://www.thelancet.com/journals/lanmic/article/PIIS2666-5247(23)00103-9/fulltext</w:t>
        </w:r>
      </w:hyperlink>
    </w:p>
  </w:comment>
  <w:comment w:id="40" w:author="Youngji Jo" w:date="2024-08-20T13:40:00Z" w:initials="YJ">
    <w:p w14:paraId="2CB96947" w14:textId="76076996" w:rsidR="0036748A" w:rsidRDefault="0036748A" w:rsidP="0036748A">
      <w:pPr>
        <w:pStyle w:val="CommentText"/>
      </w:pPr>
      <w:r>
        <w:rPr>
          <w:rStyle w:val="CommentReference"/>
        </w:rPr>
        <w:annotationRef/>
      </w:r>
      <w:r>
        <w:t>Add the X axix units</w:t>
      </w:r>
    </w:p>
  </w:comment>
  <w:comment w:id="41" w:author="Youngji Jo" w:date="2024-08-21T16:37:00Z" w:initials="YJ">
    <w:p w14:paraId="7DDA2BE1" w14:textId="77777777" w:rsidR="00873033" w:rsidRDefault="00873033" w:rsidP="00873033">
      <w:pPr>
        <w:pStyle w:val="CommentText"/>
      </w:pPr>
      <w:r>
        <w:rPr>
          <w:rStyle w:val="CommentReference"/>
        </w:rPr>
        <w:annotationRef/>
      </w:r>
      <w:r>
        <w:t>Can you clarify how this case control regression result is different from the cox proportional hazard model and mixed effect model below? Do we just need standardize them all into cox proportional hazard model..?</w:t>
      </w:r>
    </w:p>
  </w:comment>
  <w:comment w:id="42" w:author="Youngji Jo" w:date="2024-08-21T15:08:00Z" w:initials="YJ">
    <w:p w14:paraId="22BCA00D" w14:textId="3721E8DA" w:rsidR="007B4FC3" w:rsidRDefault="007B4FC3" w:rsidP="007B4FC3">
      <w:pPr>
        <w:pStyle w:val="CommentText"/>
      </w:pPr>
      <w:r>
        <w:rPr>
          <w:rStyle w:val="CommentReference"/>
        </w:rPr>
        <w:annotationRef/>
      </w:r>
      <w:r>
        <w:t xml:space="preserve">Please clarify the “immune gap” is it “time since last immunological event”? If so, write it so. </w:t>
      </w:r>
    </w:p>
  </w:comment>
  <w:comment w:id="43" w:author="Youngji Jo" w:date="2024-08-21T15:09:00Z" w:initials="YJ">
    <w:p w14:paraId="66727525" w14:textId="77777777" w:rsidR="007B4FC3" w:rsidRDefault="007B4FC3" w:rsidP="007B4FC3">
      <w:pPr>
        <w:pStyle w:val="CommentText"/>
      </w:pPr>
      <w:r>
        <w:rPr>
          <w:rStyle w:val="CommentReference"/>
        </w:rPr>
        <w:annotationRef/>
      </w:r>
      <w:r>
        <w:t>Similarly, elaborate the “vac_dose” as “number of vaccines doses”</w:t>
      </w:r>
    </w:p>
    <w:p w14:paraId="5004EB3A" w14:textId="77777777" w:rsidR="007B4FC3" w:rsidRDefault="007B4FC3" w:rsidP="007B4FC3">
      <w:pPr>
        <w:pStyle w:val="CommentText"/>
      </w:pPr>
    </w:p>
    <w:p w14:paraId="0D8E9356" w14:textId="77777777" w:rsidR="007B4FC3" w:rsidRDefault="007B4FC3" w:rsidP="007B4FC3">
      <w:pPr>
        <w:pStyle w:val="CommentText"/>
      </w:pPr>
      <w:r>
        <w:t>“S_ab” as “S antibody level”</w:t>
      </w:r>
    </w:p>
  </w:comment>
  <w:comment w:id="44" w:author="Jo,Youngji" w:date="2024-09-10T12:31:00Z" w:initials="YJ">
    <w:p w14:paraId="593813FA" w14:textId="77777777" w:rsidR="001D07B1" w:rsidRDefault="001D07B1" w:rsidP="001D07B1">
      <w:pPr>
        <w:pStyle w:val="CommentText"/>
      </w:pPr>
      <w:r>
        <w:rPr>
          <w:rStyle w:val="CommentReference"/>
        </w:rPr>
        <w:annotationRef/>
      </w:r>
      <w:r>
        <w:t>Do we also need to adjust “time since last immunological event”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347E909" w15:done="0"/>
  <w15:commentEx w15:paraId="0C943133" w15:done="0"/>
  <w15:commentEx w15:paraId="47AE06BD" w15:done="0"/>
  <w15:commentEx w15:paraId="10C31092" w15:done="0"/>
  <w15:commentEx w15:paraId="292CBA19" w15:done="0"/>
  <w15:commentEx w15:paraId="23ECFBF5" w15:done="0"/>
  <w15:commentEx w15:paraId="74422734" w15:done="0"/>
  <w15:commentEx w15:paraId="3ADEE762" w15:done="0"/>
  <w15:commentEx w15:paraId="7DEC4FAB" w15:done="0"/>
  <w15:commentEx w15:paraId="02BEB91A" w15:done="0"/>
  <w15:commentEx w15:paraId="6458171E" w15:paraIdParent="02BEB91A" w15:done="0"/>
  <w15:commentEx w15:paraId="14E85FD4" w15:paraIdParent="02BEB91A" w15:done="0"/>
  <w15:commentEx w15:paraId="21054B53" w15:done="0"/>
  <w15:commentEx w15:paraId="58ACF3E2" w15:done="0"/>
  <w15:commentEx w15:paraId="66AD89FF" w15:paraIdParent="58ACF3E2" w15:done="0"/>
  <w15:commentEx w15:paraId="1A7C389F" w15:done="0"/>
  <w15:commentEx w15:paraId="6A7A5A99" w15:done="0"/>
  <w15:commentEx w15:paraId="79364357" w15:done="0"/>
  <w15:commentEx w15:paraId="5152B466" w15:done="0"/>
  <w15:commentEx w15:paraId="03223C18" w15:done="0"/>
  <w15:commentEx w15:paraId="0D529A15" w15:paraIdParent="03223C18" w15:done="0"/>
  <w15:commentEx w15:paraId="157E0233" w15:done="0"/>
  <w15:commentEx w15:paraId="6589A96A" w15:paraIdParent="157E0233" w15:done="0"/>
  <w15:commentEx w15:paraId="3C175F5C" w15:done="0"/>
  <w15:commentEx w15:paraId="453050CC" w15:done="0"/>
  <w15:commentEx w15:paraId="69987594" w15:paraIdParent="453050CC" w15:done="0"/>
  <w15:commentEx w15:paraId="79A98734" w15:done="0"/>
  <w15:commentEx w15:paraId="7B221381" w15:done="0"/>
  <w15:commentEx w15:paraId="1012CF79" w15:done="0"/>
  <w15:commentEx w15:paraId="4FE12F44" w15:done="0"/>
  <w15:commentEx w15:paraId="2E19B996" w15:done="0"/>
  <w15:commentEx w15:paraId="2C226A9D" w15:paraIdParent="2E19B996" w15:done="0"/>
  <w15:commentEx w15:paraId="63A6DAAB" w15:done="0"/>
  <w15:commentEx w15:paraId="147FE595" w15:done="0"/>
  <w15:commentEx w15:paraId="2CB96947" w15:done="0"/>
  <w15:commentEx w15:paraId="7DDA2BE1" w15:paraIdParent="2CB96947" w15:done="0"/>
  <w15:commentEx w15:paraId="22BCA00D" w15:done="0"/>
  <w15:commentEx w15:paraId="0D8E9356" w15:paraIdParent="22BCA00D" w15:done="0"/>
  <w15:commentEx w15:paraId="593813F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725F622" w16cex:dateUtc="2024-08-19T15:41:00Z">
    <w16cex:extLst>
      <w16:ext w16:uri="{CE6994B0-6A32-4C9F-8C6B-6E91EDA988CE}">
        <cr:reactions xmlns:cr="http://schemas.microsoft.com/office/comments/2020/reactions">
          <cr:reaction reactionType="1">
            <cr:reactionInfo dateUtc="2024-09-04T10:19:22Z">
              <cr:user userId="S::zfranky6@uconn.edu::6ce4719b-7f4a-4549-8832-a74568dd27a3" userProvider="AD" userName="Zhang, Franky"/>
            </cr:reactionInfo>
          </cr:reaction>
        </cr:reactions>
      </w16:ext>
    </w16cex:extLst>
  </w16cex:commentExtensible>
  <w16cex:commentExtensible w16cex:durableId="2045E815" w16cex:dateUtc="2024-08-19T18:03:00Z">
    <w16cex:extLst>
      <w16:ext w16:uri="{CE6994B0-6A32-4C9F-8C6B-6E91EDA988CE}">
        <cr:reactions xmlns:cr="http://schemas.microsoft.com/office/comments/2020/reactions">
          <cr:reaction reactionType="1">
            <cr:reactionInfo dateUtc="2024-09-04T10:20:15Z">
              <cr:user userId="S::zfranky6@uconn.edu::6ce4719b-7f4a-4549-8832-a74568dd27a3" userProvider="AD" userName="Zhang, Franky"/>
            </cr:reactionInfo>
          </cr:reaction>
        </cr:reactions>
      </w16:ext>
    </w16cex:extLst>
  </w16cex:commentExtensible>
  <w16cex:commentExtensible w16cex:durableId="296CB5E8" w16cex:dateUtc="2024-08-21T18:31:00Z">
    <w16cex:extLst>
      <w16:ext w16:uri="{CE6994B0-6A32-4C9F-8C6B-6E91EDA988CE}">
        <cr:reactions xmlns:cr="http://schemas.microsoft.com/office/comments/2020/reactions">
          <cr:reaction reactionType="1">
            <cr:reactionInfo dateUtc="2024-09-04T10:22:53Z">
              <cr:user userId="S::zfranky6@uconn.edu::6ce4719b-7f4a-4549-8832-a74568dd27a3" userProvider="AD" userName="Zhang, Franky"/>
            </cr:reactionInfo>
          </cr:reaction>
        </cr:reactions>
      </w16:ext>
    </w16cex:extLst>
  </w16cex:commentExtensible>
  <w16cex:commentExtensible w16cex:durableId="54FB8C30" w16cex:dateUtc="2024-08-19T15:42:00Z">
    <w16cex:extLst>
      <w16:ext w16:uri="{CE6994B0-6A32-4C9F-8C6B-6E91EDA988CE}">
        <cr:reactions xmlns:cr="http://schemas.microsoft.com/office/comments/2020/reactions">
          <cr:reaction reactionType="1">
            <cr:reactionInfo dateUtc="2024-09-04T10:23:43Z">
              <cr:user userId="S::zfranky6@uconn.edu::6ce4719b-7f4a-4549-8832-a74568dd27a3" userProvider="AD" userName="Zhang, Franky"/>
            </cr:reactionInfo>
          </cr:reaction>
        </cr:reactions>
      </w16:ext>
    </w16cex:extLst>
  </w16cex:commentExtensible>
  <w16cex:commentExtensible w16cex:durableId="7341932A" w16cex:dateUtc="2024-08-23T13:54:00Z"/>
  <w16cex:commentExtensible w16cex:durableId="2D57D4C5" w16cex:dateUtc="2024-08-22T17:54:00Z"/>
  <w16cex:commentExtensible w16cex:durableId="247C4E2C" w16cex:dateUtc="2024-08-23T20:34:00Z"/>
  <w16cex:commentExtensible w16cex:durableId="162CB634" w16cex:dateUtc="2024-08-19T18:39:00Z">
    <w16cex:extLst>
      <w16:ext w16:uri="{CE6994B0-6A32-4C9F-8C6B-6E91EDA988CE}">
        <cr:reactions xmlns:cr="http://schemas.microsoft.com/office/comments/2020/reactions">
          <cr:reaction reactionType="1">
            <cr:reactionInfo dateUtc="2024-09-04T10:24:46Z">
              <cr:user userId="S::zfranky6@uconn.edu::6ce4719b-7f4a-4549-8832-a74568dd27a3" userProvider="AD" userName="Zhang, Franky"/>
            </cr:reactionInfo>
          </cr:reaction>
        </cr:reactions>
      </w16:ext>
    </w16cex:extLst>
  </w16cex:commentExtensible>
  <w16cex:commentExtensible w16cex:durableId="2EA63D2F" w16cex:dateUtc="2024-08-23T14:10:00Z"/>
  <w16cex:commentExtensible w16cex:durableId="428A0FF4" w16cex:dateUtc="2024-08-23T14:18:00Z"/>
  <w16cex:commentExtensible w16cex:durableId="07BE196A" w16cex:dateUtc="2024-08-23T14:19:00Z"/>
  <w16cex:commentExtensible w16cex:durableId="53FCE679" w16cex:dateUtc="2024-08-23T14:21:00Z"/>
  <w16cex:commentExtensible w16cex:durableId="0F5E5A65" w16cex:dateUtc="2024-08-19T19:18:00Z"/>
  <w16cex:commentExtensible w16cex:durableId="47553233" w16cex:dateUtc="2024-08-21T20:51:00Z"/>
  <w16cex:commentExtensible w16cex:durableId="548ED081" w16cex:dateUtc="2024-08-21T20:52:00Z"/>
  <w16cex:commentExtensible w16cex:durableId="6B3F04A7" w16cex:dateUtc="2024-08-21T19:01:00Z"/>
  <w16cex:commentExtensible w16cex:durableId="3A6659A8" w16cex:dateUtc="2024-08-19T14:29:00Z"/>
  <w16cex:commentExtensible w16cex:durableId="1ED475A5" w16cex:dateUtc="2024-08-21T19:02:00Z"/>
  <w16cex:commentExtensible w16cex:durableId="47657499" w16cex:dateUtc="2024-08-21T19:53:00Z"/>
  <w16cex:commentExtensible w16cex:durableId="7CEA79CB" w16cex:dateUtc="2024-09-10T16:30:00Z"/>
  <w16cex:commentExtensible w16cex:durableId="293F2C64" w16cex:dateUtc="2024-09-10T16:31:00Z"/>
  <w16cex:commentExtensible w16cex:durableId="734B026C" w16cex:dateUtc="2024-08-23T13:41:00Z"/>
  <w16cex:commentExtensible w16cex:durableId="610CDA39" w16cex:dateUtc="2024-08-23T20:34:00Z"/>
  <w16cex:commentExtensible w16cex:durableId="2B010ECC" w16cex:dateUtc="2024-08-19T19:22:00Z"/>
  <w16cex:commentExtensible w16cex:durableId="1D5C0B33" w16cex:dateUtc="2024-08-21T20:35:00Z"/>
  <w16cex:commentExtensible w16cex:durableId="58433682" w16cex:dateUtc="2024-09-10T16:11:00Z"/>
  <w16cex:commentExtensible w16cex:durableId="6051ABDF" w16cex:dateUtc="2024-09-10T16:55:00Z"/>
  <w16cex:commentExtensible w16cex:durableId="3C859B10" w16cex:dateUtc="2024-08-21T20:55:00Z"/>
  <w16cex:commentExtensible w16cex:durableId="31173FCB" w16cex:dateUtc="2024-09-09T20:55:00Z"/>
  <w16cex:commentExtensible w16cex:durableId="6C8488BE" w16cex:dateUtc="2024-08-23T15:54:00Z"/>
  <w16cex:commentExtensible w16cex:durableId="61F2E624" w16cex:dateUtc="2024-09-09T20:43:00Z"/>
  <w16cex:commentExtensible w16cex:durableId="37ACD4E2" w16cex:dateUtc="2024-09-09T20:51:00Z"/>
  <w16cex:commentExtensible w16cex:durableId="7AA664A9" w16cex:dateUtc="2024-08-23T20:56:00Z"/>
  <w16cex:commentExtensible w16cex:durableId="128D702A" w16cex:dateUtc="2024-08-21T20:55:00Z"/>
  <w16cex:commentExtensible w16cex:durableId="10CD7CD1" w16cex:dateUtc="2024-08-20T17:40:00Z"/>
  <w16cex:commentExtensible w16cex:durableId="45EF0CC4" w16cex:dateUtc="2024-08-21T20:37:00Z"/>
  <w16cex:commentExtensible w16cex:durableId="04D6C236" w16cex:dateUtc="2024-08-21T19:08:00Z"/>
  <w16cex:commentExtensible w16cex:durableId="033C2AF0" w16cex:dateUtc="2024-08-21T19:09:00Z"/>
  <w16cex:commentExtensible w16cex:durableId="75358C98" w16cex:dateUtc="2024-09-10T16: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347E909" w16cid:durableId="1725F622"/>
  <w16cid:commentId w16cid:paraId="0C943133" w16cid:durableId="2045E815"/>
  <w16cid:commentId w16cid:paraId="47AE06BD" w16cid:durableId="296CB5E8"/>
  <w16cid:commentId w16cid:paraId="10C31092" w16cid:durableId="54FB8C30"/>
  <w16cid:commentId w16cid:paraId="292CBA19" w16cid:durableId="7341932A"/>
  <w16cid:commentId w16cid:paraId="23ECFBF5" w16cid:durableId="2D57D4C5"/>
  <w16cid:commentId w16cid:paraId="74422734" w16cid:durableId="247C4E2C"/>
  <w16cid:commentId w16cid:paraId="3ADEE762" w16cid:durableId="162CB634"/>
  <w16cid:commentId w16cid:paraId="7DEC4FAB" w16cid:durableId="2EA63D2F"/>
  <w16cid:commentId w16cid:paraId="02BEB91A" w16cid:durableId="428A0FF4"/>
  <w16cid:commentId w16cid:paraId="6458171E" w16cid:durableId="07BE196A"/>
  <w16cid:commentId w16cid:paraId="14E85FD4" w16cid:durableId="53FCE679"/>
  <w16cid:commentId w16cid:paraId="21054B53" w16cid:durableId="0F5E5A65"/>
  <w16cid:commentId w16cid:paraId="58ACF3E2" w16cid:durableId="47553233"/>
  <w16cid:commentId w16cid:paraId="66AD89FF" w16cid:durableId="548ED081"/>
  <w16cid:commentId w16cid:paraId="1A7C389F" w16cid:durableId="6B3F04A7"/>
  <w16cid:commentId w16cid:paraId="6A7A5A99" w16cid:durableId="3A6659A8"/>
  <w16cid:commentId w16cid:paraId="79364357" w16cid:durableId="1ED475A5"/>
  <w16cid:commentId w16cid:paraId="5152B466" w16cid:durableId="47657499"/>
  <w16cid:commentId w16cid:paraId="03223C18" w16cid:durableId="7CEA79CB"/>
  <w16cid:commentId w16cid:paraId="0D529A15" w16cid:durableId="293F2C64"/>
  <w16cid:commentId w16cid:paraId="157E0233" w16cid:durableId="734B026C"/>
  <w16cid:commentId w16cid:paraId="6589A96A" w16cid:durableId="610CDA39"/>
  <w16cid:commentId w16cid:paraId="3C175F5C" w16cid:durableId="2B010ECC"/>
  <w16cid:commentId w16cid:paraId="453050CC" w16cid:durableId="1D5C0B33"/>
  <w16cid:commentId w16cid:paraId="69987594" w16cid:durableId="58433682"/>
  <w16cid:commentId w16cid:paraId="79A98734" w16cid:durableId="6051ABDF"/>
  <w16cid:commentId w16cid:paraId="7B221381" w16cid:durableId="3C859B10"/>
  <w16cid:commentId w16cid:paraId="1012CF79" w16cid:durableId="31173FCB"/>
  <w16cid:commentId w16cid:paraId="4FE12F44" w16cid:durableId="6C8488BE"/>
  <w16cid:commentId w16cid:paraId="2E19B996" w16cid:durableId="61F2E624"/>
  <w16cid:commentId w16cid:paraId="2C226A9D" w16cid:durableId="37ACD4E2"/>
  <w16cid:commentId w16cid:paraId="63A6DAAB" w16cid:durableId="7AA664A9"/>
  <w16cid:commentId w16cid:paraId="147FE595" w16cid:durableId="128D702A"/>
  <w16cid:commentId w16cid:paraId="2CB96947" w16cid:durableId="10CD7CD1"/>
  <w16cid:commentId w16cid:paraId="7DDA2BE1" w16cid:durableId="45EF0CC4"/>
  <w16cid:commentId w16cid:paraId="22BCA00D" w16cid:durableId="04D6C236"/>
  <w16cid:commentId w16cid:paraId="0D8E9356" w16cid:durableId="033C2AF0"/>
  <w16cid:commentId w16cid:paraId="593813FA" w16cid:durableId="75358C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BC3571" w14:textId="77777777" w:rsidR="00DA0E41" w:rsidRDefault="00DA0E41" w:rsidP="00D3651D">
      <w:r>
        <w:separator/>
      </w:r>
    </w:p>
  </w:endnote>
  <w:endnote w:type="continuationSeparator" w:id="0">
    <w:p w14:paraId="32229760" w14:textId="77777777" w:rsidR="00DA0E41" w:rsidRDefault="00DA0E41" w:rsidP="00D365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 w:name="WarnockPro-Regular">
    <w:altName w:val="Cambria"/>
    <w:panose1 w:val="00000000000000000000"/>
    <w:charset w:val="A1"/>
    <w:family w:val="roman"/>
    <w:notTrueType/>
    <w:pitch w:val="default"/>
    <w:sig w:usb0="00000081" w:usb1="00000000" w:usb2="00000000" w:usb3="00000000" w:csb0="00000008"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492073" w14:textId="77777777" w:rsidR="00DA0E41" w:rsidRDefault="00DA0E41" w:rsidP="00D3651D">
      <w:r>
        <w:separator/>
      </w:r>
    </w:p>
  </w:footnote>
  <w:footnote w:type="continuationSeparator" w:id="0">
    <w:p w14:paraId="45AE1472" w14:textId="77777777" w:rsidR="00DA0E41" w:rsidRDefault="00DA0E41" w:rsidP="00D365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4D39B8"/>
    <w:multiLevelType w:val="hybridMultilevel"/>
    <w:tmpl w:val="0566603E"/>
    <w:lvl w:ilvl="0" w:tplc="A9468DD6">
      <w:start w:val="19"/>
      <w:numFmt w:val="upperLetter"/>
      <w:lvlText w:val="(%1)"/>
      <w:lvlJc w:val="left"/>
      <w:pPr>
        <w:ind w:left="117" w:hanging="362"/>
      </w:pPr>
      <w:rPr>
        <w:rFonts w:ascii="Times New Roman" w:eastAsia="Times New Roman" w:hAnsi="Times New Roman" w:cs="Times New Roman" w:hint="default"/>
        <w:w w:val="99"/>
        <w:sz w:val="24"/>
        <w:szCs w:val="24"/>
      </w:rPr>
    </w:lvl>
    <w:lvl w:ilvl="1" w:tplc="F678213A">
      <w:start w:val="1"/>
      <w:numFmt w:val="decimal"/>
      <w:lvlText w:val="[%2]"/>
      <w:lvlJc w:val="left"/>
      <w:pPr>
        <w:ind w:left="632" w:hanging="396"/>
        <w:jc w:val="right"/>
      </w:pPr>
      <w:rPr>
        <w:rFonts w:ascii="Times New Roman" w:eastAsia="Times New Roman" w:hAnsi="Times New Roman" w:cs="Times New Roman" w:hint="default"/>
        <w:w w:val="99"/>
        <w:sz w:val="24"/>
        <w:szCs w:val="24"/>
      </w:rPr>
    </w:lvl>
    <w:lvl w:ilvl="2" w:tplc="3AC026C4">
      <w:numFmt w:val="bullet"/>
      <w:lvlText w:val="•"/>
      <w:lvlJc w:val="left"/>
      <w:pPr>
        <w:ind w:left="1678" w:hanging="396"/>
      </w:pPr>
      <w:rPr>
        <w:rFonts w:hint="default"/>
      </w:rPr>
    </w:lvl>
    <w:lvl w:ilvl="3" w:tplc="8F3444A2">
      <w:numFmt w:val="bullet"/>
      <w:lvlText w:val="•"/>
      <w:lvlJc w:val="left"/>
      <w:pPr>
        <w:ind w:left="2716" w:hanging="396"/>
      </w:pPr>
      <w:rPr>
        <w:rFonts w:hint="default"/>
      </w:rPr>
    </w:lvl>
    <w:lvl w:ilvl="4" w:tplc="8B8E5ABE">
      <w:numFmt w:val="bullet"/>
      <w:lvlText w:val="•"/>
      <w:lvlJc w:val="left"/>
      <w:pPr>
        <w:ind w:left="3755" w:hanging="396"/>
      </w:pPr>
      <w:rPr>
        <w:rFonts w:hint="default"/>
      </w:rPr>
    </w:lvl>
    <w:lvl w:ilvl="5" w:tplc="9166971C">
      <w:numFmt w:val="bullet"/>
      <w:lvlText w:val="•"/>
      <w:lvlJc w:val="left"/>
      <w:pPr>
        <w:ind w:left="4793" w:hanging="396"/>
      </w:pPr>
      <w:rPr>
        <w:rFonts w:hint="default"/>
      </w:rPr>
    </w:lvl>
    <w:lvl w:ilvl="6" w:tplc="B8C8510E">
      <w:numFmt w:val="bullet"/>
      <w:lvlText w:val="•"/>
      <w:lvlJc w:val="left"/>
      <w:pPr>
        <w:ind w:left="5831" w:hanging="396"/>
      </w:pPr>
      <w:rPr>
        <w:rFonts w:hint="default"/>
      </w:rPr>
    </w:lvl>
    <w:lvl w:ilvl="7" w:tplc="1BC4A738">
      <w:numFmt w:val="bullet"/>
      <w:lvlText w:val="•"/>
      <w:lvlJc w:val="left"/>
      <w:pPr>
        <w:ind w:left="6870" w:hanging="396"/>
      </w:pPr>
      <w:rPr>
        <w:rFonts w:hint="default"/>
      </w:rPr>
    </w:lvl>
    <w:lvl w:ilvl="8" w:tplc="94866006">
      <w:numFmt w:val="bullet"/>
      <w:lvlText w:val="•"/>
      <w:lvlJc w:val="left"/>
      <w:pPr>
        <w:ind w:left="7908" w:hanging="396"/>
      </w:pPr>
      <w:rPr>
        <w:rFonts w:hint="default"/>
      </w:rPr>
    </w:lvl>
  </w:abstractNum>
  <w:abstractNum w:abstractNumId="1" w15:restartNumberingAfterBreak="0">
    <w:nsid w:val="3CD73C17"/>
    <w:multiLevelType w:val="multilevel"/>
    <w:tmpl w:val="7ED2C490"/>
    <w:lvl w:ilvl="0">
      <w:start w:val="1"/>
      <w:numFmt w:val="decimal"/>
      <w:lvlText w:val="%1"/>
      <w:lvlJc w:val="left"/>
      <w:pPr>
        <w:ind w:left="633" w:hanging="517"/>
      </w:pPr>
      <w:rPr>
        <w:rFonts w:ascii="Times New Roman" w:eastAsia="Times New Roman" w:hAnsi="Times New Roman" w:cs="Times New Roman" w:hint="default"/>
        <w:b/>
        <w:bCs/>
        <w:w w:val="101"/>
        <w:sz w:val="34"/>
        <w:szCs w:val="34"/>
      </w:rPr>
    </w:lvl>
    <w:lvl w:ilvl="1">
      <w:start w:val="1"/>
      <w:numFmt w:val="decimal"/>
      <w:lvlText w:val="%1.%2"/>
      <w:lvlJc w:val="left"/>
      <w:pPr>
        <w:ind w:left="762" w:hanging="646"/>
      </w:pPr>
      <w:rPr>
        <w:rFonts w:ascii="Times New Roman" w:eastAsia="Times New Roman" w:hAnsi="Times New Roman" w:cs="Times New Roman" w:hint="default"/>
        <w:b/>
        <w:bCs/>
        <w:w w:val="102"/>
        <w:sz w:val="28"/>
        <w:szCs w:val="28"/>
      </w:rPr>
    </w:lvl>
    <w:lvl w:ilvl="2">
      <w:start w:val="1"/>
      <w:numFmt w:val="lowerLetter"/>
      <w:lvlText w:val="(%3)"/>
      <w:lvlJc w:val="left"/>
      <w:pPr>
        <w:ind w:left="3792" w:hanging="297"/>
      </w:pPr>
      <w:rPr>
        <w:rFonts w:ascii="Times New Roman" w:eastAsia="Times New Roman" w:hAnsi="Times New Roman" w:cs="Times New Roman" w:hint="default"/>
        <w:w w:val="99"/>
        <w:sz w:val="22"/>
        <w:szCs w:val="22"/>
      </w:rPr>
    </w:lvl>
    <w:lvl w:ilvl="3">
      <w:numFmt w:val="bullet"/>
      <w:lvlText w:val="•"/>
      <w:lvlJc w:val="left"/>
      <w:pPr>
        <w:ind w:left="4573" w:hanging="297"/>
      </w:pPr>
      <w:rPr>
        <w:rFonts w:hint="default"/>
      </w:rPr>
    </w:lvl>
    <w:lvl w:ilvl="4">
      <w:numFmt w:val="bullet"/>
      <w:lvlText w:val="•"/>
      <w:lvlJc w:val="left"/>
      <w:pPr>
        <w:ind w:left="5346" w:hanging="297"/>
      </w:pPr>
      <w:rPr>
        <w:rFonts w:hint="default"/>
      </w:rPr>
    </w:lvl>
    <w:lvl w:ilvl="5">
      <w:numFmt w:val="bullet"/>
      <w:lvlText w:val="•"/>
      <w:lvlJc w:val="left"/>
      <w:pPr>
        <w:ind w:left="6119" w:hanging="297"/>
      </w:pPr>
      <w:rPr>
        <w:rFonts w:hint="default"/>
      </w:rPr>
    </w:lvl>
    <w:lvl w:ilvl="6">
      <w:numFmt w:val="bullet"/>
      <w:lvlText w:val="•"/>
      <w:lvlJc w:val="left"/>
      <w:pPr>
        <w:ind w:left="6892" w:hanging="297"/>
      </w:pPr>
      <w:rPr>
        <w:rFonts w:hint="default"/>
      </w:rPr>
    </w:lvl>
    <w:lvl w:ilvl="7">
      <w:numFmt w:val="bullet"/>
      <w:lvlText w:val="•"/>
      <w:lvlJc w:val="left"/>
      <w:pPr>
        <w:ind w:left="7665" w:hanging="297"/>
      </w:pPr>
      <w:rPr>
        <w:rFonts w:hint="default"/>
      </w:rPr>
    </w:lvl>
    <w:lvl w:ilvl="8">
      <w:numFmt w:val="bullet"/>
      <w:lvlText w:val="•"/>
      <w:lvlJc w:val="left"/>
      <w:pPr>
        <w:ind w:left="8439" w:hanging="297"/>
      </w:pPr>
      <w:rPr>
        <w:rFonts w:hint="default"/>
      </w:rPr>
    </w:lvl>
  </w:abstractNum>
  <w:abstractNum w:abstractNumId="2" w15:restartNumberingAfterBreak="0">
    <w:nsid w:val="53D30F0A"/>
    <w:multiLevelType w:val="hybridMultilevel"/>
    <w:tmpl w:val="379A5604"/>
    <w:lvl w:ilvl="0" w:tplc="62A243FE">
      <w:start w:val="1"/>
      <w:numFmt w:val="bullet"/>
      <w:lvlText w:val="•"/>
      <w:lvlJc w:val="left"/>
      <w:pPr>
        <w:tabs>
          <w:tab w:val="num" w:pos="720"/>
        </w:tabs>
        <w:ind w:left="720" w:hanging="360"/>
      </w:pPr>
      <w:rPr>
        <w:rFonts w:ascii="Arial" w:hAnsi="Arial" w:hint="default"/>
      </w:rPr>
    </w:lvl>
    <w:lvl w:ilvl="1" w:tplc="E1504DE0" w:tentative="1">
      <w:start w:val="1"/>
      <w:numFmt w:val="bullet"/>
      <w:lvlText w:val="•"/>
      <w:lvlJc w:val="left"/>
      <w:pPr>
        <w:tabs>
          <w:tab w:val="num" w:pos="1440"/>
        </w:tabs>
        <w:ind w:left="1440" w:hanging="360"/>
      </w:pPr>
      <w:rPr>
        <w:rFonts w:ascii="Arial" w:hAnsi="Arial" w:hint="default"/>
      </w:rPr>
    </w:lvl>
    <w:lvl w:ilvl="2" w:tplc="DD348F44" w:tentative="1">
      <w:start w:val="1"/>
      <w:numFmt w:val="bullet"/>
      <w:lvlText w:val="•"/>
      <w:lvlJc w:val="left"/>
      <w:pPr>
        <w:tabs>
          <w:tab w:val="num" w:pos="2160"/>
        </w:tabs>
        <w:ind w:left="2160" w:hanging="360"/>
      </w:pPr>
      <w:rPr>
        <w:rFonts w:ascii="Arial" w:hAnsi="Arial" w:hint="default"/>
      </w:rPr>
    </w:lvl>
    <w:lvl w:ilvl="3" w:tplc="BF0A7D3A" w:tentative="1">
      <w:start w:val="1"/>
      <w:numFmt w:val="bullet"/>
      <w:lvlText w:val="•"/>
      <w:lvlJc w:val="left"/>
      <w:pPr>
        <w:tabs>
          <w:tab w:val="num" w:pos="2880"/>
        </w:tabs>
        <w:ind w:left="2880" w:hanging="360"/>
      </w:pPr>
      <w:rPr>
        <w:rFonts w:ascii="Arial" w:hAnsi="Arial" w:hint="default"/>
      </w:rPr>
    </w:lvl>
    <w:lvl w:ilvl="4" w:tplc="BBF2A91E" w:tentative="1">
      <w:start w:val="1"/>
      <w:numFmt w:val="bullet"/>
      <w:lvlText w:val="•"/>
      <w:lvlJc w:val="left"/>
      <w:pPr>
        <w:tabs>
          <w:tab w:val="num" w:pos="3600"/>
        </w:tabs>
        <w:ind w:left="3600" w:hanging="360"/>
      </w:pPr>
      <w:rPr>
        <w:rFonts w:ascii="Arial" w:hAnsi="Arial" w:hint="default"/>
      </w:rPr>
    </w:lvl>
    <w:lvl w:ilvl="5" w:tplc="7EE82DCE" w:tentative="1">
      <w:start w:val="1"/>
      <w:numFmt w:val="bullet"/>
      <w:lvlText w:val="•"/>
      <w:lvlJc w:val="left"/>
      <w:pPr>
        <w:tabs>
          <w:tab w:val="num" w:pos="4320"/>
        </w:tabs>
        <w:ind w:left="4320" w:hanging="360"/>
      </w:pPr>
      <w:rPr>
        <w:rFonts w:ascii="Arial" w:hAnsi="Arial" w:hint="default"/>
      </w:rPr>
    </w:lvl>
    <w:lvl w:ilvl="6" w:tplc="7CF64E38" w:tentative="1">
      <w:start w:val="1"/>
      <w:numFmt w:val="bullet"/>
      <w:lvlText w:val="•"/>
      <w:lvlJc w:val="left"/>
      <w:pPr>
        <w:tabs>
          <w:tab w:val="num" w:pos="5040"/>
        </w:tabs>
        <w:ind w:left="5040" w:hanging="360"/>
      </w:pPr>
      <w:rPr>
        <w:rFonts w:ascii="Arial" w:hAnsi="Arial" w:hint="default"/>
      </w:rPr>
    </w:lvl>
    <w:lvl w:ilvl="7" w:tplc="4E347F18" w:tentative="1">
      <w:start w:val="1"/>
      <w:numFmt w:val="bullet"/>
      <w:lvlText w:val="•"/>
      <w:lvlJc w:val="left"/>
      <w:pPr>
        <w:tabs>
          <w:tab w:val="num" w:pos="5760"/>
        </w:tabs>
        <w:ind w:left="5760" w:hanging="360"/>
      </w:pPr>
      <w:rPr>
        <w:rFonts w:ascii="Arial" w:hAnsi="Arial" w:hint="default"/>
      </w:rPr>
    </w:lvl>
    <w:lvl w:ilvl="8" w:tplc="1B5263A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CD937F2"/>
    <w:multiLevelType w:val="hybridMultilevel"/>
    <w:tmpl w:val="E37A63F8"/>
    <w:lvl w:ilvl="0" w:tplc="A17EE042">
      <w:start w:val="1"/>
      <w:numFmt w:val="bullet"/>
      <w:lvlText w:val="•"/>
      <w:lvlJc w:val="left"/>
      <w:pPr>
        <w:tabs>
          <w:tab w:val="num" w:pos="720"/>
        </w:tabs>
        <w:ind w:left="720" w:hanging="360"/>
      </w:pPr>
      <w:rPr>
        <w:rFonts w:ascii="Arial" w:hAnsi="Arial" w:hint="default"/>
      </w:rPr>
    </w:lvl>
    <w:lvl w:ilvl="1" w:tplc="FC9C7CBA" w:tentative="1">
      <w:start w:val="1"/>
      <w:numFmt w:val="bullet"/>
      <w:lvlText w:val="•"/>
      <w:lvlJc w:val="left"/>
      <w:pPr>
        <w:tabs>
          <w:tab w:val="num" w:pos="1440"/>
        </w:tabs>
        <w:ind w:left="1440" w:hanging="360"/>
      </w:pPr>
      <w:rPr>
        <w:rFonts w:ascii="Arial" w:hAnsi="Arial" w:hint="default"/>
      </w:rPr>
    </w:lvl>
    <w:lvl w:ilvl="2" w:tplc="8DD24CAA" w:tentative="1">
      <w:start w:val="1"/>
      <w:numFmt w:val="bullet"/>
      <w:lvlText w:val="•"/>
      <w:lvlJc w:val="left"/>
      <w:pPr>
        <w:tabs>
          <w:tab w:val="num" w:pos="2160"/>
        </w:tabs>
        <w:ind w:left="2160" w:hanging="360"/>
      </w:pPr>
      <w:rPr>
        <w:rFonts w:ascii="Arial" w:hAnsi="Arial" w:hint="default"/>
      </w:rPr>
    </w:lvl>
    <w:lvl w:ilvl="3" w:tplc="A2A886A0" w:tentative="1">
      <w:start w:val="1"/>
      <w:numFmt w:val="bullet"/>
      <w:lvlText w:val="•"/>
      <w:lvlJc w:val="left"/>
      <w:pPr>
        <w:tabs>
          <w:tab w:val="num" w:pos="2880"/>
        </w:tabs>
        <w:ind w:left="2880" w:hanging="360"/>
      </w:pPr>
      <w:rPr>
        <w:rFonts w:ascii="Arial" w:hAnsi="Arial" w:hint="default"/>
      </w:rPr>
    </w:lvl>
    <w:lvl w:ilvl="4" w:tplc="103877E4" w:tentative="1">
      <w:start w:val="1"/>
      <w:numFmt w:val="bullet"/>
      <w:lvlText w:val="•"/>
      <w:lvlJc w:val="left"/>
      <w:pPr>
        <w:tabs>
          <w:tab w:val="num" w:pos="3600"/>
        </w:tabs>
        <w:ind w:left="3600" w:hanging="360"/>
      </w:pPr>
      <w:rPr>
        <w:rFonts w:ascii="Arial" w:hAnsi="Arial" w:hint="default"/>
      </w:rPr>
    </w:lvl>
    <w:lvl w:ilvl="5" w:tplc="E238251E" w:tentative="1">
      <w:start w:val="1"/>
      <w:numFmt w:val="bullet"/>
      <w:lvlText w:val="•"/>
      <w:lvlJc w:val="left"/>
      <w:pPr>
        <w:tabs>
          <w:tab w:val="num" w:pos="4320"/>
        </w:tabs>
        <w:ind w:left="4320" w:hanging="360"/>
      </w:pPr>
      <w:rPr>
        <w:rFonts w:ascii="Arial" w:hAnsi="Arial" w:hint="default"/>
      </w:rPr>
    </w:lvl>
    <w:lvl w:ilvl="6" w:tplc="3CE44D12" w:tentative="1">
      <w:start w:val="1"/>
      <w:numFmt w:val="bullet"/>
      <w:lvlText w:val="•"/>
      <w:lvlJc w:val="left"/>
      <w:pPr>
        <w:tabs>
          <w:tab w:val="num" w:pos="5040"/>
        </w:tabs>
        <w:ind w:left="5040" w:hanging="360"/>
      </w:pPr>
      <w:rPr>
        <w:rFonts w:ascii="Arial" w:hAnsi="Arial" w:hint="default"/>
      </w:rPr>
    </w:lvl>
    <w:lvl w:ilvl="7" w:tplc="3F808B3C" w:tentative="1">
      <w:start w:val="1"/>
      <w:numFmt w:val="bullet"/>
      <w:lvlText w:val="•"/>
      <w:lvlJc w:val="left"/>
      <w:pPr>
        <w:tabs>
          <w:tab w:val="num" w:pos="5760"/>
        </w:tabs>
        <w:ind w:left="5760" w:hanging="360"/>
      </w:pPr>
      <w:rPr>
        <w:rFonts w:ascii="Arial" w:hAnsi="Arial" w:hint="default"/>
      </w:rPr>
    </w:lvl>
    <w:lvl w:ilvl="8" w:tplc="118A314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F954636"/>
    <w:multiLevelType w:val="hybridMultilevel"/>
    <w:tmpl w:val="2A6241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713045352">
    <w:abstractNumId w:val="0"/>
  </w:num>
  <w:num w:numId="2" w16cid:durableId="387842681">
    <w:abstractNumId w:val="1"/>
  </w:num>
  <w:num w:numId="3" w16cid:durableId="2057578860">
    <w:abstractNumId w:val="3"/>
  </w:num>
  <w:num w:numId="4" w16cid:durableId="914169778">
    <w:abstractNumId w:val="2"/>
  </w:num>
  <w:num w:numId="5" w16cid:durableId="184038721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Youngji Jo">
    <w15:presenceInfo w15:providerId="Windows Live" w15:userId="24986832077f5243"/>
  </w15:person>
  <w15:person w15:author="Jo,Youngji">
    <w15:presenceInfo w15:providerId="AD" w15:userId="S::jo@uchc.edu::e92a225a-1793-4826-8320-2f52e73f74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OxNDYyNjCzMDEwMzBR0lEKTi0uzszPAykwNKwFAHOMhjwtAAAA"/>
  </w:docVars>
  <w:rsids>
    <w:rsidRoot w:val="00D3651D"/>
    <w:rsid w:val="00000905"/>
    <w:rsid w:val="0000182A"/>
    <w:rsid w:val="00031BE9"/>
    <w:rsid w:val="00055229"/>
    <w:rsid w:val="00064B0A"/>
    <w:rsid w:val="000777C9"/>
    <w:rsid w:val="00080B5E"/>
    <w:rsid w:val="000A2145"/>
    <w:rsid w:val="000B4CFA"/>
    <w:rsid w:val="000C5051"/>
    <w:rsid w:val="000D0737"/>
    <w:rsid w:val="000D623E"/>
    <w:rsid w:val="000E1AF9"/>
    <w:rsid w:val="000F4222"/>
    <w:rsid w:val="000F7E0B"/>
    <w:rsid w:val="00103A85"/>
    <w:rsid w:val="00106AA9"/>
    <w:rsid w:val="00107495"/>
    <w:rsid w:val="0010784D"/>
    <w:rsid w:val="00107AC1"/>
    <w:rsid w:val="00107EC3"/>
    <w:rsid w:val="00110837"/>
    <w:rsid w:val="00114BF9"/>
    <w:rsid w:val="001329AD"/>
    <w:rsid w:val="00132FFC"/>
    <w:rsid w:val="001363CD"/>
    <w:rsid w:val="0014174E"/>
    <w:rsid w:val="0015512C"/>
    <w:rsid w:val="001724BD"/>
    <w:rsid w:val="001724C1"/>
    <w:rsid w:val="001A4394"/>
    <w:rsid w:val="001A568B"/>
    <w:rsid w:val="001A5699"/>
    <w:rsid w:val="001B0213"/>
    <w:rsid w:val="001D07B1"/>
    <w:rsid w:val="001F2D1B"/>
    <w:rsid w:val="001F5CCC"/>
    <w:rsid w:val="001F5E3E"/>
    <w:rsid w:val="0021246D"/>
    <w:rsid w:val="00220517"/>
    <w:rsid w:val="00221611"/>
    <w:rsid w:val="00224C5A"/>
    <w:rsid w:val="00231E9E"/>
    <w:rsid w:val="00234576"/>
    <w:rsid w:val="002405EA"/>
    <w:rsid w:val="002454D0"/>
    <w:rsid w:val="00246C34"/>
    <w:rsid w:val="002533E9"/>
    <w:rsid w:val="002655EA"/>
    <w:rsid w:val="002B2723"/>
    <w:rsid w:val="002C334B"/>
    <w:rsid w:val="002C3E27"/>
    <w:rsid w:val="002C43D3"/>
    <w:rsid w:val="002D196E"/>
    <w:rsid w:val="002D77BA"/>
    <w:rsid w:val="002E2F3B"/>
    <w:rsid w:val="002E3DDD"/>
    <w:rsid w:val="002E3FA6"/>
    <w:rsid w:val="002F0C3B"/>
    <w:rsid w:val="002F660F"/>
    <w:rsid w:val="003234E7"/>
    <w:rsid w:val="00330BCF"/>
    <w:rsid w:val="0034613C"/>
    <w:rsid w:val="00365F91"/>
    <w:rsid w:val="0036748A"/>
    <w:rsid w:val="00371C56"/>
    <w:rsid w:val="003723A5"/>
    <w:rsid w:val="00373DE4"/>
    <w:rsid w:val="00381385"/>
    <w:rsid w:val="00391116"/>
    <w:rsid w:val="003A2DFC"/>
    <w:rsid w:val="003A7085"/>
    <w:rsid w:val="003B359E"/>
    <w:rsid w:val="003B4DAE"/>
    <w:rsid w:val="003E7D75"/>
    <w:rsid w:val="003F5D49"/>
    <w:rsid w:val="003F7F48"/>
    <w:rsid w:val="00410703"/>
    <w:rsid w:val="004141A6"/>
    <w:rsid w:val="00414941"/>
    <w:rsid w:val="004167DB"/>
    <w:rsid w:val="00417907"/>
    <w:rsid w:val="00427745"/>
    <w:rsid w:val="00427DD0"/>
    <w:rsid w:val="00433641"/>
    <w:rsid w:val="00434E58"/>
    <w:rsid w:val="004366F6"/>
    <w:rsid w:val="004500DA"/>
    <w:rsid w:val="00452D0D"/>
    <w:rsid w:val="00453DCC"/>
    <w:rsid w:val="004567C4"/>
    <w:rsid w:val="00484037"/>
    <w:rsid w:val="004A03B0"/>
    <w:rsid w:val="004A57B0"/>
    <w:rsid w:val="004D118C"/>
    <w:rsid w:val="004D6B1E"/>
    <w:rsid w:val="004D72BB"/>
    <w:rsid w:val="004E4F4F"/>
    <w:rsid w:val="004F6852"/>
    <w:rsid w:val="004F6A66"/>
    <w:rsid w:val="00522A49"/>
    <w:rsid w:val="00557BD0"/>
    <w:rsid w:val="00560814"/>
    <w:rsid w:val="00563EA8"/>
    <w:rsid w:val="00565335"/>
    <w:rsid w:val="0056606A"/>
    <w:rsid w:val="005B3FC5"/>
    <w:rsid w:val="005B7F6E"/>
    <w:rsid w:val="005C1BCD"/>
    <w:rsid w:val="005C42FA"/>
    <w:rsid w:val="005C4E26"/>
    <w:rsid w:val="005C5BA9"/>
    <w:rsid w:val="005E1BA4"/>
    <w:rsid w:val="005F14FE"/>
    <w:rsid w:val="005F4BEA"/>
    <w:rsid w:val="005F7B31"/>
    <w:rsid w:val="00611A3B"/>
    <w:rsid w:val="00623C0D"/>
    <w:rsid w:val="00640A37"/>
    <w:rsid w:val="00641B2E"/>
    <w:rsid w:val="00642DD1"/>
    <w:rsid w:val="00645A14"/>
    <w:rsid w:val="0065058D"/>
    <w:rsid w:val="006821C4"/>
    <w:rsid w:val="006A08D9"/>
    <w:rsid w:val="006A2552"/>
    <w:rsid w:val="006A5652"/>
    <w:rsid w:val="006A5700"/>
    <w:rsid w:val="006A628A"/>
    <w:rsid w:val="006C20C2"/>
    <w:rsid w:val="006C4459"/>
    <w:rsid w:val="006C4637"/>
    <w:rsid w:val="006D1062"/>
    <w:rsid w:val="006D271F"/>
    <w:rsid w:val="006D5874"/>
    <w:rsid w:val="006D6499"/>
    <w:rsid w:val="006E045C"/>
    <w:rsid w:val="006F1135"/>
    <w:rsid w:val="006F66C7"/>
    <w:rsid w:val="006F6D85"/>
    <w:rsid w:val="007034C2"/>
    <w:rsid w:val="00707EE0"/>
    <w:rsid w:val="0072734B"/>
    <w:rsid w:val="007341B9"/>
    <w:rsid w:val="0073762E"/>
    <w:rsid w:val="007500F2"/>
    <w:rsid w:val="007509F0"/>
    <w:rsid w:val="00776B42"/>
    <w:rsid w:val="00786B0E"/>
    <w:rsid w:val="00793A5D"/>
    <w:rsid w:val="007978EA"/>
    <w:rsid w:val="007A1CD7"/>
    <w:rsid w:val="007A2D8F"/>
    <w:rsid w:val="007A54FF"/>
    <w:rsid w:val="007A5C98"/>
    <w:rsid w:val="007B4FC3"/>
    <w:rsid w:val="007C2579"/>
    <w:rsid w:val="007C6646"/>
    <w:rsid w:val="007D4A34"/>
    <w:rsid w:val="007F03F8"/>
    <w:rsid w:val="007F618F"/>
    <w:rsid w:val="00856875"/>
    <w:rsid w:val="008651B7"/>
    <w:rsid w:val="00865A99"/>
    <w:rsid w:val="00873033"/>
    <w:rsid w:val="008737AA"/>
    <w:rsid w:val="00874608"/>
    <w:rsid w:val="0089195C"/>
    <w:rsid w:val="008936AB"/>
    <w:rsid w:val="008A3BB1"/>
    <w:rsid w:val="008A43BA"/>
    <w:rsid w:val="008B3373"/>
    <w:rsid w:val="008B7B1F"/>
    <w:rsid w:val="008C393D"/>
    <w:rsid w:val="008D0179"/>
    <w:rsid w:val="008D184F"/>
    <w:rsid w:val="008D460F"/>
    <w:rsid w:val="008D5C18"/>
    <w:rsid w:val="008E55C0"/>
    <w:rsid w:val="008F5DD1"/>
    <w:rsid w:val="0090700F"/>
    <w:rsid w:val="00910970"/>
    <w:rsid w:val="009206CF"/>
    <w:rsid w:val="00923F27"/>
    <w:rsid w:val="00937ED7"/>
    <w:rsid w:val="009529AD"/>
    <w:rsid w:val="009607EA"/>
    <w:rsid w:val="00963F77"/>
    <w:rsid w:val="00967D36"/>
    <w:rsid w:val="00970A5C"/>
    <w:rsid w:val="00976DDF"/>
    <w:rsid w:val="00977021"/>
    <w:rsid w:val="00987FDD"/>
    <w:rsid w:val="009951A5"/>
    <w:rsid w:val="00997D3F"/>
    <w:rsid w:val="009A4689"/>
    <w:rsid w:val="009B3A5F"/>
    <w:rsid w:val="009D2CEB"/>
    <w:rsid w:val="009E6050"/>
    <w:rsid w:val="009F78DF"/>
    <w:rsid w:val="00A04B29"/>
    <w:rsid w:val="00A11B4F"/>
    <w:rsid w:val="00A2237C"/>
    <w:rsid w:val="00A2687D"/>
    <w:rsid w:val="00A26F7E"/>
    <w:rsid w:val="00A34C54"/>
    <w:rsid w:val="00A418A9"/>
    <w:rsid w:val="00A4248B"/>
    <w:rsid w:val="00A42CCC"/>
    <w:rsid w:val="00A51DA8"/>
    <w:rsid w:val="00A52AEE"/>
    <w:rsid w:val="00A70E9B"/>
    <w:rsid w:val="00A72734"/>
    <w:rsid w:val="00A7332E"/>
    <w:rsid w:val="00A829A1"/>
    <w:rsid w:val="00A83728"/>
    <w:rsid w:val="00A8758A"/>
    <w:rsid w:val="00AB1483"/>
    <w:rsid w:val="00AB3A98"/>
    <w:rsid w:val="00AB76A2"/>
    <w:rsid w:val="00AC19CD"/>
    <w:rsid w:val="00AD1CBC"/>
    <w:rsid w:val="00AE157C"/>
    <w:rsid w:val="00B102AA"/>
    <w:rsid w:val="00B17DFC"/>
    <w:rsid w:val="00B22FE8"/>
    <w:rsid w:val="00B52C20"/>
    <w:rsid w:val="00B7010D"/>
    <w:rsid w:val="00B73E9A"/>
    <w:rsid w:val="00B7689E"/>
    <w:rsid w:val="00B900F8"/>
    <w:rsid w:val="00B94146"/>
    <w:rsid w:val="00BA05ED"/>
    <w:rsid w:val="00BC5365"/>
    <w:rsid w:val="00BC63FF"/>
    <w:rsid w:val="00BD3A2A"/>
    <w:rsid w:val="00BD4A38"/>
    <w:rsid w:val="00BD7835"/>
    <w:rsid w:val="00BE2EF3"/>
    <w:rsid w:val="00BF4C1D"/>
    <w:rsid w:val="00C0460F"/>
    <w:rsid w:val="00C11433"/>
    <w:rsid w:val="00C222A5"/>
    <w:rsid w:val="00C54FBA"/>
    <w:rsid w:val="00C555E3"/>
    <w:rsid w:val="00C57E5A"/>
    <w:rsid w:val="00C64F32"/>
    <w:rsid w:val="00C66E40"/>
    <w:rsid w:val="00C66F38"/>
    <w:rsid w:val="00C7170D"/>
    <w:rsid w:val="00C76248"/>
    <w:rsid w:val="00C767FC"/>
    <w:rsid w:val="00C77D69"/>
    <w:rsid w:val="00C80689"/>
    <w:rsid w:val="00C94D5C"/>
    <w:rsid w:val="00C9745D"/>
    <w:rsid w:val="00CA429D"/>
    <w:rsid w:val="00CB1739"/>
    <w:rsid w:val="00CB2F15"/>
    <w:rsid w:val="00CB603B"/>
    <w:rsid w:val="00CD0829"/>
    <w:rsid w:val="00CE2F18"/>
    <w:rsid w:val="00CF2B0B"/>
    <w:rsid w:val="00CF33D9"/>
    <w:rsid w:val="00CF5B0B"/>
    <w:rsid w:val="00D0236F"/>
    <w:rsid w:val="00D042B0"/>
    <w:rsid w:val="00D114D9"/>
    <w:rsid w:val="00D15278"/>
    <w:rsid w:val="00D348B0"/>
    <w:rsid w:val="00D3651D"/>
    <w:rsid w:val="00D37ED3"/>
    <w:rsid w:val="00D536EF"/>
    <w:rsid w:val="00D5728E"/>
    <w:rsid w:val="00D67BFA"/>
    <w:rsid w:val="00D85F29"/>
    <w:rsid w:val="00D97490"/>
    <w:rsid w:val="00DA0E41"/>
    <w:rsid w:val="00DA20F2"/>
    <w:rsid w:val="00DB23C0"/>
    <w:rsid w:val="00DC5B0B"/>
    <w:rsid w:val="00DD4FA9"/>
    <w:rsid w:val="00DD6957"/>
    <w:rsid w:val="00DD7423"/>
    <w:rsid w:val="00DE29D0"/>
    <w:rsid w:val="00DE3A12"/>
    <w:rsid w:val="00DE40A8"/>
    <w:rsid w:val="00DE44D7"/>
    <w:rsid w:val="00DF444E"/>
    <w:rsid w:val="00DF6085"/>
    <w:rsid w:val="00E04692"/>
    <w:rsid w:val="00E07017"/>
    <w:rsid w:val="00E2284B"/>
    <w:rsid w:val="00E32CBF"/>
    <w:rsid w:val="00E411C7"/>
    <w:rsid w:val="00E552D0"/>
    <w:rsid w:val="00E74379"/>
    <w:rsid w:val="00E777A7"/>
    <w:rsid w:val="00E84F8E"/>
    <w:rsid w:val="00E85EE4"/>
    <w:rsid w:val="00E917EC"/>
    <w:rsid w:val="00EA4FDE"/>
    <w:rsid w:val="00EB7371"/>
    <w:rsid w:val="00EC001C"/>
    <w:rsid w:val="00EC1596"/>
    <w:rsid w:val="00EC226C"/>
    <w:rsid w:val="00ED1E37"/>
    <w:rsid w:val="00EE2185"/>
    <w:rsid w:val="00EF1DAE"/>
    <w:rsid w:val="00F13588"/>
    <w:rsid w:val="00F14D4C"/>
    <w:rsid w:val="00F33B47"/>
    <w:rsid w:val="00F526BA"/>
    <w:rsid w:val="00F57AB2"/>
    <w:rsid w:val="00F60B31"/>
    <w:rsid w:val="00F856E1"/>
    <w:rsid w:val="00FA1289"/>
    <w:rsid w:val="00FB45BE"/>
    <w:rsid w:val="00FB57F3"/>
    <w:rsid w:val="00FB5F3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1CB6C1"/>
  <w15:chartTrackingRefBased/>
  <w15:docId w15:val="{F1FDCF31-3594-445E-BB90-26991E91D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4D9"/>
    <w:pPr>
      <w:widowControl w:val="0"/>
      <w:autoSpaceDE w:val="0"/>
      <w:autoSpaceDN w:val="0"/>
      <w:spacing w:after="0" w:line="240" w:lineRule="auto"/>
    </w:pPr>
    <w:rPr>
      <w:rFonts w:ascii="Times New Roman" w:eastAsia="Times New Roman" w:hAnsi="Times New Roman" w:cs="Times New Roman"/>
      <w:kern w:val="0"/>
      <w:sz w:val="22"/>
      <w:szCs w:val="22"/>
      <w:lang w:eastAsia="en-US"/>
      <w14:ligatures w14:val="none"/>
    </w:rPr>
  </w:style>
  <w:style w:type="paragraph" w:styleId="Heading1">
    <w:name w:val="heading 1"/>
    <w:basedOn w:val="Normal"/>
    <w:next w:val="Normal"/>
    <w:link w:val="Heading1Char"/>
    <w:uiPriority w:val="9"/>
    <w:qFormat/>
    <w:rsid w:val="00D365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365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365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65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65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651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651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651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651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65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365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365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65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65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65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65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65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651D"/>
    <w:rPr>
      <w:rFonts w:eastAsiaTheme="majorEastAsia" w:cstheme="majorBidi"/>
      <w:color w:val="272727" w:themeColor="text1" w:themeTint="D8"/>
    </w:rPr>
  </w:style>
  <w:style w:type="paragraph" w:styleId="Title">
    <w:name w:val="Title"/>
    <w:basedOn w:val="Normal"/>
    <w:next w:val="Normal"/>
    <w:link w:val="TitleChar"/>
    <w:uiPriority w:val="10"/>
    <w:qFormat/>
    <w:rsid w:val="00D3651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65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65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65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651D"/>
    <w:pPr>
      <w:spacing w:before="160"/>
      <w:jc w:val="center"/>
    </w:pPr>
    <w:rPr>
      <w:i/>
      <w:iCs/>
      <w:color w:val="404040" w:themeColor="text1" w:themeTint="BF"/>
    </w:rPr>
  </w:style>
  <w:style w:type="character" w:customStyle="1" w:styleId="QuoteChar">
    <w:name w:val="Quote Char"/>
    <w:basedOn w:val="DefaultParagraphFont"/>
    <w:link w:val="Quote"/>
    <w:uiPriority w:val="29"/>
    <w:rsid w:val="00D3651D"/>
    <w:rPr>
      <w:i/>
      <w:iCs/>
      <w:color w:val="404040" w:themeColor="text1" w:themeTint="BF"/>
    </w:rPr>
  </w:style>
  <w:style w:type="paragraph" w:styleId="ListParagraph">
    <w:name w:val="List Paragraph"/>
    <w:basedOn w:val="Normal"/>
    <w:uiPriority w:val="1"/>
    <w:qFormat/>
    <w:rsid w:val="00D3651D"/>
    <w:pPr>
      <w:ind w:left="720"/>
      <w:contextualSpacing/>
    </w:pPr>
  </w:style>
  <w:style w:type="character" w:styleId="IntenseEmphasis">
    <w:name w:val="Intense Emphasis"/>
    <w:basedOn w:val="DefaultParagraphFont"/>
    <w:uiPriority w:val="21"/>
    <w:qFormat/>
    <w:rsid w:val="00D3651D"/>
    <w:rPr>
      <w:i/>
      <w:iCs/>
      <w:color w:val="0F4761" w:themeColor="accent1" w:themeShade="BF"/>
    </w:rPr>
  </w:style>
  <w:style w:type="paragraph" w:styleId="IntenseQuote">
    <w:name w:val="Intense Quote"/>
    <w:basedOn w:val="Normal"/>
    <w:next w:val="Normal"/>
    <w:link w:val="IntenseQuoteChar"/>
    <w:uiPriority w:val="30"/>
    <w:qFormat/>
    <w:rsid w:val="00D365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651D"/>
    <w:rPr>
      <w:i/>
      <w:iCs/>
      <w:color w:val="0F4761" w:themeColor="accent1" w:themeShade="BF"/>
    </w:rPr>
  </w:style>
  <w:style w:type="character" w:styleId="IntenseReference">
    <w:name w:val="Intense Reference"/>
    <w:basedOn w:val="DefaultParagraphFont"/>
    <w:uiPriority w:val="32"/>
    <w:qFormat/>
    <w:rsid w:val="00D3651D"/>
    <w:rPr>
      <w:b/>
      <w:bCs/>
      <w:smallCaps/>
      <w:color w:val="0F4761" w:themeColor="accent1" w:themeShade="BF"/>
      <w:spacing w:val="5"/>
    </w:rPr>
  </w:style>
  <w:style w:type="paragraph" w:styleId="BodyText">
    <w:name w:val="Body Text"/>
    <w:basedOn w:val="Normal"/>
    <w:link w:val="BodyTextChar"/>
    <w:uiPriority w:val="1"/>
    <w:qFormat/>
    <w:rsid w:val="00D3651D"/>
    <w:pPr>
      <w:ind w:left="117"/>
    </w:pPr>
    <w:rPr>
      <w:sz w:val="24"/>
      <w:szCs w:val="24"/>
    </w:rPr>
  </w:style>
  <w:style w:type="character" w:customStyle="1" w:styleId="BodyTextChar">
    <w:name w:val="Body Text Char"/>
    <w:basedOn w:val="DefaultParagraphFont"/>
    <w:link w:val="BodyText"/>
    <w:uiPriority w:val="1"/>
    <w:rsid w:val="00D3651D"/>
    <w:rPr>
      <w:rFonts w:ascii="Times New Roman" w:eastAsia="Times New Roman" w:hAnsi="Times New Roman" w:cs="Times New Roman"/>
      <w:kern w:val="0"/>
      <w:lang w:eastAsia="en-US"/>
      <w14:ligatures w14:val="none"/>
    </w:rPr>
  </w:style>
  <w:style w:type="paragraph" w:styleId="FootnoteText">
    <w:name w:val="footnote text"/>
    <w:basedOn w:val="Normal"/>
    <w:link w:val="FootnoteTextChar"/>
    <w:uiPriority w:val="99"/>
    <w:semiHidden/>
    <w:unhideWhenUsed/>
    <w:rsid w:val="00D3651D"/>
    <w:rPr>
      <w:sz w:val="20"/>
      <w:szCs w:val="20"/>
    </w:rPr>
  </w:style>
  <w:style w:type="character" w:customStyle="1" w:styleId="FootnoteTextChar">
    <w:name w:val="Footnote Text Char"/>
    <w:basedOn w:val="DefaultParagraphFont"/>
    <w:link w:val="FootnoteText"/>
    <w:uiPriority w:val="99"/>
    <w:semiHidden/>
    <w:rsid w:val="00D3651D"/>
    <w:rPr>
      <w:rFonts w:ascii="Times New Roman" w:eastAsia="Times New Roman" w:hAnsi="Times New Roman" w:cs="Times New Roman"/>
      <w:kern w:val="0"/>
      <w:sz w:val="20"/>
      <w:szCs w:val="20"/>
      <w:lang w:eastAsia="en-US"/>
      <w14:ligatures w14:val="none"/>
    </w:rPr>
  </w:style>
  <w:style w:type="character" w:styleId="FootnoteReference">
    <w:name w:val="footnote reference"/>
    <w:basedOn w:val="DefaultParagraphFont"/>
    <w:uiPriority w:val="99"/>
    <w:semiHidden/>
    <w:unhideWhenUsed/>
    <w:rsid w:val="00D3651D"/>
    <w:rPr>
      <w:vertAlign w:val="superscript"/>
    </w:rPr>
  </w:style>
  <w:style w:type="character" w:styleId="CommentReference">
    <w:name w:val="annotation reference"/>
    <w:basedOn w:val="DefaultParagraphFont"/>
    <w:uiPriority w:val="99"/>
    <w:semiHidden/>
    <w:unhideWhenUsed/>
    <w:rsid w:val="00D3651D"/>
    <w:rPr>
      <w:sz w:val="16"/>
      <w:szCs w:val="16"/>
    </w:rPr>
  </w:style>
  <w:style w:type="paragraph" w:styleId="CommentText">
    <w:name w:val="annotation text"/>
    <w:basedOn w:val="Normal"/>
    <w:link w:val="CommentTextChar"/>
    <w:uiPriority w:val="99"/>
    <w:unhideWhenUsed/>
    <w:rsid w:val="00D3651D"/>
    <w:rPr>
      <w:sz w:val="20"/>
      <w:szCs w:val="20"/>
    </w:rPr>
  </w:style>
  <w:style w:type="character" w:customStyle="1" w:styleId="CommentTextChar">
    <w:name w:val="Comment Text Char"/>
    <w:basedOn w:val="DefaultParagraphFont"/>
    <w:link w:val="CommentText"/>
    <w:uiPriority w:val="99"/>
    <w:rsid w:val="00D3651D"/>
    <w:rPr>
      <w:rFonts w:ascii="Times New Roman" w:eastAsia="Times New Roman" w:hAnsi="Times New Roman" w:cs="Times New Roman"/>
      <w:kern w:val="0"/>
      <w:sz w:val="20"/>
      <w:szCs w:val="20"/>
      <w:lang w:eastAsia="en-US"/>
      <w14:ligatures w14:val="none"/>
    </w:rPr>
  </w:style>
  <w:style w:type="character" w:styleId="Hyperlink">
    <w:name w:val="Hyperlink"/>
    <w:basedOn w:val="DefaultParagraphFont"/>
    <w:uiPriority w:val="99"/>
    <w:unhideWhenUsed/>
    <w:rsid w:val="0072734B"/>
    <w:rPr>
      <w:color w:val="467886" w:themeColor="hyperlink"/>
      <w:u w:val="single"/>
    </w:rPr>
  </w:style>
  <w:style w:type="character" w:styleId="UnresolvedMention">
    <w:name w:val="Unresolved Mention"/>
    <w:basedOn w:val="DefaultParagraphFont"/>
    <w:uiPriority w:val="99"/>
    <w:semiHidden/>
    <w:unhideWhenUsed/>
    <w:rsid w:val="0072734B"/>
    <w:rPr>
      <w:color w:val="605E5C"/>
      <w:shd w:val="clear" w:color="auto" w:fill="E1DFDD"/>
    </w:rPr>
  </w:style>
  <w:style w:type="paragraph" w:styleId="NormalWeb">
    <w:name w:val="Normal (Web)"/>
    <w:basedOn w:val="Normal"/>
    <w:uiPriority w:val="99"/>
    <w:semiHidden/>
    <w:unhideWhenUsed/>
    <w:rsid w:val="00F57AB2"/>
    <w:pPr>
      <w:widowControl/>
      <w:autoSpaceDE/>
      <w:autoSpaceDN/>
      <w:spacing w:before="100" w:beforeAutospacing="1" w:after="100" w:afterAutospacing="1"/>
    </w:pPr>
    <w:rPr>
      <w:sz w:val="24"/>
      <w:szCs w:val="24"/>
      <w:lang w:eastAsia="zh-CN"/>
    </w:rPr>
  </w:style>
  <w:style w:type="table" w:styleId="TableGrid">
    <w:name w:val="Table Grid"/>
    <w:basedOn w:val="TableNormal"/>
    <w:uiPriority w:val="39"/>
    <w:rsid w:val="003B35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D184F"/>
    <w:rPr>
      <w:color w:val="666666"/>
    </w:rPr>
  </w:style>
  <w:style w:type="character" w:styleId="FollowedHyperlink">
    <w:name w:val="FollowedHyperlink"/>
    <w:basedOn w:val="DefaultParagraphFont"/>
    <w:uiPriority w:val="99"/>
    <w:semiHidden/>
    <w:unhideWhenUsed/>
    <w:rsid w:val="008737AA"/>
    <w:rPr>
      <w:color w:val="96607D" w:themeColor="followedHyperlink"/>
      <w:u w:val="single"/>
    </w:rPr>
  </w:style>
  <w:style w:type="paragraph" w:styleId="Bibliography">
    <w:name w:val="Bibliography"/>
    <w:basedOn w:val="Normal"/>
    <w:next w:val="Normal"/>
    <w:uiPriority w:val="37"/>
    <w:unhideWhenUsed/>
    <w:rsid w:val="00D536EF"/>
    <w:pPr>
      <w:tabs>
        <w:tab w:val="left" w:pos="260"/>
        <w:tab w:val="left" w:pos="380"/>
      </w:tabs>
      <w:ind w:left="384" w:hanging="384"/>
    </w:pPr>
  </w:style>
  <w:style w:type="character" w:styleId="LineNumber">
    <w:name w:val="line number"/>
    <w:basedOn w:val="DefaultParagraphFont"/>
    <w:uiPriority w:val="99"/>
    <w:semiHidden/>
    <w:unhideWhenUsed/>
    <w:rsid w:val="00433641"/>
  </w:style>
  <w:style w:type="paragraph" w:styleId="CommentSubject">
    <w:name w:val="annotation subject"/>
    <w:basedOn w:val="CommentText"/>
    <w:next w:val="CommentText"/>
    <w:link w:val="CommentSubjectChar"/>
    <w:uiPriority w:val="99"/>
    <w:semiHidden/>
    <w:unhideWhenUsed/>
    <w:rsid w:val="00A26F7E"/>
    <w:rPr>
      <w:b/>
      <w:bCs/>
    </w:rPr>
  </w:style>
  <w:style w:type="character" w:customStyle="1" w:styleId="CommentSubjectChar">
    <w:name w:val="Comment Subject Char"/>
    <w:basedOn w:val="CommentTextChar"/>
    <w:link w:val="CommentSubject"/>
    <w:uiPriority w:val="99"/>
    <w:semiHidden/>
    <w:rsid w:val="00A26F7E"/>
    <w:rPr>
      <w:rFonts w:ascii="Times New Roman" w:eastAsia="Times New Roman" w:hAnsi="Times New Roman" w:cs="Times New Roman"/>
      <w:b/>
      <w:bCs/>
      <w:kern w:val="0"/>
      <w:sz w:val="20"/>
      <w:szCs w:val="20"/>
      <w:lang w:eastAsia="en-US"/>
      <w14:ligatures w14:val="none"/>
    </w:rPr>
  </w:style>
  <w:style w:type="paragraph" w:styleId="Revision">
    <w:name w:val="Revision"/>
    <w:hidden/>
    <w:uiPriority w:val="99"/>
    <w:semiHidden/>
    <w:rsid w:val="005C1BCD"/>
    <w:pPr>
      <w:spacing w:after="0" w:line="240" w:lineRule="auto"/>
    </w:pPr>
    <w:rPr>
      <w:rFonts w:ascii="Times New Roman" w:eastAsia="Times New Roman" w:hAnsi="Times New Roman" w:cs="Times New Roman"/>
      <w:kern w:val="0"/>
      <w:sz w:val="22"/>
      <w:szCs w:val="22"/>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098114">
      <w:bodyDiv w:val="1"/>
      <w:marLeft w:val="0"/>
      <w:marRight w:val="0"/>
      <w:marTop w:val="0"/>
      <w:marBottom w:val="0"/>
      <w:divBdr>
        <w:top w:val="none" w:sz="0" w:space="0" w:color="auto"/>
        <w:left w:val="none" w:sz="0" w:space="0" w:color="auto"/>
        <w:bottom w:val="none" w:sz="0" w:space="0" w:color="auto"/>
        <w:right w:val="none" w:sz="0" w:space="0" w:color="auto"/>
      </w:divBdr>
      <w:divsChild>
        <w:div w:id="1431731653">
          <w:marLeft w:val="446"/>
          <w:marRight w:val="0"/>
          <w:marTop w:val="0"/>
          <w:marBottom w:val="0"/>
          <w:divBdr>
            <w:top w:val="none" w:sz="0" w:space="0" w:color="auto"/>
            <w:left w:val="none" w:sz="0" w:space="0" w:color="auto"/>
            <w:bottom w:val="none" w:sz="0" w:space="0" w:color="auto"/>
            <w:right w:val="none" w:sz="0" w:space="0" w:color="auto"/>
          </w:divBdr>
        </w:div>
        <w:div w:id="1722510237">
          <w:marLeft w:val="446"/>
          <w:marRight w:val="0"/>
          <w:marTop w:val="0"/>
          <w:marBottom w:val="0"/>
          <w:divBdr>
            <w:top w:val="none" w:sz="0" w:space="0" w:color="auto"/>
            <w:left w:val="none" w:sz="0" w:space="0" w:color="auto"/>
            <w:bottom w:val="none" w:sz="0" w:space="0" w:color="auto"/>
            <w:right w:val="none" w:sz="0" w:space="0" w:color="auto"/>
          </w:divBdr>
        </w:div>
      </w:divsChild>
    </w:div>
    <w:div w:id="196621564">
      <w:bodyDiv w:val="1"/>
      <w:marLeft w:val="0"/>
      <w:marRight w:val="0"/>
      <w:marTop w:val="0"/>
      <w:marBottom w:val="0"/>
      <w:divBdr>
        <w:top w:val="none" w:sz="0" w:space="0" w:color="auto"/>
        <w:left w:val="none" w:sz="0" w:space="0" w:color="auto"/>
        <w:bottom w:val="none" w:sz="0" w:space="0" w:color="auto"/>
        <w:right w:val="none" w:sz="0" w:space="0" w:color="auto"/>
      </w:divBdr>
      <w:divsChild>
        <w:div w:id="1889300792">
          <w:marLeft w:val="0"/>
          <w:marRight w:val="0"/>
          <w:marTop w:val="0"/>
          <w:marBottom w:val="0"/>
          <w:divBdr>
            <w:top w:val="none" w:sz="0" w:space="0" w:color="auto"/>
            <w:left w:val="none" w:sz="0" w:space="0" w:color="auto"/>
            <w:bottom w:val="none" w:sz="0" w:space="0" w:color="auto"/>
            <w:right w:val="none" w:sz="0" w:space="0" w:color="auto"/>
          </w:divBdr>
          <w:divsChild>
            <w:div w:id="1713384734">
              <w:marLeft w:val="0"/>
              <w:marRight w:val="0"/>
              <w:marTop w:val="0"/>
              <w:marBottom w:val="0"/>
              <w:divBdr>
                <w:top w:val="none" w:sz="0" w:space="0" w:color="auto"/>
                <w:left w:val="none" w:sz="0" w:space="0" w:color="auto"/>
                <w:bottom w:val="none" w:sz="0" w:space="0" w:color="auto"/>
                <w:right w:val="none" w:sz="0" w:space="0" w:color="auto"/>
              </w:divBdr>
              <w:divsChild>
                <w:div w:id="137942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469098">
      <w:bodyDiv w:val="1"/>
      <w:marLeft w:val="0"/>
      <w:marRight w:val="0"/>
      <w:marTop w:val="0"/>
      <w:marBottom w:val="0"/>
      <w:divBdr>
        <w:top w:val="none" w:sz="0" w:space="0" w:color="auto"/>
        <w:left w:val="none" w:sz="0" w:space="0" w:color="auto"/>
        <w:bottom w:val="none" w:sz="0" w:space="0" w:color="auto"/>
        <w:right w:val="none" w:sz="0" w:space="0" w:color="auto"/>
      </w:divBdr>
      <w:divsChild>
        <w:div w:id="1501963865">
          <w:marLeft w:val="446"/>
          <w:marRight w:val="0"/>
          <w:marTop w:val="0"/>
          <w:marBottom w:val="0"/>
          <w:divBdr>
            <w:top w:val="none" w:sz="0" w:space="0" w:color="auto"/>
            <w:left w:val="none" w:sz="0" w:space="0" w:color="auto"/>
            <w:bottom w:val="none" w:sz="0" w:space="0" w:color="auto"/>
            <w:right w:val="none" w:sz="0" w:space="0" w:color="auto"/>
          </w:divBdr>
        </w:div>
        <w:div w:id="396369009">
          <w:marLeft w:val="446"/>
          <w:marRight w:val="0"/>
          <w:marTop w:val="0"/>
          <w:marBottom w:val="0"/>
          <w:divBdr>
            <w:top w:val="none" w:sz="0" w:space="0" w:color="auto"/>
            <w:left w:val="none" w:sz="0" w:space="0" w:color="auto"/>
            <w:bottom w:val="none" w:sz="0" w:space="0" w:color="auto"/>
            <w:right w:val="none" w:sz="0" w:space="0" w:color="auto"/>
          </w:divBdr>
        </w:div>
        <w:div w:id="1524130021">
          <w:marLeft w:val="446"/>
          <w:marRight w:val="0"/>
          <w:marTop w:val="0"/>
          <w:marBottom w:val="0"/>
          <w:divBdr>
            <w:top w:val="none" w:sz="0" w:space="0" w:color="auto"/>
            <w:left w:val="none" w:sz="0" w:space="0" w:color="auto"/>
            <w:bottom w:val="none" w:sz="0" w:space="0" w:color="auto"/>
            <w:right w:val="none" w:sz="0" w:space="0" w:color="auto"/>
          </w:divBdr>
        </w:div>
        <w:div w:id="1979721000">
          <w:marLeft w:val="446"/>
          <w:marRight w:val="0"/>
          <w:marTop w:val="0"/>
          <w:marBottom w:val="0"/>
          <w:divBdr>
            <w:top w:val="none" w:sz="0" w:space="0" w:color="auto"/>
            <w:left w:val="none" w:sz="0" w:space="0" w:color="auto"/>
            <w:bottom w:val="none" w:sz="0" w:space="0" w:color="auto"/>
            <w:right w:val="none" w:sz="0" w:space="0" w:color="auto"/>
          </w:divBdr>
        </w:div>
      </w:divsChild>
    </w:div>
    <w:div w:id="466748974">
      <w:bodyDiv w:val="1"/>
      <w:marLeft w:val="0"/>
      <w:marRight w:val="0"/>
      <w:marTop w:val="0"/>
      <w:marBottom w:val="0"/>
      <w:divBdr>
        <w:top w:val="none" w:sz="0" w:space="0" w:color="auto"/>
        <w:left w:val="none" w:sz="0" w:space="0" w:color="auto"/>
        <w:bottom w:val="none" w:sz="0" w:space="0" w:color="auto"/>
        <w:right w:val="none" w:sz="0" w:space="0" w:color="auto"/>
      </w:divBdr>
      <w:divsChild>
        <w:div w:id="1050501000">
          <w:marLeft w:val="480"/>
          <w:marRight w:val="0"/>
          <w:marTop w:val="0"/>
          <w:marBottom w:val="0"/>
          <w:divBdr>
            <w:top w:val="none" w:sz="0" w:space="0" w:color="auto"/>
            <w:left w:val="none" w:sz="0" w:space="0" w:color="auto"/>
            <w:bottom w:val="none" w:sz="0" w:space="0" w:color="auto"/>
            <w:right w:val="none" w:sz="0" w:space="0" w:color="auto"/>
          </w:divBdr>
          <w:divsChild>
            <w:div w:id="1670281268">
              <w:marLeft w:val="0"/>
              <w:marRight w:val="0"/>
              <w:marTop w:val="0"/>
              <w:marBottom w:val="0"/>
              <w:divBdr>
                <w:top w:val="none" w:sz="0" w:space="0" w:color="auto"/>
                <w:left w:val="none" w:sz="0" w:space="0" w:color="auto"/>
                <w:bottom w:val="none" w:sz="0" w:space="0" w:color="auto"/>
                <w:right w:val="none" w:sz="0" w:space="0" w:color="auto"/>
              </w:divBdr>
            </w:div>
            <w:div w:id="329598093">
              <w:marLeft w:val="0"/>
              <w:marRight w:val="0"/>
              <w:marTop w:val="0"/>
              <w:marBottom w:val="0"/>
              <w:divBdr>
                <w:top w:val="none" w:sz="0" w:space="0" w:color="auto"/>
                <w:left w:val="none" w:sz="0" w:space="0" w:color="auto"/>
                <w:bottom w:val="none" w:sz="0" w:space="0" w:color="auto"/>
                <w:right w:val="none" w:sz="0" w:space="0" w:color="auto"/>
              </w:divBdr>
            </w:div>
            <w:div w:id="1705212396">
              <w:marLeft w:val="0"/>
              <w:marRight w:val="0"/>
              <w:marTop w:val="0"/>
              <w:marBottom w:val="0"/>
              <w:divBdr>
                <w:top w:val="none" w:sz="0" w:space="0" w:color="auto"/>
                <w:left w:val="none" w:sz="0" w:space="0" w:color="auto"/>
                <w:bottom w:val="none" w:sz="0" w:space="0" w:color="auto"/>
                <w:right w:val="none" w:sz="0" w:space="0" w:color="auto"/>
              </w:divBdr>
            </w:div>
            <w:div w:id="2140562477">
              <w:marLeft w:val="0"/>
              <w:marRight w:val="0"/>
              <w:marTop w:val="0"/>
              <w:marBottom w:val="0"/>
              <w:divBdr>
                <w:top w:val="none" w:sz="0" w:space="0" w:color="auto"/>
                <w:left w:val="none" w:sz="0" w:space="0" w:color="auto"/>
                <w:bottom w:val="none" w:sz="0" w:space="0" w:color="auto"/>
                <w:right w:val="none" w:sz="0" w:space="0" w:color="auto"/>
              </w:divBdr>
            </w:div>
            <w:div w:id="706375262">
              <w:marLeft w:val="0"/>
              <w:marRight w:val="0"/>
              <w:marTop w:val="0"/>
              <w:marBottom w:val="0"/>
              <w:divBdr>
                <w:top w:val="none" w:sz="0" w:space="0" w:color="auto"/>
                <w:left w:val="none" w:sz="0" w:space="0" w:color="auto"/>
                <w:bottom w:val="none" w:sz="0" w:space="0" w:color="auto"/>
                <w:right w:val="none" w:sz="0" w:space="0" w:color="auto"/>
              </w:divBdr>
            </w:div>
            <w:div w:id="1062482251">
              <w:marLeft w:val="0"/>
              <w:marRight w:val="0"/>
              <w:marTop w:val="0"/>
              <w:marBottom w:val="0"/>
              <w:divBdr>
                <w:top w:val="none" w:sz="0" w:space="0" w:color="auto"/>
                <w:left w:val="none" w:sz="0" w:space="0" w:color="auto"/>
                <w:bottom w:val="none" w:sz="0" w:space="0" w:color="auto"/>
                <w:right w:val="none" w:sz="0" w:space="0" w:color="auto"/>
              </w:divBdr>
            </w:div>
            <w:div w:id="527716294">
              <w:marLeft w:val="0"/>
              <w:marRight w:val="0"/>
              <w:marTop w:val="0"/>
              <w:marBottom w:val="0"/>
              <w:divBdr>
                <w:top w:val="none" w:sz="0" w:space="0" w:color="auto"/>
                <w:left w:val="none" w:sz="0" w:space="0" w:color="auto"/>
                <w:bottom w:val="none" w:sz="0" w:space="0" w:color="auto"/>
                <w:right w:val="none" w:sz="0" w:space="0" w:color="auto"/>
              </w:divBdr>
            </w:div>
            <w:div w:id="2127386839">
              <w:marLeft w:val="0"/>
              <w:marRight w:val="0"/>
              <w:marTop w:val="0"/>
              <w:marBottom w:val="0"/>
              <w:divBdr>
                <w:top w:val="none" w:sz="0" w:space="0" w:color="auto"/>
                <w:left w:val="none" w:sz="0" w:space="0" w:color="auto"/>
                <w:bottom w:val="none" w:sz="0" w:space="0" w:color="auto"/>
                <w:right w:val="none" w:sz="0" w:space="0" w:color="auto"/>
              </w:divBdr>
            </w:div>
            <w:div w:id="1107046416">
              <w:marLeft w:val="0"/>
              <w:marRight w:val="0"/>
              <w:marTop w:val="0"/>
              <w:marBottom w:val="0"/>
              <w:divBdr>
                <w:top w:val="none" w:sz="0" w:space="0" w:color="auto"/>
                <w:left w:val="none" w:sz="0" w:space="0" w:color="auto"/>
                <w:bottom w:val="none" w:sz="0" w:space="0" w:color="auto"/>
                <w:right w:val="none" w:sz="0" w:space="0" w:color="auto"/>
              </w:divBdr>
            </w:div>
            <w:div w:id="1500578685">
              <w:marLeft w:val="0"/>
              <w:marRight w:val="0"/>
              <w:marTop w:val="0"/>
              <w:marBottom w:val="0"/>
              <w:divBdr>
                <w:top w:val="none" w:sz="0" w:space="0" w:color="auto"/>
                <w:left w:val="none" w:sz="0" w:space="0" w:color="auto"/>
                <w:bottom w:val="none" w:sz="0" w:space="0" w:color="auto"/>
                <w:right w:val="none" w:sz="0" w:space="0" w:color="auto"/>
              </w:divBdr>
            </w:div>
            <w:div w:id="1381901281">
              <w:marLeft w:val="0"/>
              <w:marRight w:val="0"/>
              <w:marTop w:val="0"/>
              <w:marBottom w:val="0"/>
              <w:divBdr>
                <w:top w:val="none" w:sz="0" w:space="0" w:color="auto"/>
                <w:left w:val="none" w:sz="0" w:space="0" w:color="auto"/>
                <w:bottom w:val="none" w:sz="0" w:space="0" w:color="auto"/>
                <w:right w:val="none" w:sz="0" w:space="0" w:color="auto"/>
              </w:divBdr>
            </w:div>
            <w:div w:id="1852328819">
              <w:marLeft w:val="0"/>
              <w:marRight w:val="0"/>
              <w:marTop w:val="0"/>
              <w:marBottom w:val="0"/>
              <w:divBdr>
                <w:top w:val="none" w:sz="0" w:space="0" w:color="auto"/>
                <w:left w:val="none" w:sz="0" w:space="0" w:color="auto"/>
                <w:bottom w:val="none" w:sz="0" w:space="0" w:color="auto"/>
                <w:right w:val="none" w:sz="0" w:space="0" w:color="auto"/>
              </w:divBdr>
            </w:div>
            <w:div w:id="329257845">
              <w:marLeft w:val="0"/>
              <w:marRight w:val="0"/>
              <w:marTop w:val="0"/>
              <w:marBottom w:val="0"/>
              <w:divBdr>
                <w:top w:val="none" w:sz="0" w:space="0" w:color="auto"/>
                <w:left w:val="none" w:sz="0" w:space="0" w:color="auto"/>
                <w:bottom w:val="none" w:sz="0" w:space="0" w:color="auto"/>
                <w:right w:val="none" w:sz="0" w:space="0" w:color="auto"/>
              </w:divBdr>
            </w:div>
            <w:div w:id="2019965529">
              <w:marLeft w:val="0"/>
              <w:marRight w:val="0"/>
              <w:marTop w:val="0"/>
              <w:marBottom w:val="0"/>
              <w:divBdr>
                <w:top w:val="none" w:sz="0" w:space="0" w:color="auto"/>
                <w:left w:val="none" w:sz="0" w:space="0" w:color="auto"/>
                <w:bottom w:val="none" w:sz="0" w:space="0" w:color="auto"/>
                <w:right w:val="none" w:sz="0" w:space="0" w:color="auto"/>
              </w:divBdr>
            </w:div>
            <w:div w:id="1875191762">
              <w:marLeft w:val="0"/>
              <w:marRight w:val="0"/>
              <w:marTop w:val="0"/>
              <w:marBottom w:val="0"/>
              <w:divBdr>
                <w:top w:val="none" w:sz="0" w:space="0" w:color="auto"/>
                <w:left w:val="none" w:sz="0" w:space="0" w:color="auto"/>
                <w:bottom w:val="none" w:sz="0" w:space="0" w:color="auto"/>
                <w:right w:val="none" w:sz="0" w:space="0" w:color="auto"/>
              </w:divBdr>
            </w:div>
            <w:div w:id="715546812">
              <w:marLeft w:val="0"/>
              <w:marRight w:val="0"/>
              <w:marTop w:val="0"/>
              <w:marBottom w:val="0"/>
              <w:divBdr>
                <w:top w:val="none" w:sz="0" w:space="0" w:color="auto"/>
                <w:left w:val="none" w:sz="0" w:space="0" w:color="auto"/>
                <w:bottom w:val="none" w:sz="0" w:space="0" w:color="auto"/>
                <w:right w:val="none" w:sz="0" w:space="0" w:color="auto"/>
              </w:divBdr>
            </w:div>
            <w:div w:id="990596424">
              <w:marLeft w:val="0"/>
              <w:marRight w:val="0"/>
              <w:marTop w:val="0"/>
              <w:marBottom w:val="0"/>
              <w:divBdr>
                <w:top w:val="none" w:sz="0" w:space="0" w:color="auto"/>
                <w:left w:val="none" w:sz="0" w:space="0" w:color="auto"/>
                <w:bottom w:val="none" w:sz="0" w:space="0" w:color="auto"/>
                <w:right w:val="none" w:sz="0" w:space="0" w:color="auto"/>
              </w:divBdr>
            </w:div>
            <w:div w:id="1792288747">
              <w:marLeft w:val="0"/>
              <w:marRight w:val="0"/>
              <w:marTop w:val="0"/>
              <w:marBottom w:val="0"/>
              <w:divBdr>
                <w:top w:val="none" w:sz="0" w:space="0" w:color="auto"/>
                <w:left w:val="none" w:sz="0" w:space="0" w:color="auto"/>
                <w:bottom w:val="none" w:sz="0" w:space="0" w:color="auto"/>
                <w:right w:val="none" w:sz="0" w:space="0" w:color="auto"/>
              </w:divBdr>
            </w:div>
            <w:div w:id="212306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01359">
      <w:bodyDiv w:val="1"/>
      <w:marLeft w:val="0"/>
      <w:marRight w:val="0"/>
      <w:marTop w:val="0"/>
      <w:marBottom w:val="0"/>
      <w:divBdr>
        <w:top w:val="none" w:sz="0" w:space="0" w:color="auto"/>
        <w:left w:val="none" w:sz="0" w:space="0" w:color="auto"/>
        <w:bottom w:val="none" w:sz="0" w:space="0" w:color="auto"/>
        <w:right w:val="none" w:sz="0" w:space="0" w:color="auto"/>
      </w:divBdr>
      <w:divsChild>
        <w:div w:id="1356737343">
          <w:marLeft w:val="480"/>
          <w:marRight w:val="0"/>
          <w:marTop w:val="0"/>
          <w:marBottom w:val="0"/>
          <w:divBdr>
            <w:top w:val="none" w:sz="0" w:space="0" w:color="auto"/>
            <w:left w:val="none" w:sz="0" w:space="0" w:color="auto"/>
            <w:bottom w:val="none" w:sz="0" w:space="0" w:color="auto"/>
            <w:right w:val="none" w:sz="0" w:space="0" w:color="auto"/>
          </w:divBdr>
          <w:divsChild>
            <w:div w:id="1401368718">
              <w:marLeft w:val="0"/>
              <w:marRight w:val="0"/>
              <w:marTop w:val="0"/>
              <w:marBottom w:val="0"/>
              <w:divBdr>
                <w:top w:val="none" w:sz="0" w:space="0" w:color="auto"/>
                <w:left w:val="none" w:sz="0" w:space="0" w:color="auto"/>
                <w:bottom w:val="none" w:sz="0" w:space="0" w:color="auto"/>
                <w:right w:val="none" w:sz="0" w:space="0" w:color="auto"/>
              </w:divBdr>
            </w:div>
            <w:div w:id="1399862162">
              <w:marLeft w:val="0"/>
              <w:marRight w:val="0"/>
              <w:marTop w:val="0"/>
              <w:marBottom w:val="0"/>
              <w:divBdr>
                <w:top w:val="none" w:sz="0" w:space="0" w:color="auto"/>
                <w:left w:val="none" w:sz="0" w:space="0" w:color="auto"/>
                <w:bottom w:val="none" w:sz="0" w:space="0" w:color="auto"/>
                <w:right w:val="none" w:sz="0" w:space="0" w:color="auto"/>
              </w:divBdr>
            </w:div>
            <w:div w:id="258876918">
              <w:marLeft w:val="0"/>
              <w:marRight w:val="0"/>
              <w:marTop w:val="0"/>
              <w:marBottom w:val="0"/>
              <w:divBdr>
                <w:top w:val="none" w:sz="0" w:space="0" w:color="auto"/>
                <w:left w:val="none" w:sz="0" w:space="0" w:color="auto"/>
                <w:bottom w:val="none" w:sz="0" w:space="0" w:color="auto"/>
                <w:right w:val="none" w:sz="0" w:space="0" w:color="auto"/>
              </w:divBdr>
            </w:div>
            <w:div w:id="1807967041">
              <w:marLeft w:val="0"/>
              <w:marRight w:val="0"/>
              <w:marTop w:val="0"/>
              <w:marBottom w:val="0"/>
              <w:divBdr>
                <w:top w:val="none" w:sz="0" w:space="0" w:color="auto"/>
                <w:left w:val="none" w:sz="0" w:space="0" w:color="auto"/>
                <w:bottom w:val="none" w:sz="0" w:space="0" w:color="auto"/>
                <w:right w:val="none" w:sz="0" w:space="0" w:color="auto"/>
              </w:divBdr>
            </w:div>
            <w:div w:id="1796413753">
              <w:marLeft w:val="0"/>
              <w:marRight w:val="0"/>
              <w:marTop w:val="0"/>
              <w:marBottom w:val="0"/>
              <w:divBdr>
                <w:top w:val="none" w:sz="0" w:space="0" w:color="auto"/>
                <w:left w:val="none" w:sz="0" w:space="0" w:color="auto"/>
                <w:bottom w:val="none" w:sz="0" w:space="0" w:color="auto"/>
                <w:right w:val="none" w:sz="0" w:space="0" w:color="auto"/>
              </w:divBdr>
            </w:div>
            <w:div w:id="755588516">
              <w:marLeft w:val="0"/>
              <w:marRight w:val="0"/>
              <w:marTop w:val="0"/>
              <w:marBottom w:val="0"/>
              <w:divBdr>
                <w:top w:val="none" w:sz="0" w:space="0" w:color="auto"/>
                <w:left w:val="none" w:sz="0" w:space="0" w:color="auto"/>
                <w:bottom w:val="none" w:sz="0" w:space="0" w:color="auto"/>
                <w:right w:val="none" w:sz="0" w:space="0" w:color="auto"/>
              </w:divBdr>
            </w:div>
            <w:div w:id="213584294">
              <w:marLeft w:val="0"/>
              <w:marRight w:val="0"/>
              <w:marTop w:val="0"/>
              <w:marBottom w:val="0"/>
              <w:divBdr>
                <w:top w:val="none" w:sz="0" w:space="0" w:color="auto"/>
                <w:left w:val="none" w:sz="0" w:space="0" w:color="auto"/>
                <w:bottom w:val="none" w:sz="0" w:space="0" w:color="auto"/>
                <w:right w:val="none" w:sz="0" w:space="0" w:color="auto"/>
              </w:divBdr>
            </w:div>
            <w:div w:id="575437746">
              <w:marLeft w:val="0"/>
              <w:marRight w:val="0"/>
              <w:marTop w:val="0"/>
              <w:marBottom w:val="0"/>
              <w:divBdr>
                <w:top w:val="none" w:sz="0" w:space="0" w:color="auto"/>
                <w:left w:val="none" w:sz="0" w:space="0" w:color="auto"/>
                <w:bottom w:val="none" w:sz="0" w:space="0" w:color="auto"/>
                <w:right w:val="none" w:sz="0" w:space="0" w:color="auto"/>
              </w:divBdr>
            </w:div>
            <w:div w:id="50472058">
              <w:marLeft w:val="0"/>
              <w:marRight w:val="0"/>
              <w:marTop w:val="0"/>
              <w:marBottom w:val="0"/>
              <w:divBdr>
                <w:top w:val="none" w:sz="0" w:space="0" w:color="auto"/>
                <w:left w:val="none" w:sz="0" w:space="0" w:color="auto"/>
                <w:bottom w:val="none" w:sz="0" w:space="0" w:color="auto"/>
                <w:right w:val="none" w:sz="0" w:space="0" w:color="auto"/>
              </w:divBdr>
            </w:div>
            <w:div w:id="1815875496">
              <w:marLeft w:val="0"/>
              <w:marRight w:val="0"/>
              <w:marTop w:val="0"/>
              <w:marBottom w:val="0"/>
              <w:divBdr>
                <w:top w:val="none" w:sz="0" w:space="0" w:color="auto"/>
                <w:left w:val="none" w:sz="0" w:space="0" w:color="auto"/>
                <w:bottom w:val="none" w:sz="0" w:space="0" w:color="auto"/>
                <w:right w:val="none" w:sz="0" w:space="0" w:color="auto"/>
              </w:divBdr>
            </w:div>
            <w:div w:id="665940669">
              <w:marLeft w:val="0"/>
              <w:marRight w:val="0"/>
              <w:marTop w:val="0"/>
              <w:marBottom w:val="0"/>
              <w:divBdr>
                <w:top w:val="none" w:sz="0" w:space="0" w:color="auto"/>
                <w:left w:val="none" w:sz="0" w:space="0" w:color="auto"/>
                <w:bottom w:val="none" w:sz="0" w:space="0" w:color="auto"/>
                <w:right w:val="none" w:sz="0" w:space="0" w:color="auto"/>
              </w:divBdr>
            </w:div>
            <w:div w:id="1617324574">
              <w:marLeft w:val="0"/>
              <w:marRight w:val="0"/>
              <w:marTop w:val="0"/>
              <w:marBottom w:val="0"/>
              <w:divBdr>
                <w:top w:val="none" w:sz="0" w:space="0" w:color="auto"/>
                <w:left w:val="none" w:sz="0" w:space="0" w:color="auto"/>
                <w:bottom w:val="none" w:sz="0" w:space="0" w:color="auto"/>
                <w:right w:val="none" w:sz="0" w:space="0" w:color="auto"/>
              </w:divBdr>
            </w:div>
            <w:div w:id="815994334">
              <w:marLeft w:val="0"/>
              <w:marRight w:val="0"/>
              <w:marTop w:val="0"/>
              <w:marBottom w:val="0"/>
              <w:divBdr>
                <w:top w:val="none" w:sz="0" w:space="0" w:color="auto"/>
                <w:left w:val="none" w:sz="0" w:space="0" w:color="auto"/>
                <w:bottom w:val="none" w:sz="0" w:space="0" w:color="auto"/>
                <w:right w:val="none" w:sz="0" w:space="0" w:color="auto"/>
              </w:divBdr>
            </w:div>
            <w:div w:id="2020698795">
              <w:marLeft w:val="0"/>
              <w:marRight w:val="0"/>
              <w:marTop w:val="0"/>
              <w:marBottom w:val="0"/>
              <w:divBdr>
                <w:top w:val="none" w:sz="0" w:space="0" w:color="auto"/>
                <w:left w:val="none" w:sz="0" w:space="0" w:color="auto"/>
                <w:bottom w:val="none" w:sz="0" w:space="0" w:color="auto"/>
                <w:right w:val="none" w:sz="0" w:space="0" w:color="auto"/>
              </w:divBdr>
            </w:div>
            <w:div w:id="1172448083">
              <w:marLeft w:val="0"/>
              <w:marRight w:val="0"/>
              <w:marTop w:val="0"/>
              <w:marBottom w:val="0"/>
              <w:divBdr>
                <w:top w:val="none" w:sz="0" w:space="0" w:color="auto"/>
                <w:left w:val="none" w:sz="0" w:space="0" w:color="auto"/>
                <w:bottom w:val="none" w:sz="0" w:space="0" w:color="auto"/>
                <w:right w:val="none" w:sz="0" w:space="0" w:color="auto"/>
              </w:divBdr>
            </w:div>
            <w:div w:id="1278488806">
              <w:marLeft w:val="0"/>
              <w:marRight w:val="0"/>
              <w:marTop w:val="0"/>
              <w:marBottom w:val="0"/>
              <w:divBdr>
                <w:top w:val="none" w:sz="0" w:space="0" w:color="auto"/>
                <w:left w:val="none" w:sz="0" w:space="0" w:color="auto"/>
                <w:bottom w:val="none" w:sz="0" w:space="0" w:color="auto"/>
                <w:right w:val="none" w:sz="0" w:space="0" w:color="auto"/>
              </w:divBdr>
            </w:div>
            <w:div w:id="1838616116">
              <w:marLeft w:val="0"/>
              <w:marRight w:val="0"/>
              <w:marTop w:val="0"/>
              <w:marBottom w:val="0"/>
              <w:divBdr>
                <w:top w:val="none" w:sz="0" w:space="0" w:color="auto"/>
                <w:left w:val="none" w:sz="0" w:space="0" w:color="auto"/>
                <w:bottom w:val="none" w:sz="0" w:space="0" w:color="auto"/>
                <w:right w:val="none" w:sz="0" w:space="0" w:color="auto"/>
              </w:divBdr>
            </w:div>
            <w:div w:id="1525824032">
              <w:marLeft w:val="0"/>
              <w:marRight w:val="0"/>
              <w:marTop w:val="0"/>
              <w:marBottom w:val="0"/>
              <w:divBdr>
                <w:top w:val="none" w:sz="0" w:space="0" w:color="auto"/>
                <w:left w:val="none" w:sz="0" w:space="0" w:color="auto"/>
                <w:bottom w:val="none" w:sz="0" w:space="0" w:color="auto"/>
                <w:right w:val="none" w:sz="0" w:space="0" w:color="auto"/>
              </w:divBdr>
            </w:div>
            <w:div w:id="3377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34486">
      <w:bodyDiv w:val="1"/>
      <w:marLeft w:val="0"/>
      <w:marRight w:val="0"/>
      <w:marTop w:val="0"/>
      <w:marBottom w:val="0"/>
      <w:divBdr>
        <w:top w:val="none" w:sz="0" w:space="0" w:color="auto"/>
        <w:left w:val="none" w:sz="0" w:space="0" w:color="auto"/>
        <w:bottom w:val="none" w:sz="0" w:space="0" w:color="auto"/>
        <w:right w:val="none" w:sz="0" w:space="0" w:color="auto"/>
      </w:divBdr>
      <w:divsChild>
        <w:div w:id="265428473">
          <w:marLeft w:val="446"/>
          <w:marRight w:val="0"/>
          <w:marTop w:val="0"/>
          <w:marBottom w:val="0"/>
          <w:divBdr>
            <w:top w:val="none" w:sz="0" w:space="0" w:color="auto"/>
            <w:left w:val="none" w:sz="0" w:space="0" w:color="auto"/>
            <w:bottom w:val="none" w:sz="0" w:space="0" w:color="auto"/>
            <w:right w:val="none" w:sz="0" w:space="0" w:color="auto"/>
          </w:divBdr>
        </w:div>
        <w:div w:id="376510159">
          <w:marLeft w:val="446"/>
          <w:marRight w:val="0"/>
          <w:marTop w:val="0"/>
          <w:marBottom w:val="0"/>
          <w:divBdr>
            <w:top w:val="none" w:sz="0" w:space="0" w:color="auto"/>
            <w:left w:val="none" w:sz="0" w:space="0" w:color="auto"/>
            <w:bottom w:val="none" w:sz="0" w:space="0" w:color="auto"/>
            <w:right w:val="none" w:sz="0" w:space="0" w:color="auto"/>
          </w:divBdr>
        </w:div>
        <w:div w:id="924336199">
          <w:marLeft w:val="446"/>
          <w:marRight w:val="0"/>
          <w:marTop w:val="0"/>
          <w:marBottom w:val="0"/>
          <w:divBdr>
            <w:top w:val="none" w:sz="0" w:space="0" w:color="auto"/>
            <w:left w:val="none" w:sz="0" w:space="0" w:color="auto"/>
            <w:bottom w:val="none" w:sz="0" w:space="0" w:color="auto"/>
            <w:right w:val="none" w:sz="0" w:space="0" w:color="auto"/>
          </w:divBdr>
        </w:div>
        <w:div w:id="370888321">
          <w:marLeft w:val="446"/>
          <w:marRight w:val="0"/>
          <w:marTop w:val="0"/>
          <w:marBottom w:val="0"/>
          <w:divBdr>
            <w:top w:val="none" w:sz="0" w:space="0" w:color="auto"/>
            <w:left w:val="none" w:sz="0" w:space="0" w:color="auto"/>
            <w:bottom w:val="none" w:sz="0" w:space="0" w:color="auto"/>
            <w:right w:val="none" w:sz="0" w:space="0" w:color="auto"/>
          </w:divBdr>
        </w:div>
      </w:divsChild>
    </w:div>
    <w:div w:id="1221941066">
      <w:bodyDiv w:val="1"/>
      <w:marLeft w:val="0"/>
      <w:marRight w:val="0"/>
      <w:marTop w:val="0"/>
      <w:marBottom w:val="0"/>
      <w:divBdr>
        <w:top w:val="none" w:sz="0" w:space="0" w:color="auto"/>
        <w:left w:val="none" w:sz="0" w:space="0" w:color="auto"/>
        <w:bottom w:val="none" w:sz="0" w:space="0" w:color="auto"/>
        <w:right w:val="none" w:sz="0" w:space="0" w:color="auto"/>
      </w:divBdr>
    </w:div>
    <w:div w:id="1416588812">
      <w:bodyDiv w:val="1"/>
      <w:marLeft w:val="0"/>
      <w:marRight w:val="0"/>
      <w:marTop w:val="0"/>
      <w:marBottom w:val="0"/>
      <w:divBdr>
        <w:top w:val="none" w:sz="0" w:space="0" w:color="auto"/>
        <w:left w:val="none" w:sz="0" w:space="0" w:color="auto"/>
        <w:bottom w:val="none" w:sz="0" w:space="0" w:color="auto"/>
        <w:right w:val="none" w:sz="0" w:space="0" w:color="auto"/>
      </w:divBdr>
      <w:divsChild>
        <w:div w:id="2147239673">
          <w:marLeft w:val="0"/>
          <w:marRight w:val="0"/>
          <w:marTop w:val="0"/>
          <w:marBottom w:val="0"/>
          <w:divBdr>
            <w:top w:val="none" w:sz="0" w:space="0" w:color="auto"/>
            <w:left w:val="none" w:sz="0" w:space="0" w:color="auto"/>
            <w:bottom w:val="none" w:sz="0" w:space="0" w:color="auto"/>
            <w:right w:val="none" w:sz="0" w:space="0" w:color="auto"/>
          </w:divBdr>
          <w:divsChild>
            <w:div w:id="1304194886">
              <w:marLeft w:val="0"/>
              <w:marRight w:val="0"/>
              <w:marTop w:val="0"/>
              <w:marBottom w:val="0"/>
              <w:divBdr>
                <w:top w:val="none" w:sz="0" w:space="0" w:color="auto"/>
                <w:left w:val="none" w:sz="0" w:space="0" w:color="auto"/>
                <w:bottom w:val="none" w:sz="0" w:space="0" w:color="auto"/>
                <w:right w:val="none" w:sz="0" w:space="0" w:color="auto"/>
              </w:divBdr>
              <w:divsChild>
                <w:div w:id="80609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014675">
      <w:bodyDiv w:val="1"/>
      <w:marLeft w:val="0"/>
      <w:marRight w:val="0"/>
      <w:marTop w:val="0"/>
      <w:marBottom w:val="0"/>
      <w:divBdr>
        <w:top w:val="none" w:sz="0" w:space="0" w:color="auto"/>
        <w:left w:val="none" w:sz="0" w:space="0" w:color="auto"/>
        <w:bottom w:val="none" w:sz="0" w:space="0" w:color="auto"/>
        <w:right w:val="none" w:sz="0" w:space="0" w:color="auto"/>
      </w:divBdr>
      <w:divsChild>
        <w:div w:id="1051541518">
          <w:marLeft w:val="0"/>
          <w:marRight w:val="0"/>
          <w:marTop w:val="0"/>
          <w:marBottom w:val="0"/>
          <w:divBdr>
            <w:top w:val="none" w:sz="0" w:space="0" w:color="auto"/>
            <w:left w:val="none" w:sz="0" w:space="0" w:color="auto"/>
            <w:bottom w:val="none" w:sz="0" w:space="0" w:color="auto"/>
            <w:right w:val="none" w:sz="0" w:space="0" w:color="auto"/>
          </w:divBdr>
          <w:divsChild>
            <w:div w:id="1486511823">
              <w:marLeft w:val="0"/>
              <w:marRight w:val="0"/>
              <w:marTop w:val="0"/>
              <w:marBottom w:val="0"/>
              <w:divBdr>
                <w:top w:val="none" w:sz="0" w:space="0" w:color="auto"/>
                <w:left w:val="none" w:sz="0" w:space="0" w:color="auto"/>
                <w:bottom w:val="none" w:sz="0" w:space="0" w:color="auto"/>
                <w:right w:val="none" w:sz="0" w:space="0" w:color="auto"/>
              </w:divBdr>
              <w:divsChild>
                <w:div w:id="111648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comments.xml.rels><?xml version="1.0" encoding="UTF-8" standalone="yes"?>
<Relationships xmlns="http://schemas.openxmlformats.org/package/2006/relationships"><Relationship Id="rId13" Type="http://schemas.openxmlformats.org/officeDocument/2006/relationships/hyperlink" Target="https://www.who.int/news/item/01-06-2022-interim-statement-on-hybrid-immunity-and-increasing-population-seroprevalence-rates" TargetMode="External"/><Relationship Id="rId18" Type="http://schemas.openxmlformats.org/officeDocument/2006/relationships/hyperlink" Target="https://www.e-epih.org/journal/view.php?number=1276" TargetMode="External"/><Relationship Id="rId26" Type="http://schemas.openxmlformats.org/officeDocument/2006/relationships/hyperlink" Target="https://www.frontiersin.org/journals/public-health/articles/10.3389/fpubh.2023.1146059/full" TargetMode="External"/><Relationship Id="rId3" Type="http://schemas.openxmlformats.org/officeDocument/2006/relationships/hyperlink" Target="https://pubmed.ncbi.nlm.nih.gov/36109713" TargetMode="External"/><Relationship Id="rId21" Type="http://schemas.openxmlformats.org/officeDocument/2006/relationships/hyperlink" Target="https://www.thelancet.com/journals/lanmic/article/PIIS2666-5247(23)00103-9/fulltext" TargetMode="External"/><Relationship Id="rId34" Type="http://schemas.openxmlformats.org/officeDocument/2006/relationships/hyperlink" Target="https://www.thelancet.com/journals/lanmic/article/PIIS2666-5247(23)00103-9/fulltext" TargetMode="External"/><Relationship Id="rId7" Type="http://schemas.openxmlformats.org/officeDocument/2006/relationships/hyperlink" Target="https://scholar.google.com/scholar_lookup?journal=Nat+Commun&amp;title=Population+antibody+responses+following+COVID-19+vaccination+in+212,102+individuals&amp;author=H+Ward&amp;author=M+Whitaker&amp;author=B+Flower&amp;author=SN+Tang&amp;author=C+Atchison&amp;volume=13&amp;publication_year=2022&amp;pages=907&amp;pmid=35173150&amp;doi=10.1038/s41467-022-28527-x&amp;" TargetMode="External"/><Relationship Id="rId12" Type="http://schemas.openxmlformats.org/officeDocument/2006/relationships/hyperlink" Target="https://www.nature.com/articles/s41598-023-45718-8" TargetMode="External"/><Relationship Id="rId17" Type="http://schemas.openxmlformats.org/officeDocument/2006/relationships/hyperlink" Target="https://www.ncbi.nlm.nih.gov/pmc/articles/PMC10728614/" TargetMode="External"/><Relationship Id="rId25" Type="http://schemas.openxmlformats.org/officeDocument/2006/relationships/hyperlink" Target="https://www.frontiersin.org/journals/public-health/articles/10.3389/fpubh.2023.1146059/full" TargetMode="External"/><Relationship Id="rId33" Type="http://schemas.openxmlformats.org/officeDocument/2006/relationships/hyperlink" Target="https://www.nature.com/articles/s41577-021-00662-4" TargetMode="External"/><Relationship Id="rId2" Type="http://schemas.openxmlformats.org/officeDocument/2006/relationships/hyperlink" Target="https://doi.org/10.1186%2Fs12916-022-02547-2" TargetMode="External"/><Relationship Id="rId16" Type="http://schemas.openxmlformats.org/officeDocument/2006/relationships/hyperlink" Target="https://www.nature.com/articles/s41598-023-45718-8" TargetMode="External"/><Relationship Id="rId20" Type="http://schemas.openxmlformats.org/officeDocument/2006/relationships/hyperlink" Target="https://www.thelancet.com/journals/lanmic/article/PIIS2666-5247(23)00103-9/fulltext" TargetMode="External"/><Relationship Id="rId29" Type="http://schemas.openxmlformats.org/officeDocument/2006/relationships/hyperlink" Target="https://www.frontiersin.org/journals/public-health/articles/10.3389/fpubh.2023.1146059/full" TargetMode="External"/><Relationship Id="rId1" Type="http://schemas.openxmlformats.org/officeDocument/2006/relationships/hyperlink" Target="https://www.ncbi.nlm.nih.gov/pmc/articles/PMC9479347/" TargetMode="External"/><Relationship Id="rId6" Type="http://schemas.openxmlformats.org/officeDocument/2006/relationships/hyperlink" Target="https://doi.org/10.1038%2Fs41467-022-28527-x" TargetMode="External"/><Relationship Id="rId11" Type="http://schemas.openxmlformats.org/officeDocument/2006/relationships/hyperlink" Target="https://scholar.google.com/scholar_lookup?journal=EBioMedicine.&amp;title=Determinants+of+early+antibody+responses+to+COVID-19+mRNA+vaccines+in+a+cohort+of+exposed+and+na%C3%AFve+healthcare+workers&amp;author=G+Moncunill&amp;author=R+Aguilar&amp;author=M+Ribes&amp;author=N+Ortega&amp;author=R+Rubio&amp;volume=75&amp;publication_year=2022&amp;pages=103805&amp;pmid=35032961&amp;doi=10.1016/j.ebiom.2021.103805&amp;" TargetMode="External"/><Relationship Id="rId24" Type="http://schemas.openxmlformats.org/officeDocument/2006/relationships/hyperlink" Target="https://www.frontiersin.org/journals/public-health/articles/10.3389/fpubh.2023.1146059/full" TargetMode="External"/><Relationship Id="rId32" Type="http://schemas.openxmlformats.org/officeDocument/2006/relationships/hyperlink" Target="https://www.frontiersin.org/journals/public-health/articles/10.3389/fpubh.2023.1146059/full" TargetMode="External"/><Relationship Id="rId5" Type="http://schemas.openxmlformats.org/officeDocument/2006/relationships/hyperlink" Target="https://pubmed.ncbi.nlm.nih.gov/35173150" TargetMode="External"/><Relationship Id="rId15" Type="http://schemas.openxmlformats.org/officeDocument/2006/relationships/hyperlink" Target="https://www.who.int/news/item/01-06-2022-interim-statement-onhybrid-immunity-and-increasing-population-seroprevalence-rates" TargetMode="External"/><Relationship Id="rId23" Type="http://schemas.openxmlformats.org/officeDocument/2006/relationships/hyperlink" Target="https://www.nature.com/articles/s41598-023-45718-8" TargetMode="External"/><Relationship Id="rId28" Type="http://schemas.openxmlformats.org/officeDocument/2006/relationships/hyperlink" Target="https://www.frontiersin.org/journals/public-health/articles/10.3389/fpubh.2023.1146059/full" TargetMode="External"/><Relationship Id="rId10" Type="http://schemas.openxmlformats.org/officeDocument/2006/relationships/hyperlink" Target="https://doi.org/10.1016%2Fj.ebiom.2021.103805" TargetMode="External"/><Relationship Id="rId19" Type="http://schemas.openxmlformats.org/officeDocument/2006/relationships/hyperlink" Target="https://www.ncbi.nlm.nih.gov/pmc/articles/PMC9482842/" TargetMode="External"/><Relationship Id="rId31" Type="http://schemas.openxmlformats.org/officeDocument/2006/relationships/hyperlink" Target="https://www.frontiersin.org/journals/public-health/articles/10.3389/fpubh.2023.1146059/full" TargetMode="External"/><Relationship Id="rId4" Type="http://schemas.openxmlformats.org/officeDocument/2006/relationships/hyperlink" Target="https://www.ncbi.nlm.nih.gov/pmc/articles/PMC8850615/" TargetMode="External"/><Relationship Id="rId9" Type="http://schemas.openxmlformats.org/officeDocument/2006/relationships/hyperlink" Target="https://pubmed.ncbi.nlm.nih.gov/35032961" TargetMode="External"/><Relationship Id="rId14" Type="http://schemas.openxmlformats.org/officeDocument/2006/relationships/hyperlink" Target="https://www.nature.com/articles/s41577-021-00662-4" TargetMode="External"/><Relationship Id="rId22" Type="http://schemas.openxmlformats.org/officeDocument/2006/relationships/hyperlink" Target="https://www.frontiersin.org/journals/public-health/articles/10.3389/fpubh.2023.1146059/full" TargetMode="External"/><Relationship Id="rId27" Type="http://schemas.openxmlformats.org/officeDocument/2006/relationships/hyperlink" Target="https://www.frontiersin.org/journals/public-health/articles/10.3389/fpubh.2023.1146059/full" TargetMode="External"/><Relationship Id="rId30" Type="http://schemas.openxmlformats.org/officeDocument/2006/relationships/hyperlink" Target="https://www.frontiersin.org/journals/public-health/articles/10.3389/fpubh.2023.1146059/full" TargetMode="External"/><Relationship Id="rId8" Type="http://schemas.openxmlformats.org/officeDocument/2006/relationships/hyperlink" Target="https://www.ncbi.nlm.nih.gov/pmc/articles/PMC8752368/"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www.nature.com/articles/s41598-023-45718-8" TargetMode="External"/><Relationship Id="rId18" Type="http://schemas.openxmlformats.org/officeDocument/2006/relationships/image" Target="media/image1.png"/><Relationship Id="rId26" Type="http://schemas.openxmlformats.org/officeDocument/2006/relationships/hyperlink" Target="https://www.ncbi.nlm.nih.gov/pmc/articles/PMC9482842/" TargetMode="External"/><Relationship Id="rId3" Type="http://schemas.openxmlformats.org/officeDocument/2006/relationships/styles" Target="styles.xml"/><Relationship Id="rId21" Type="http://schemas.openxmlformats.org/officeDocument/2006/relationships/image" Target="media/image4.png"/><Relationship Id="rId34" Type="http://schemas.microsoft.com/office/2011/relationships/people" Target="peop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s://www.nature.com/articles/s41598-023-45718-8" TargetMode="External"/><Relationship Id="rId25" Type="http://schemas.openxmlformats.org/officeDocument/2006/relationships/hyperlink" Target="https://www.ncbi.nlm.nih.gov/pmc/articles/PMC9482842/"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nature.com/articles/s41598-023-45718-8" TargetMode="External"/><Relationship Id="rId20" Type="http://schemas.openxmlformats.org/officeDocument/2006/relationships/image" Target="media/image3.pn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www.ncbi.nlm.nih.gov/pmc/articles/PMC9482842/" TargetMode="External"/><Relationship Id="rId32"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www.nature.com/articles/s41598-023-45718-8" TargetMode="External"/><Relationship Id="rId23" Type="http://schemas.openxmlformats.org/officeDocument/2006/relationships/image" Target="media/image6.png"/><Relationship Id="rId28" Type="http://schemas.openxmlformats.org/officeDocument/2006/relationships/image" Target="media/image7.png"/><Relationship Id="rId10" Type="http://schemas.microsoft.com/office/2011/relationships/commentsExtended" Target="commentsExtended.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www.nature.com/articles/s41598-023-45718-8" TargetMode="External"/><Relationship Id="rId22" Type="http://schemas.openxmlformats.org/officeDocument/2006/relationships/image" Target="media/image5.png"/><Relationship Id="rId27" Type="http://schemas.openxmlformats.org/officeDocument/2006/relationships/hyperlink" Target="https://www.ncbi.nlm.nih.gov/pmc/articles/PMC9482842/" TargetMode="External"/><Relationship Id="rId30" Type="http://schemas.openxmlformats.org/officeDocument/2006/relationships/image" Target="media/image9.png"/><Relationship Id="rId35" Type="http://schemas.openxmlformats.org/officeDocument/2006/relationships/theme" Target="theme/theme1.xml"/><Relationship Id="rId8" Type="http://schemas.openxmlformats.org/officeDocument/2006/relationships/hyperlink" Target="mailto:jo@uchc.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5E5103-ADA4-6B42-A37D-3333000C4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1992</TotalTime>
  <Pages>15</Pages>
  <Words>14213</Words>
  <Characters>85279</Characters>
  <Application>Microsoft Office Word</Application>
  <DocSecurity>0</DocSecurity>
  <Lines>1421</Lines>
  <Paragraphs>440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Youngji Jo</dc:creator>
  <cp:keywords/>
  <dc:description/>
  <cp:lastModifiedBy>Jo,Youngji</cp:lastModifiedBy>
  <cp:revision>98</cp:revision>
  <dcterms:created xsi:type="dcterms:W3CDTF">2024-08-19T20:54:00Z</dcterms:created>
  <dcterms:modified xsi:type="dcterms:W3CDTF">2024-09-10T18:22:00Z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6b884fb71261d0b4794a22bc56953ec9ebb43819e84b3819c55778af6a7632a0</vt:lpwstr>
  </property>
  <property fmtid="{D5CDD505-2E9C-101B-9397-08002B2CF9AE}" pid="3" name="ZOTERO_PREF_1">
    <vt:lpwstr>&lt;data data-version="3" zotero-version="6.0.30"&gt;&lt;session id="fUIK1dON"/&gt;&lt;style id="http://www.zotero.org/styles/ieee" locale="en-US"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ies>
</file>